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ascii="Times New Roman" w:hAnsiTheme="minorEastAsia" w:cs="Times New Roman" w:hint="eastAsia"/>
          <w:b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 xml:space="preserve">                 </w:t>
      </w:r>
      <w:r>
        <w:rPr>
          <w:rFonts w:ascii="Times New Roman" w:hAnsiTheme="minorEastAsia" w:cs="Times New Roman" w:hint="eastAsia"/>
          <w:b/>
          <w:sz w:val="24"/>
          <w:szCs w:val="24"/>
        </w:rPr>
        <w:t xml:space="preserve">  2016年转基因动物技术复习提纲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第一章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转基因动物技术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转基因动物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成功获得转基因动物品系涉及？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制备转基因动物的主要方法有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受精卵的显微注射技术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逆病毒感染法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胚胎干细胞</w:t>
      </w:r>
      <w:r>
        <w:rPr>
          <w:rFonts w:ascii="Times New Roman" w:hAnsi="Times New Roman" w:cs="Times New Roman"/>
          <w:bCs/>
          <w:sz w:val="24"/>
          <w:szCs w:val="24"/>
        </w:rPr>
        <w:t>(ES</w:t>
      </w:r>
      <w:r>
        <w:rPr>
          <w:rFonts w:ascii="Times New Roman" w:hAnsiTheme="minorEastAsia" w:cs="Times New Roman"/>
          <w:bCs/>
          <w:sz w:val="24"/>
          <w:szCs w:val="24"/>
        </w:rPr>
        <w:t>细胞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Theme="minorEastAsia" w:cs="Times New Roman"/>
          <w:bCs/>
          <w:sz w:val="24"/>
          <w:szCs w:val="24"/>
        </w:rPr>
        <w:t>移植法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gene knockout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 w:eastAsia="zh-CN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gene knockin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用于转基因动物研究的目的基因有以下几类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转基因在个体中的作用：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转基因动物制备方法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转基因小鼠制备的基本程序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转基因小鼠的一般特征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转基因的表达特征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提高转基因表达的策略</w:t>
      </w:r>
    </w:p>
    <w:p>
      <w:pPr>
        <w:numPr>
          <w:ilvl w:val="0"/>
          <w:numId w:val="1"/>
        </w:numPr>
        <w:ind w:left="425" w:hanging="425" w:leftChars="0" w:firstLineChars="0"/>
        <w:rPr>
          <w:rFonts w:ascii="Times New Roman" w:hAnsiTheme="minorEastAsia" w:cs="Times New Roman" w:hint="eastAsia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转基因动物研究中出现的问题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第二章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实验动物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实验用动物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近交系动物（</w:t>
      </w:r>
      <w:r>
        <w:rPr>
          <w:rFonts w:ascii="Times New Roman" w:hAnsi="Times New Roman" w:cs="Times New Roman"/>
          <w:sz w:val="24"/>
          <w:szCs w:val="24"/>
        </w:rPr>
        <w:t>Inbred strain animals</w:t>
      </w:r>
      <w:r>
        <w:rPr>
          <w:rFonts w:ascii="Times New Roman" w:hAnsiTheme="minorEastAsia" w:cs="Times New Roman"/>
          <w:sz w:val="24"/>
          <w:szCs w:val="24"/>
        </w:rPr>
        <w:t>）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突变系动物（</w:t>
      </w:r>
      <w:r>
        <w:rPr>
          <w:rFonts w:ascii="Times New Roman" w:hAnsi="Times New Roman" w:cs="Times New Roman"/>
          <w:sz w:val="24"/>
          <w:szCs w:val="24"/>
        </w:rPr>
        <w:t>Mutant strain animals</w:t>
      </w:r>
      <w:r>
        <w:rPr>
          <w:rFonts w:ascii="Times New Roman" w:hAnsiTheme="minorEastAsia" w:cs="Times New Roman"/>
          <w:sz w:val="24"/>
          <w:szCs w:val="24"/>
        </w:rPr>
        <w:t>）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杂交群动物（</w:t>
      </w:r>
      <w:r>
        <w:rPr>
          <w:rFonts w:ascii="Times New Roman" w:hAnsi="Times New Roman" w:cs="Times New Roman"/>
          <w:sz w:val="24"/>
          <w:szCs w:val="24"/>
        </w:rPr>
        <w:t>Hybrid colony animals</w:t>
      </w:r>
      <w:r>
        <w:rPr>
          <w:rFonts w:ascii="Times New Roman" w:hAnsiTheme="minorEastAsia" w:cs="Times New Roman"/>
          <w:sz w:val="24"/>
          <w:szCs w:val="24"/>
        </w:rPr>
        <w:t>）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封闭群动物</w:t>
      </w:r>
      <w:r>
        <w:rPr>
          <w:rFonts w:ascii="Times New Roman" w:hAnsi="Times New Roman" w:cs="Times New Roman"/>
          <w:sz w:val="24"/>
          <w:szCs w:val="24"/>
        </w:rPr>
        <w:t>(Closed colony animals)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无菌动物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无特定病原体动物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清洁动物</w:t>
      </w:r>
    </w:p>
    <w:p>
      <w:pPr>
        <w:numPr>
          <w:ilvl w:val="0"/>
          <w:numId w:val="2"/>
        </w:numPr>
        <w:ind w:left="425" w:hanging="425" w:leftChars="0" w:firstLineChars="0"/>
        <w:rPr>
          <w:rFonts w:ascii="Times New Roman" w:hAnsiTheme="minorEastAsia" w:cs="Times New Roman" w:hint="eastAsia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普通动物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第三章</w:t>
      </w:r>
    </w:p>
    <w:p>
      <w:pPr>
        <w:rPr>
          <w:rFonts w:ascii="Times New Roman" w:hAnsiTheme="minorEastAsia" w:cs="Times New Roman" w:hint="eastAsia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屏障环境的定义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第四章</w:t>
      </w:r>
    </w:p>
    <w:p>
      <w:pPr>
        <w:rPr>
          <w:rFonts w:ascii="Times New Roman" w:hAnsiTheme="minorEastAsia" w:cs="Times New Roman" w:hint="eastAsia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启动子的基本概念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第五章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转基因动物制备主要步骤包括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目的基因的获取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转化与转染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精子与外源</w:t>
      </w:r>
      <w:r>
        <w:rPr>
          <w:rFonts w:ascii="Times New Roman" w:hAnsi="Times New Roman" w:cs="Times New Roman"/>
          <w:bCs/>
          <w:sz w:val="24"/>
          <w:szCs w:val="24"/>
        </w:rPr>
        <w:t>DNA</w:t>
      </w:r>
      <w:r>
        <w:rPr>
          <w:rFonts w:ascii="Times New Roman" w:hAnsiTheme="minorEastAsia" w:cs="Times New Roman"/>
          <w:bCs/>
          <w:sz w:val="24"/>
          <w:szCs w:val="24"/>
        </w:rPr>
        <w:t>结合的影响因素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显微注射法与反转录病毒感染法两种转基因方法比较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转基因动物技术上的最大缺点是盲目性</w:t>
      </w:r>
    </w:p>
    <w:p>
      <w:pPr>
        <w:numPr>
          <w:ilvl w:val="0"/>
          <w:numId w:val="3"/>
        </w:numPr>
        <w:ind w:left="425" w:hanging="425" w:leftChars="0" w:firstLineChars="0"/>
        <w:rPr>
          <w:rFonts w:ascii="Times New Roman" w:hAnsiTheme="minorEastAsia" w:cs="Times New Roman" w:hint="eastAsia"/>
          <w:bCs/>
          <w:color w:val="0000FF"/>
          <w:sz w:val="24"/>
          <w:szCs w:val="24"/>
        </w:rPr>
      </w:pPr>
      <w:r>
        <w:rPr>
          <w:rFonts w:ascii="Times New Roman" w:hAnsiTheme="minorEastAsia" w:cs="Times New Roman"/>
          <w:bCs/>
          <w:color w:val="auto"/>
          <w:sz w:val="24"/>
          <w:szCs w:val="24"/>
        </w:rPr>
        <w:t>定位整合技术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第六章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动物基因转染的方法：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基因打靶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基因打靶的原理和操作流程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利用基因打靶技术产生转基因动物的程序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干细胞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干细胞的特点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干细胞的分类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设计一个打靶载体首先要考虑以下几个问题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置换型载体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插入型载体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基因打靶的选择标记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重组基因的检测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425" w:hanging="425" w:leftChars="0" w:firstLineChars="0"/>
        <w:rPr>
          <w:rFonts w:ascii="Times New Roman" w:hAnsiTheme="minorEastAsia" w:cs="Times New Roman" w:hint="eastAsia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条件性基因打靶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第七章</w:t>
      </w: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DNA</w:t>
      </w:r>
      <w:r>
        <w:rPr>
          <w:rFonts w:ascii="Times New Roman" w:hAnsiTheme="minorEastAsia" w:cs="Times New Roman"/>
          <w:bCs/>
          <w:sz w:val="24"/>
          <w:szCs w:val="24"/>
        </w:rPr>
        <w:t>水平检测方法</w:t>
      </w: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RNA</w:t>
      </w:r>
      <w:r>
        <w:rPr>
          <w:rFonts w:ascii="Times New Roman" w:hAnsiTheme="minorEastAsia" w:cs="Times New Roman"/>
          <w:bCs/>
          <w:sz w:val="24"/>
          <w:szCs w:val="24"/>
        </w:rPr>
        <w:t>水平检测方法</w:t>
      </w:r>
    </w:p>
    <w:p>
      <w:pPr>
        <w:numPr>
          <w:ilvl w:val="0"/>
          <w:numId w:val="5"/>
        </w:numPr>
        <w:ind w:left="425" w:hanging="425" w:leftChars="0" w:firstLineChars="0"/>
        <w:rPr>
          <w:rFonts w:ascii="Times New Roman" w:hAnsiTheme="minorEastAsia" w:cs="Times New Roman" w:hint="eastAsia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蛋白质水平检测方法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第八章</w:t>
      </w:r>
    </w:p>
    <w:p>
      <w:pPr>
        <w:numPr>
          <w:ilvl w:val="0"/>
          <w:numId w:val="6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基因组编辑技术</w:t>
      </w:r>
    </w:p>
    <w:p>
      <w:pPr>
        <w:numPr>
          <w:ilvl w:val="0"/>
          <w:numId w:val="6"/>
        </w:numPr>
        <w:ind w:left="425" w:hanging="425" w:leftChars="0"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ZFN</w:t>
      </w:r>
      <w:r>
        <w:rPr>
          <w:rFonts w:ascii="Times New Roman" w:hAnsiTheme="minorEastAsia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TALEN</w:t>
      </w:r>
      <w:r>
        <w:rPr>
          <w:rFonts w:ascii="Times New Roman" w:hAnsiTheme="minorEastAsia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CRISPR/Cas</w:t>
      </w:r>
      <w:r>
        <w:rPr>
          <w:rFonts w:ascii="Times New Roman" w:hAnsiTheme="minorEastAsia" w:cs="Times New Roman"/>
          <w:sz w:val="24"/>
          <w:szCs w:val="24"/>
        </w:rPr>
        <w:t>（重点考察掌握情况）</w:t>
      </w:r>
      <w:r>
        <w:rPr>
          <w:rFonts w:ascii="Times New Roman" w:hAnsi="Times New Roman" w:cs="Times New Roman" w:hint="eastAsia"/>
          <w:sz w:val="24"/>
          <w:szCs w:val="24"/>
        </w:rPr>
        <w:t>了解相关技术的最新进展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Theme="minorEastAsia" w:cs="Times New Roman"/>
          <w:color w:val="auto"/>
          <w:sz w:val="24"/>
          <w:szCs w:val="24"/>
        </w:rPr>
        <w:t>第九章</w:t>
      </w:r>
    </w:p>
    <w:p>
      <w:pPr>
        <w:rPr>
          <w:rFonts w:ascii="Times New Roman" w:hAnsiTheme="minorEastAsia" w:cs="Times New Roman" w:hint="eastAsia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Morpholino</w:t>
      </w:r>
      <w:r>
        <w:rPr>
          <w:rFonts w:ascii="Times New Roman" w:hAnsiTheme="minorEastAsia" w:cs="Times New Roman"/>
          <w:color w:val="auto"/>
          <w:sz w:val="24"/>
          <w:szCs w:val="24"/>
        </w:rPr>
        <w:t>作用原理及设计方法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sz w:val="24"/>
          <w:szCs w:val="24"/>
        </w:rPr>
        <w:t>第十章</w:t>
      </w:r>
    </w:p>
    <w:p>
      <w:pPr>
        <w:numPr>
          <w:ilvl w:val="0"/>
          <w:numId w:val="7"/>
        </w:numPr>
        <w:ind w:left="425" w:hanging="425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生物工程药物特点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>
      <w:pPr>
        <w:numPr>
          <w:ilvl w:val="0"/>
          <w:numId w:val="7"/>
        </w:numPr>
        <w:ind w:left="425" w:hanging="425" w:leftChars="0"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基因工程药物的发展经历了３个阶段</w:t>
      </w:r>
    </w:p>
    <w:p>
      <w:pPr>
        <w:numPr>
          <w:ilvl w:val="0"/>
          <w:numId w:val="7"/>
        </w:numPr>
        <w:ind w:left="425" w:hanging="425" w:leftChars="0" w:firstLineChars="0"/>
        <w:rPr>
          <w:rFonts w:ascii="Times New Roman" w:hAnsiTheme="minorEastAsia" w:cs="Times New Roman" w:hint="eastAsia"/>
          <w:bCs/>
          <w:sz w:val="24"/>
          <w:szCs w:val="24"/>
        </w:rPr>
      </w:pPr>
      <w:r>
        <w:rPr>
          <w:rFonts w:ascii="Times New Roman" w:hAnsiTheme="minorEastAsia" w:cs="Times New Roman"/>
          <w:bCs/>
          <w:sz w:val="24"/>
          <w:szCs w:val="24"/>
        </w:rPr>
        <w:t>用于转基因动物乳腺定位表达的调控元件主要有以下四类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Theme="minorEastAsia" w:cs="Times New Roman"/>
          <w:color w:val="auto"/>
          <w:sz w:val="24"/>
          <w:szCs w:val="24"/>
        </w:rPr>
        <w:t>第十一章</w:t>
      </w:r>
    </w:p>
    <w:p>
      <w:pPr>
        <w:numPr>
          <w:ilvl w:val="0"/>
          <w:numId w:val="8"/>
        </w:numPr>
        <w:ind w:left="425" w:hanging="425" w:leftChars="0" w:firstLineChars="0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Theme="minorEastAsia" w:cs="Times New Roman"/>
          <w:bCs/>
          <w:color w:val="auto"/>
          <w:sz w:val="24"/>
          <w:szCs w:val="24"/>
        </w:rPr>
        <w:t>实验室生物安全</w:t>
      </w:r>
    </w:p>
    <w:p>
      <w:pPr>
        <w:numPr>
          <w:ilvl w:val="0"/>
          <w:numId w:val="8"/>
        </w:numPr>
        <w:ind w:left="425" w:hanging="425" w:leftChars="0" w:firstLineChars="0"/>
        <w:rPr>
          <w:rFonts w:ascii="Times New Roman" w:hAnsiTheme="minorEastAsia" w:cs="Times New Roman" w:hint="eastAsia"/>
          <w:bCs/>
          <w:color w:val="auto"/>
          <w:sz w:val="24"/>
          <w:szCs w:val="24"/>
        </w:rPr>
      </w:pPr>
      <w:r>
        <w:rPr>
          <w:rFonts w:ascii="Times New Roman" w:hAnsiTheme="minorEastAsia" w:cs="Times New Roman"/>
          <w:bCs/>
          <w:color w:val="auto"/>
          <w:sz w:val="24"/>
          <w:szCs w:val="24"/>
        </w:rPr>
        <w:t>实验动物饲养过程中的生物危害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Theme="minorEastAsia" w:cs="Times New Roman"/>
          <w:color w:val="FF0000"/>
          <w:sz w:val="24"/>
          <w:szCs w:val="24"/>
        </w:rPr>
        <w:t>第十二章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Theme="minorEastAsia" w:cs="Times New Roman"/>
          <w:color w:val="FF0000"/>
          <w:sz w:val="24"/>
          <w:szCs w:val="24"/>
        </w:rPr>
        <w:t>如何看待转基因技术和转基因食品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6548A6"/>
    <w:multiLevelType w:val="singleLevel"/>
    <w:tmpl w:val="576548A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">
    <w:nsid w:val="576553C0"/>
    <w:multiLevelType w:val="singleLevel"/>
    <w:tmpl w:val="576553C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2">
    <w:nsid w:val="57656079"/>
    <w:multiLevelType w:val="singleLevel"/>
    <w:tmpl w:val="576560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3">
    <w:nsid w:val="576568DE"/>
    <w:multiLevelType w:val="singleLevel"/>
    <w:tmpl w:val="576568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4">
    <w:nsid w:val="5765873F"/>
    <w:multiLevelType w:val="singleLevel"/>
    <w:tmpl w:val="576587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5">
    <w:nsid w:val="57658754"/>
    <w:multiLevelType w:val="singleLevel"/>
    <w:tmpl w:val="576587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6">
    <w:nsid w:val="5765876C"/>
    <w:multiLevelType w:val="singleLevel"/>
    <w:tmpl w:val="576587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7">
    <w:nsid w:val="5765877F"/>
    <w:multiLevelType w:val="singleLevel"/>
    <w:tmpl w:val="576587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E2"/>
    <w:rsid w:val="00127CC0"/>
    <w:rsid w:val="001C5D2E"/>
    <w:rsid w:val="00302AF5"/>
    <w:rsid w:val="00535AEC"/>
    <w:rsid w:val="005A0243"/>
    <w:rsid w:val="00A8592C"/>
    <w:rsid w:val="00BD3EE2"/>
    <w:rsid w:val="00BF05B9"/>
    <w:rsid w:val="00CD05A3"/>
    <w:rsid w:val="00DD7E4D"/>
    <w:rsid w:val="0C0A1A59"/>
    <w:rsid w:val="209626EE"/>
    <w:rsid w:val="27753523"/>
    <w:rsid w:val="287F68B3"/>
    <w:rsid w:val="3D341464"/>
    <w:rsid w:val="53375A3D"/>
    <w:rsid w:val="5DC054BD"/>
    <w:rsid w:val="62312E12"/>
    <w:rsid w:val="65F05FC5"/>
    <w:rsid w:val="66280494"/>
    <w:rsid w:val="664D7004"/>
    <w:rsid w:val="787B0E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