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Agreement is made between Lion City Robotics Pte. Ltd. ("Company A") and Merlion Analytics Pte. Ltd. ("Company B").</w:t>
      </w:r>
    </w:p>
    <w:p>
      <w:r>
        <w:t>1. Definitions</w:t>
      </w:r>
    </w:p>
    <w:p>
      <w:r>
        <w:t>"Confidential Information" means all information disclosed by a party.</w:t>
      </w:r>
    </w:p>
    <w:p>
      <w:r>
        <w:t>2. Purpose</w:t>
      </w:r>
    </w:p>
    <w:p>
      <w:r>
        <w:t>The parties wish to evaluate a potential joint venture.</w:t>
      </w:r>
    </w:p>
    <w:p>
      <w:r>
        <w:t>3. Confidentiality Obligations</w:t>
      </w:r>
    </w:p>
    <w:p>
      <w:r>
        <w:t>The Recipient shall keep the Confidential Information strictly confidential and use it only for the Purpose.</w:t>
      </w:r>
    </w:p>
    <w:p>
      <w:r>
        <w:t>4. Exclusions</w:t>
      </w:r>
    </w:p>
    <w:p>
      <w:r>
        <w:t>Obligations do not apply to information that is publicly available.</w:t>
      </w:r>
    </w:p>
    <w:p>
      <w:r>
        <w:t>5. Permitted Disclosure</w:t>
      </w:r>
    </w:p>
    <w:p>
      <w:r>
        <w:t>A party may disclose information required by law or court order.</w:t>
      </w:r>
    </w:p>
    <w:p>
      <w:r>
        <w:t>6. Return or Destruction</w:t>
      </w:r>
    </w:p>
    <w:p>
      <w:r>
        <w:t>On request, the Recipient shall return or destroy all Confidential Information.</w:t>
      </w:r>
    </w:p>
    <w:p>
      <w:r>
        <w:t>7. Term and Termination</w:t>
      </w:r>
    </w:p>
    <w:p>
      <w:r>
        <w:t>This Agreement continues for 2 years from the Effective Date.</w:t>
      </w:r>
    </w:p>
    <w:p>
      <w:r>
        <w:t>8. Remedies</w:t>
      </w:r>
    </w:p>
    <w:p>
      <w:r>
        <w:t>Damages may be inadequate and injunctive relief may be sought. The Recipient shall pay liquidated damages of S$50,000 for each breach.</w:t>
      </w:r>
    </w:p>
    <w:p>
      <w:r>
        <w:t>9. Personal Data</w:t>
      </w:r>
    </w:p>
    <w:p>
      <w:r>
        <w:t>Each party shall comply with the Personal Data Protection Act 2012 (PDPA).</w:t>
      </w:r>
    </w:p>
    <w:p>
      <w:r>
        <w:t>10. Governing Law</w:t>
      </w:r>
    </w:p>
    <w:p>
      <w:r>
        <w:t>This Agreement is governed by the laws of Singapore.</w:t>
      </w:r>
    </w:p>
    <w:p>
      <w:r>
        <w:t>11. Dispute Resolution</w:t>
      </w:r>
    </w:p>
    <w:p>
      <w:r>
        <w:t>Any dispute shall be referred to arbitration administered by SIAC.</w:t>
      </w:r>
    </w:p>
    <w:p>
      <w:r>
        <w:t>12. Notices</w:t>
      </w:r>
    </w:p>
    <w:p>
      <w:r>
        <w:t>Notices shall be in writing and delivered to the addresses above.</w:t>
      </w:r>
    </w:p>
    <w:p>
      <w:r>
        <w:t>13. Entire Agreement</w:t>
      </w:r>
    </w:p>
    <w:p>
      <w:r>
        <w:t>This Agreement is the entire agreement between the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