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2450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1AC2" w:rsidRDefault="00D31AC2">
          <w:pPr>
            <w:pStyle w:val="TOC"/>
          </w:pPr>
          <w:r>
            <w:rPr>
              <w:lang w:val="zh-CN"/>
            </w:rPr>
            <w:t>目录</w:t>
          </w:r>
        </w:p>
        <w:p w:rsidR="0084369E" w:rsidRDefault="00D31AC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316014" w:history="1">
            <w:r w:rsidR="0084369E" w:rsidRPr="00C521B2">
              <w:rPr>
                <w:rStyle w:val="a4"/>
                <w:noProof/>
              </w:rPr>
              <w:t>摘要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_Toc3316014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15" w:history="1">
            <w:r w:rsidR="0084369E" w:rsidRPr="00C521B2">
              <w:rPr>
                <w:rStyle w:val="a4"/>
                <w:noProof/>
              </w:rPr>
              <w:t>Part 1 引言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_Toc3316015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16" w:history="1">
            <w:r w:rsidR="0084369E" w:rsidRPr="00C521B2">
              <w:rPr>
                <w:rStyle w:val="a4"/>
                <w:noProof/>
              </w:rPr>
              <w:t>Part 2 文献综述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_Toc3316016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17" w:history="1">
            <w:r w:rsidR="0084369E" w:rsidRPr="00C521B2">
              <w:rPr>
                <w:rStyle w:val="a4"/>
                <w:noProof/>
              </w:rPr>
              <w:t>Part 3 模型与算法选择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_Toc3316017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18" w:history="1">
            <w:r w:rsidR="0084369E" w:rsidRPr="00C521B2">
              <w:rPr>
                <w:rStyle w:val="a4"/>
                <w:noProof/>
              </w:rPr>
              <w:t>3.1 普通最小二乘线性回归（OLS）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_Toc3316018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19" w:history="1">
            <w:r w:rsidR="0084369E" w:rsidRPr="00C521B2">
              <w:rPr>
                <w:rStyle w:val="a4"/>
                <w:noProof/>
              </w:rPr>
              <w:t>3.2 弹性网络（Elastic Net）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_Toc3316019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0" w:history="1">
            <w:r w:rsidR="0084369E" w:rsidRPr="00C521B2">
              <w:rPr>
                <w:rStyle w:val="a4"/>
                <w:noProof/>
              </w:rPr>
              <w:t>3.3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_Toc3316020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1" w:history="1">
            <w:r w:rsidR="0084369E" w:rsidRPr="00C521B2">
              <w:rPr>
                <w:rStyle w:val="a4"/>
                <w:noProof/>
              </w:rPr>
              <w:t>3.4 Boosting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_Toc3316021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2" w:history="1">
            <w:r w:rsidR="0084369E" w:rsidRPr="00C521B2">
              <w:rPr>
                <w:rStyle w:val="a4"/>
                <w:noProof/>
              </w:rPr>
              <w:t>3.5 Random Forest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_Toc3316022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23" w:history="1">
            <w:r w:rsidR="0084369E" w:rsidRPr="00C521B2">
              <w:rPr>
                <w:rStyle w:val="a4"/>
                <w:noProof/>
              </w:rPr>
              <w:t>Part 4 输入特征选取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_Toc3316023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2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4" w:history="1">
            <w:r w:rsidR="0084369E" w:rsidRPr="00C521B2">
              <w:rPr>
                <w:rStyle w:val="a4"/>
                <w:noProof/>
              </w:rPr>
              <w:t>4.1 个股因子选取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_Toc3316024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3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5" w:history="1">
            <w:r w:rsidR="0084369E" w:rsidRPr="00C521B2">
              <w:rPr>
                <w:rStyle w:val="a4"/>
                <w:noProof/>
              </w:rPr>
              <w:t>4.2 宏观变量选取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_Toc3316025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4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6" w:history="1">
            <w:r w:rsidR="0084369E" w:rsidRPr="00C521B2">
              <w:rPr>
                <w:rStyle w:val="a4"/>
                <w:noProof/>
              </w:rPr>
              <w:t>4.3 行业变量选取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_Toc3316026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4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27" w:history="1">
            <w:r w:rsidR="0084369E" w:rsidRPr="00C521B2">
              <w:rPr>
                <w:rStyle w:val="a4"/>
                <w:noProof/>
              </w:rPr>
              <w:t>Part 5 实证结果与分析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_Toc3316027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5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8" w:history="1">
            <w:r w:rsidR="0084369E" w:rsidRPr="00C521B2">
              <w:rPr>
                <w:rStyle w:val="a4"/>
                <w:noProof/>
              </w:rPr>
              <w:t>5.1 准备工作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_Toc3316028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5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16029" w:history="1">
            <w:r w:rsidR="0084369E" w:rsidRPr="00C521B2">
              <w:rPr>
                <w:rStyle w:val="a4"/>
                <w:noProof/>
              </w:rPr>
              <w:t>5.2 模型训练与验证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_Toc3316029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6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30" w:history="1">
            <w:r w:rsidR="0084369E" w:rsidRPr="00C521B2">
              <w:rPr>
                <w:rStyle w:val="a4"/>
                <w:noProof/>
              </w:rPr>
              <w:t>Part 6 结论与展望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_Toc3316030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7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84369E" w:rsidRDefault="00B32D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16031" w:history="1">
            <w:r w:rsidR="0084369E" w:rsidRPr="00C521B2">
              <w:rPr>
                <w:rStyle w:val="a4"/>
                <w:noProof/>
              </w:rPr>
              <w:t>致谢</w:t>
            </w:r>
            <w:r w:rsidR="0084369E">
              <w:rPr>
                <w:noProof/>
                <w:webHidden/>
              </w:rPr>
              <w:tab/>
            </w:r>
            <w:r w:rsidR="0084369E">
              <w:rPr>
                <w:noProof/>
                <w:webHidden/>
              </w:rPr>
              <w:fldChar w:fldCharType="begin"/>
            </w:r>
            <w:r w:rsidR="0084369E">
              <w:rPr>
                <w:noProof/>
                <w:webHidden/>
              </w:rPr>
              <w:instrText xml:space="preserve"> PAGEREF _Toc3316031 \h </w:instrText>
            </w:r>
            <w:r w:rsidR="0084369E">
              <w:rPr>
                <w:noProof/>
                <w:webHidden/>
              </w:rPr>
            </w:r>
            <w:r w:rsidR="0084369E">
              <w:rPr>
                <w:noProof/>
                <w:webHidden/>
              </w:rPr>
              <w:fldChar w:fldCharType="separate"/>
            </w:r>
            <w:r w:rsidR="0084369E">
              <w:rPr>
                <w:noProof/>
                <w:webHidden/>
              </w:rPr>
              <w:t>7</w:t>
            </w:r>
            <w:r w:rsidR="0084369E"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r>
            <w:rPr>
              <w:b/>
              <w:bCs/>
              <w:lang w:val="zh-CN"/>
            </w:rPr>
            <w:fldChar w:fldCharType="end"/>
          </w:r>
        </w:p>
      </w:sdtContent>
    </w:sdt>
    <w:p w:rsidR="00D31AC2" w:rsidRDefault="00D31AC2">
      <w:pPr>
        <w:widowControl/>
        <w:jc w:val="left"/>
      </w:pPr>
      <w:r>
        <w:br w:type="page"/>
      </w:r>
    </w:p>
    <w:p w:rsidR="00D31AC2" w:rsidRDefault="00D31AC2" w:rsidP="00D31AC2">
      <w:pPr>
        <w:pStyle w:val="2"/>
      </w:pPr>
      <w:bookmarkStart w:id="0" w:name="_Toc3316014"/>
      <w:r>
        <w:rPr>
          <w:rFonts w:hint="eastAsia"/>
        </w:rPr>
        <w:lastRenderedPageBreak/>
        <w:t>摘要</w:t>
      </w:r>
      <w:bookmarkEnd w:id="0"/>
    </w:p>
    <w:p w:rsidR="0076546C" w:rsidRDefault="0076546C" w:rsidP="0076546C">
      <w:r>
        <w:tab/>
      </w:r>
      <w:r>
        <w:rPr>
          <w:rFonts w:hint="eastAsia"/>
        </w:rPr>
        <w:t>本文试图将机器学习领域的经典算法，引入到</w:t>
      </w:r>
      <w:proofErr w:type="gramStart"/>
      <w:r>
        <w:rPr>
          <w:rFonts w:hint="eastAsia"/>
        </w:rPr>
        <w:t>量风险</w:t>
      </w:r>
      <w:proofErr w:type="gramEnd"/>
      <w:r>
        <w:rPr>
          <w:rFonts w:hint="eastAsia"/>
        </w:rPr>
        <w:t>资产的超额收益这一资产定价领域的经典问题中来。具体来讲，本文主要做了以下三个方面的工作：</w:t>
      </w:r>
    </w:p>
    <w:p w:rsidR="0076546C" w:rsidRDefault="0076546C" w:rsidP="0076546C">
      <w:pPr>
        <w:rPr>
          <w:rFonts w:hint="eastAsia"/>
        </w:rPr>
      </w:pPr>
    </w:p>
    <w:p w:rsidR="0076546C" w:rsidRPr="0076546C" w:rsidRDefault="0076546C" w:rsidP="0076546C">
      <w:pPr>
        <w:ind w:firstLine="420"/>
        <w:rPr>
          <w:color w:val="FF0000"/>
        </w:rPr>
      </w:pPr>
      <w:r>
        <w:rPr>
          <w:rFonts w:hint="eastAsia"/>
        </w:rPr>
        <w:t>首先，本文汇集了对中国市场的A股超额收益有显著影响的三个方面因子，即个股因子，宏观因子和行业因子，以其作为输入值进行建模。此外，除了传统的O</w:t>
      </w:r>
      <w:r>
        <w:t>LS</w:t>
      </w:r>
      <w:r>
        <w:rPr>
          <w:rFonts w:hint="eastAsia"/>
        </w:rPr>
        <w:t>回归方法，本文构建了适用于评价机器学习模型表现的样本外</w:t>
      </w:r>
      <w:r>
        <w:t>R</w:t>
      </w:r>
      <w:r>
        <w:rPr>
          <w:rFonts w:hint="eastAsia"/>
        </w:rPr>
        <w:t>-square统计量，用以对比Huber损失函数下的O</w:t>
      </w:r>
      <w:r>
        <w:t>LS</w:t>
      </w:r>
      <w:r>
        <w:rPr>
          <w:rFonts w:hint="eastAsia"/>
        </w:rPr>
        <w:t>回归，正则化，决策树，boosting和bagging等集成学习模型，以及全连接神经网络等算法的效果，</w:t>
      </w:r>
      <w:r w:rsidRPr="0076546C">
        <w:rPr>
          <w:rFonts w:hint="eastAsia"/>
          <w:color w:val="FF0000"/>
        </w:rPr>
        <w:t>并发现</w:t>
      </w:r>
    </w:p>
    <w:p w:rsidR="00BA25CD" w:rsidRDefault="00BA25CD" w:rsidP="00BA25CD">
      <w:pPr>
        <w:rPr>
          <w:rFonts w:hint="eastAsia"/>
        </w:rPr>
      </w:pPr>
    </w:p>
    <w:p w:rsidR="0076546C" w:rsidRDefault="0076546C" w:rsidP="0076546C">
      <w:pPr>
        <w:ind w:firstLine="420"/>
      </w:pPr>
      <w:r>
        <w:rPr>
          <w:rFonts w:hint="eastAsia"/>
        </w:rPr>
        <w:t>其次</w:t>
      </w:r>
      <w:r w:rsidR="00816F2B">
        <w:rPr>
          <w:rFonts w:hint="eastAsia"/>
        </w:rPr>
        <w:t>，</w:t>
      </w:r>
      <w:r w:rsidR="00BA25CD">
        <w:rPr>
          <w:rFonts w:hint="eastAsia"/>
        </w:rPr>
        <w:t>本文试图深入到每一个模型的内核，去分析究竟是哪些输入变量对结果产生了显著影响。为此，本文针对每一种机器学习算法的特性，设计了评估自变量重要性的算法，从而得到最终的结果，</w:t>
      </w:r>
      <w:r w:rsidR="00BA25CD" w:rsidRPr="00BA25CD">
        <w:rPr>
          <w:rFonts w:hint="eastAsia"/>
          <w:color w:val="FF0000"/>
        </w:rPr>
        <w:t>从O</w:t>
      </w:r>
      <w:r w:rsidR="00BA25CD" w:rsidRPr="00BA25CD">
        <w:rPr>
          <w:color w:val="FF0000"/>
        </w:rPr>
        <w:t>LS</w:t>
      </w:r>
      <w:r w:rsidR="00BA25CD" w:rsidRPr="00BA25CD">
        <w:rPr>
          <w:rFonts w:hint="eastAsia"/>
          <w:color w:val="FF0000"/>
        </w:rPr>
        <w:t>模型来看。。。</w:t>
      </w:r>
    </w:p>
    <w:p w:rsidR="00BA25CD" w:rsidRDefault="00BA25CD" w:rsidP="0076546C">
      <w:pPr>
        <w:ind w:firstLine="420"/>
      </w:pPr>
    </w:p>
    <w:p w:rsidR="00BA25CD" w:rsidRPr="0076546C" w:rsidRDefault="00BA25CD" w:rsidP="0076546C">
      <w:pPr>
        <w:ind w:firstLine="420"/>
        <w:rPr>
          <w:rFonts w:hint="eastAsia"/>
        </w:rPr>
      </w:pPr>
      <w:r>
        <w:rPr>
          <w:rFonts w:hint="eastAsia"/>
        </w:rPr>
        <w:t>最后，为了更进一步地探究各模型的稳健性，本文将问题从单个资产转向资产组合，效仿</w:t>
      </w:r>
      <w:proofErr w:type="spellStart"/>
      <w:r>
        <w:rPr>
          <w:rFonts w:hint="eastAsia"/>
        </w:rPr>
        <w:t>Fama</w:t>
      </w:r>
      <w:proofErr w:type="spellEnd"/>
      <w:r>
        <w:rPr>
          <w:rFonts w:hint="eastAsia"/>
        </w:rPr>
        <w:t>-</w:t>
      </w:r>
      <w:r>
        <w:t>F</w:t>
      </w:r>
      <w:r>
        <w:rPr>
          <w:rFonts w:hint="eastAsia"/>
        </w:rPr>
        <w:t>rench（1993）和</w:t>
      </w:r>
      <w:proofErr w:type="spellStart"/>
      <w:r>
        <w:rPr>
          <w:rFonts w:hint="eastAsia"/>
        </w:rPr>
        <w:t>Fama</w:t>
      </w:r>
      <w:proofErr w:type="spellEnd"/>
      <w:r>
        <w:rPr>
          <w:rFonts w:hint="eastAsia"/>
        </w:rPr>
        <w:t>-</w:t>
      </w:r>
      <w:r>
        <w:t>F</w:t>
      </w:r>
      <w:r>
        <w:rPr>
          <w:rFonts w:hint="eastAsia"/>
        </w:rPr>
        <w:t>rench（2015）的做法，将所有股票分别根据市值和</w:t>
      </w:r>
      <w:proofErr w:type="gramStart"/>
      <w:r>
        <w:rPr>
          <w:rFonts w:hint="eastAsia"/>
        </w:rPr>
        <w:t>净市率</w:t>
      </w:r>
      <w:proofErr w:type="gramEnd"/>
      <w:r>
        <w:rPr>
          <w:rFonts w:hint="eastAsia"/>
        </w:rPr>
        <w:t>、市值和投资、市值和盈利能力、市值和动量</w:t>
      </w:r>
      <w:r>
        <w:t>3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分为6组，考察模型对组合表现的预测能力。</w:t>
      </w:r>
      <w:r w:rsidRPr="00BA25CD">
        <w:rPr>
          <w:rFonts w:hint="eastAsia"/>
          <w:color w:val="FF0000"/>
        </w:rPr>
        <w:t>结果显示，</w:t>
      </w:r>
    </w:p>
    <w:p w:rsidR="00D31AC2" w:rsidRDefault="007A18FF" w:rsidP="00D31AC2">
      <w:pPr>
        <w:pStyle w:val="2"/>
      </w:pPr>
      <w:bookmarkStart w:id="1" w:name="_Toc3316015"/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 w:rsidR="00D31AC2">
        <w:rPr>
          <w:rFonts w:hint="eastAsia"/>
        </w:rPr>
        <w:t>引言</w:t>
      </w:r>
      <w:bookmarkEnd w:id="1"/>
    </w:p>
    <w:p w:rsidR="00D31AC2" w:rsidRDefault="007A18FF" w:rsidP="00D31AC2">
      <w:pPr>
        <w:pStyle w:val="2"/>
      </w:pPr>
      <w:bookmarkStart w:id="2" w:name="_Toc3316016"/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 w:rsidR="00D31AC2">
        <w:rPr>
          <w:rFonts w:hint="eastAsia"/>
        </w:rPr>
        <w:t>文献综述</w:t>
      </w:r>
      <w:bookmarkEnd w:id="2"/>
    </w:p>
    <w:p w:rsidR="00D31AC2" w:rsidRDefault="007A18FF" w:rsidP="00D31AC2">
      <w:pPr>
        <w:pStyle w:val="2"/>
      </w:pPr>
      <w:bookmarkStart w:id="3" w:name="_Toc3316017"/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 w:rsidR="00D31AC2">
        <w:rPr>
          <w:rFonts w:hint="eastAsia"/>
        </w:rPr>
        <w:t>模型选择</w:t>
      </w:r>
      <w:bookmarkEnd w:id="3"/>
      <w:r w:rsidR="00E53D81">
        <w:rPr>
          <w:rFonts w:hint="eastAsia"/>
        </w:rPr>
        <w:t>与模型评价</w:t>
      </w:r>
    </w:p>
    <w:p w:rsidR="0084369E" w:rsidRDefault="000B2703" w:rsidP="000B2703">
      <w:r>
        <w:tab/>
      </w:r>
      <w:r w:rsidR="0084369E">
        <w:rPr>
          <w:rFonts w:hint="eastAsia"/>
        </w:rPr>
        <w:t>现有的资产定价实证论文中，不论选用什么样的预测变量，其核心的预测算法几乎都是O</w:t>
      </w:r>
      <w:r w:rsidR="0084369E">
        <w:t>LS</w:t>
      </w:r>
      <w:r w:rsidR="0084369E">
        <w:rPr>
          <w:rFonts w:hint="eastAsia"/>
        </w:rPr>
        <w:t>线性回归算法。本文首要的创新之处就在于试图将机器学习领域的经典</w:t>
      </w:r>
      <w:r w:rsidR="00E53D81">
        <w:rPr>
          <w:rFonts w:hint="eastAsia"/>
        </w:rPr>
        <w:t>模型</w:t>
      </w:r>
      <w:r w:rsidR="0084369E">
        <w:rPr>
          <w:rFonts w:hint="eastAsia"/>
        </w:rPr>
        <w:t>引入资产定价实证中来，以观察这种非线性的学习算法能否挖掘出更多的有用信息。这一部分将依次对于本文选用的</w:t>
      </w:r>
      <w:r w:rsidR="00E53D81">
        <w:rPr>
          <w:rFonts w:hint="eastAsia"/>
        </w:rPr>
        <w:t>模型</w:t>
      </w:r>
      <w:r w:rsidR="0084369E">
        <w:rPr>
          <w:rFonts w:hint="eastAsia"/>
        </w:rPr>
        <w:t>的基本原理做一个介绍，以便对机器学习领域不熟悉的读者理解文章内核精神。具体来讲，针对每一个</w:t>
      </w:r>
      <w:r w:rsidR="00E53D81">
        <w:rPr>
          <w:rFonts w:hint="eastAsia"/>
        </w:rPr>
        <w:t>模型</w:t>
      </w:r>
      <w:r w:rsidR="0084369E">
        <w:rPr>
          <w:rFonts w:hint="eastAsia"/>
        </w:rPr>
        <w:t>，本文都将从三个核心的方面来对其进行介绍：第一是该算法的优化目标，也就是损失（</w:t>
      </w:r>
      <w:r w:rsidR="0084369E">
        <w:t>Loss）</w:t>
      </w:r>
      <w:r w:rsidR="0084369E">
        <w:rPr>
          <w:rFonts w:hint="eastAsia"/>
        </w:rPr>
        <w:t>的计算方式；第二是优化过程中使用的算法；第三则是影响到算法效果的主要超参数，也就是</w:t>
      </w:r>
      <w:r w:rsidR="0084369E">
        <w:t>CV</w:t>
      </w:r>
      <w:r w:rsidR="0084369E">
        <w:rPr>
          <w:rFonts w:hint="eastAsia"/>
        </w:rPr>
        <w:t>验证</w:t>
      </w:r>
      <w:proofErr w:type="gramStart"/>
      <w:r w:rsidR="0084369E">
        <w:rPr>
          <w:rFonts w:hint="eastAsia"/>
        </w:rPr>
        <w:t>集需要</w:t>
      </w:r>
      <w:proofErr w:type="gramEnd"/>
      <w:r w:rsidR="0084369E">
        <w:rPr>
          <w:rFonts w:hint="eastAsia"/>
        </w:rPr>
        <w:t>优化的对象。</w:t>
      </w:r>
    </w:p>
    <w:p w:rsidR="0084369E" w:rsidRDefault="0084369E" w:rsidP="0084369E">
      <w:pPr>
        <w:pStyle w:val="3"/>
      </w:pPr>
      <w:bookmarkStart w:id="4" w:name="_Toc331601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普通最小二乘线性回归（</w:t>
      </w:r>
      <w:r>
        <w:rPr>
          <w:rFonts w:hint="eastAsia"/>
        </w:rPr>
        <w:t>O</w:t>
      </w:r>
      <w:r>
        <w:t>LS</w:t>
      </w:r>
      <w:r>
        <w:rPr>
          <w:rFonts w:hint="eastAsia"/>
        </w:rPr>
        <w:t>）</w:t>
      </w:r>
      <w:bookmarkEnd w:id="4"/>
    </w:p>
    <w:p w:rsidR="0084369E" w:rsidRPr="0084369E" w:rsidRDefault="0084369E" w:rsidP="0084369E"/>
    <w:p w:rsidR="0084369E" w:rsidRDefault="0084369E" w:rsidP="0084369E">
      <w:pPr>
        <w:pStyle w:val="3"/>
      </w:pPr>
      <w:bookmarkStart w:id="5" w:name="_Toc3316019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弹性网络（</w:t>
      </w:r>
      <w:r>
        <w:rPr>
          <w:rFonts w:hint="eastAsia"/>
        </w:rPr>
        <w:t>Elastic</w:t>
      </w:r>
      <w:r>
        <w:t xml:space="preserve"> N</w:t>
      </w:r>
      <w:r>
        <w:rPr>
          <w:rFonts w:hint="eastAsia"/>
        </w:rPr>
        <w:t>et</w:t>
      </w:r>
      <w:r>
        <w:rPr>
          <w:rFonts w:hint="eastAsia"/>
        </w:rPr>
        <w:t>）</w:t>
      </w:r>
      <w:bookmarkEnd w:id="5"/>
    </w:p>
    <w:p w:rsidR="0084369E" w:rsidRDefault="0084369E" w:rsidP="0084369E">
      <w:pPr>
        <w:pStyle w:val="3"/>
      </w:pPr>
      <w:bookmarkStart w:id="6" w:name="_Toc3316020"/>
      <w:r>
        <w:rPr>
          <w:rFonts w:hint="eastAsia"/>
        </w:rPr>
        <w:t>3.3</w:t>
      </w:r>
      <w:bookmarkEnd w:id="6"/>
      <w:r>
        <w:t xml:space="preserve"> </w:t>
      </w:r>
    </w:p>
    <w:p w:rsidR="0084369E" w:rsidRDefault="0084369E" w:rsidP="0084369E">
      <w:pPr>
        <w:pStyle w:val="3"/>
      </w:pPr>
      <w:bookmarkStart w:id="7" w:name="_Toc3316021"/>
      <w:r>
        <w:rPr>
          <w:rFonts w:hint="eastAsia"/>
        </w:rPr>
        <w:t>3.4</w:t>
      </w:r>
      <w:r>
        <w:t xml:space="preserve"> B</w:t>
      </w:r>
      <w:r>
        <w:rPr>
          <w:rFonts w:hint="eastAsia"/>
        </w:rPr>
        <w:t>oosting</w:t>
      </w:r>
      <w:bookmarkEnd w:id="7"/>
    </w:p>
    <w:p w:rsidR="0084369E" w:rsidRPr="0084369E" w:rsidRDefault="0084369E" w:rsidP="0084369E">
      <w:pPr>
        <w:pStyle w:val="3"/>
      </w:pPr>
      <w:bookmarkStart w:id="8" w:name="_Toc3316022"/>
      <w:r>
        <w:rPr>
          <w:rFonts w:hint="eastAsia"/>
        </w:rPr>
        <w:t>3.5</w:t>
      </w:r>
      <w:r>
        <w:t xml:space="preserve"> R</w:t>
      </w:r>
      <w:r>
        <w:rPr>
          <w:rFonts w:hint="eastAsia"/>
        </w:rPr>
        <w:t>andom</w:t>
      </w:r>
      <w:r>
        <w:t xml:space="preserve"> F</w:t>
      </w:r>
      <w:r>
        <w:rPr>
          <w:rFonts w:hint="eastAsia"/>
        </w:rPr>
        <w:t>orest</w:t>
      </w:r>
      <w:bookmarkEnd w:id="8"/>
    </w:p>
    <w:p w:rsidR="0084369E" w:rsidRDefault="0084369E" w:rsidP="00E53D81">
      <w:pPr>
        <w:pStyle w:val="3"/>
      </w:pPr>
      <w:r>
        <w:rPr>
          <w:rFonts w:hint="eastAsia"/>
        </w:rPr>
        <w:t>3.6</w:t>
      </w:r>
      <w:r>
        <w:t xml:space="preserve"> </w:t>
      </w:r>
      <w:r w:rsidR="00E53D81">
        <w:rPr>
          <w:rFonts w:hint="eastAsia"/>
        </w:rPr>
        <w:t>模型评价标准</w:t>
      </w:r>
    </w:p>
    <w:p w:rsidR="00E53D81" w:rsidRDefault="00E53D81" w:rsidP="000B2703">
      <w:r>
        <w:tab/>
      </w:r>
      <w:r>
        <w:rPr>
          <w:rFonts w:hint="eastAsia"/>
        </w:rPr>
        <w:t>当使用机器学习模型来学习数据时，传统的可决系数评价标准将不再适用于我们的问题。所以，在这里本文定义了一种更适合机器学习模型的评价标准：样本外R-square，其计算方式如下：</w:t>
      </w:r>
    </w:p>
    <w:p w:rsidR="00E53D81" w:rsidRDefault="00B32D33" w:rsidP="000B270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OOS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=1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(i,  t)∈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 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 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(i,  t)∈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 t+1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4369E" w:rsidRDefault="00E53D81" w:rsidP="000B2703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值的是测试集，也就是完全处于样本外的部分。该评价标准计算了模型对于所有样本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的平均预测误差，可以适用于所有的机器学习模型。</w:t>
      </w:r>
    </w:p>
    <w:p w:rsidR="00E53D81" w:rsidRDefault="00E53D81" w:rsidP="00E53D81">
      <w:pPr>
        <w:pStyle w:val="3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模型间的对比</w:t>
      </w:r>
    </w:p>
    <w:p w:rsidR="00E53D81" w:rsidRDefault="00E53D81" w:rsidP="00E53D81">
      <w:pPr>
        <w:pStyle w:val="3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模型有效性来源的分析</w:t>
      </w:r>
    </w:p>
    <w:p w:rsidR="0084369E" w:rsidRPr="000B2703" w:rsidRDefault="0084369E" w:rsidP="000B2703">
      <w:r>
        <w:tab/>
      </w:r>
    </w:p>
    <w:p w:rsidR="00F203F6" w:rsidRDefault="007A18FF" w:rsidP="00F203F6">
      <w:pPr>
        <w:pStyle w:val="2"/>
      </w:pPr>
      <w:bookmarkStart w:id="9" w:name="_Toc3316023"/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 w:rsidR="00EB274A">
        <w:rPr>
          <w:rFonts w:hint="eastAsia"/>
        </w:rPr>
        <w:t>输入特征选取</w:t>
      </w:r>
      <w:bookmarkEnd w:id="9"/>
    </w:p>
    <w:p w:rsidR="00EB274A" w:rsidRDefault="00EB274A" w:rsidP="00E4718E">
      <w:pPr>
        <w:ind w:firstLine="420"/>
      </w:pPr>
      <w:r>
        <w:rPr>
          <w:rFonts w:hint="eastAsia"/>
        </w:rPr>
        <w:t>模型的输入变量分为</w:t>
      </w:r>
      <w:r w:rsidR="00BA5DF1">
        <w:rPr>
          <w:rFonts w:hint="eastAsia"/>
        </w:rPr>
        <w:t>三</w:t>
      </w:r>
      <w:r>
        <w:rPr>
          <w:rFonts w:hint="eastAsia"/>
        </w:rPr>
        <w:t>个部分，一部分是个股的因子值，</w:t>
      </w:r>
      <w:r w:rsidR="00BA5DF1">
        <w:rPr>
          <w:rFonts w:hint="eastAsia"/>
        </w:rPr>
        <w:t>二</w:t>
      </w:r>
      <w:r>
        <w:rPr>
          <w:rFonts w:hint="eastAsia"/>
        </w:rPr>
        <w:t>是因子值与宏观变量的交叉项</w:t>
      </w:r>
      <w:r w:rsidR="00BA5DF1">
        <w:rPr>
          <w:rFonts w:hint="eastAsia"/>
        </w:rPr>
        <w:t>，最后是行业虚拟变量</w:t>
      </w:r>
      <w:r>
        <w:rPr>
          <w:rFonts w:hint="eastAsia"/>
        </w:rPr>
        <w:t>。这一部分将对这</w:t>
      </w:r>
      <w:r w:rsidR="00BA5DF1">
        <w:rPr>
          <w:rFonts w:hint="eastAsia"/>
        </w:rPr>
        <w:t>三</w:t>
      </w:r>
      <w:r>
        <w:rPr>
          <w:rFonts w:hint="eastAsia"/>
        </w:rPr>
        <w:t>部分特征的选取做一个详细的介绍。</w:t>
      </w:r>
    </w:p>
    <w:p w:rsidR="00EB274A" w:rsidRDefault="00EB274A" w:rsidP="00EB274A">
      <w:pPr>
        <w:pStyle w:val="3"/>
      </w:pPr>
      <w:bookmarkStart w:id="10" w:name="_Toc3316024"/>
      <w:r>
        <w:rPr>
          <w:rFonts w:hint="eastAsia"/>
        </w:rPr>
        <w:t>4.1</w:t>
      </w:r>
      <w:r>
        <w:t xml:space="preserve"> </w:t>
      </w:r>
      <w:r w:rsidR="0084369E">
        <w:rPr>
          <w:rFonts w:hint="eastAsia"/>
        </w:rPr>
        <w:t>个股</w:t>
      </w:r>
      <w:r>
        <w:rPr>
          <w:rFonts w:hint="eastAsia"/>
        </w:rPr>
        <w:t>因子选取</w:t>
      </w:r>
      <w:bookmarkEnd w:id="10"/>
    </w:p>
    <w:p w:rsidR="008C0B6D" w:rsidRDefault="00EB274A" w:rsidP="008F539B">
      <w:pPr>
        <w:ind w:firstLine="420"/>
      </w:pPr>
      <w:r>
        <w:rPr>
          <w:rFonts w:hint="eastAsia"/>
        </w:rPr>
        <w:t>个股的因子部分，</w:t>
      </w:r>
      <w:r>
        <w:t xml:space="preserve">Belly, </w:t>
      </w:r>
      <w:proofErr w:type="spellStart"/>
      <w:r w:rsidR="001540FF">
        <w:rPr>
          <w:rFonts w:hint="eastAsia"/>
        </w:rPr>
        <w:t>Xiu</w:t>
      </w:r>
      <w:proofErr w:type="spellEnd"/>
      <w:r w:rsidR="001540FF">
        <w:rPr>
          <w:rFonts w:hint="eastAsia"/>
        </w:rPr>
        <w:t>（2017）等人的论文，汇总了95个在美国市场上被认为有效的异常因子，</w:t>
      </w:r>
      <w:r w:rsidR="00C3667E">
        <w:rPr>
          <w:rFonts w:hint="eastAsia"/>
        </w:rPr>
        <w:t>但</w:t>
      </w:r>
      <w:r w:rsidR="008F539B">
        <w:rPr>
          <w:rFonts w:hint="eastAsia"/>
        </w:rPr>
        <w:t>大量的研究显示，在美国市场上显著的异常因子，并不一定适合中国A股市场。因此，需要</w:t>
      </w:r>
      <w:r w:rsidR="001540FF">
        <w:rPr>
          <w:rFonts w:hint="eastAsia"/>
        </w:rPr>
        <w:t>考虑中国的情况</w:t>
      </w:r>
      <w:r w:rsidR="008F539B">
        <w:rPr>
          <w:rFonts w:hint="eastAsia"/>
        </w:rPr>
        <w:t>选择合适的因子</w:t>
      </w:r>
      <w:r w:rsidR="001540FF">
        <w:rPr>
          <w:rFonts w:hint="eastAsia"/>
        </w:rPr>
        <w:t>，</w:t>
      </w:r>
      <w:r w:rsidR="008F539B">
        <w:rPr>
          <w:rFonts w:hint="eastAsia"/>
        </w:rPr>
        <w:t>这里我们同样</w:t>
      </w:r>
      <w:r w:rsidR="001540FF">
        <w:rPr>
          <w:rFonts w:hint="eastAsia"/>
        </w:rPr>
        <w:t>参考</w:t>
      </w:r>
      <w:r w:rsidR="008F539B">
        <w:rPr>
          <w:rFonts w:hint="eastAsia"/>
        </w:rPr>
        <w:t>了</w:t>
      </w:r>
      <w:r w:rsidR="001540FF">
        <w:rPr>
          <w:rFonts w:hint="eastAsia"/>
        </w:rPr>
        <w:t>Liu（2018）</w:t>
      </w:r>
      <w:r w:rsidR="00DD599F">
        <w:rPr>
          <w:rFonts w:hint="eastAsia"/>
        </w:rPr>
        <w:t>中列举出的9大类</w:t>
      </w:r>
      <w:r w:rsidR="00C3667E">
        <w:rPr>
          <w:rFonts w:hint="eastAsia"/>
        </w:rPr>
        <w:t>14个</w:t>
      </w:r>
      <w:r w:rsidR="00DD599F">
        <w:rPr>
          <w:rFonts w:hint="eastAsia"/>
        </w:rPr>
        <w:t>在中国市场比较显著的因子</w:t>
      </w:r>
      <w:r w:rsidR="001540FF">
        <w:rPr>
          <w:rFonts w:hint="eastAsia"/>
        </w:rPr>
        <w:t>，</w:t>
      </w:r>
      <w:r w:rsidR="008F539B">
        <w:rPr>
          <w:rFonts w:hint="eastAsia"/>
        </w:rPr>
        <w:t>其取值均可由个股的市场数据和财务报表数据整理计算得到，这些数据将来自国泰安经济金融研究数据库。</w:t>
      </w:r>
    </w:p>
    <w:p w:rsidR="00886042" w:rsidRDefault="00886042" w:rsidP="008C0B6D"/>
    <w:p w:rsidR="00886042" w:rsidRDefault="00886042" w:rsidP="008C0B6D">
      <w:r>
        <w:lastRenderedPageBreak/>
        <w:tab/>
      </w:r>
      <w:r>
        <w:rPr>
          <w:rFonts w:hint="eastAsia"/>
        </w:rPr>
        <w:t>具体</w:t>
      </w:r>
      <w:r w:rsidR="006A5A3B">
        <w:rPr>
          <w:rFonts w:hint="eastAsia"/>
        </w:rPr>
        <w:t>的</w:t>
      </w:r>
      <w:r>
        <w:rPr>
          <w:rFonts w:hint="eastAsia"/>
        </w:rPr>
        <w:t>因子定义以及详细的计算方式列示如下：</w:t>
      </w:r>
    </w:p>
    <w:p w:rsidR="000155ED" w:rsidRDefault="000155ED" w:rsidP="008C0B6D"/>
    <w:p w:rsidR="006A5A3B" w:rsidRDefault="000155ED" w:rsidP="000155E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Size</w:t>
      </w:r>
      <w:r>
        <w:t xml:space="preserve">: </w:t>
      </w:r>
      <w:r>
        <w:rPr>
          <w:rFonts w:hint="eastAsia"/>
        </w:rPr>
        <w:t>个股的市值，由t时点的收盘价乘以发行在外总股本数得到。</w:t>
      </w:r>
      <w:r w:rsidR="00695B1D">
        <w:rPr>
          <w:rFonts w:hint="eastAsia"/>
        </w:rPr>
        <w:t>（总市值而非流通市值）</w:t>
      </w:r>
    </w:p>
    <w:p w:rsidR="003453B1" w:rsidRDefault="003453B1" w:rsidP="003453B1">
      <w:pPr>
        <w:pStyle w:val="a9"/>
        <w:ind w:left="420" w:firstLineChars="0" w:firstLine="0"/>
      </w:pPr>
    </w:p>
    <w:p w:rsidR="000155ED" w:rsidRDefault="000155ED" w:rsidP="000155E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alue: </w:t>
      </w:r>
      <w:r w:rsidR="003453B1">
        <w:rPr>
          <w:rFonts w:hint="eastAsia"/>
        </w:rPr>
        <w:t>个股的价值，</w:t>
      </w:r>
      <w:r>
        <w:rPr>
          <w:rFonts w:hint="eastAsia"/>
        </w:rPr>
        <w:t>包括</w:t>
      </w:r>
      <w:r w:rsidR="003453B1">
        <w:rPr>
          <w:rFonts w:hint="eastAsia"/>
        </w:rPr>
        <w:t>市盈率（</w:t>
      </w:r>
      <w:r w:rsidR="003453B1" w:rsidRPr="003453B1">
        <w:t>Earnings-price ratio</w:t>
      </w:r>
      <w:r w:rsidR="003453B1">
        <w:rPr>
          <w:rFonts w:hint="eastAsia"/>
        </w:rPr>
        <w:t>，</w:t>
      </w:r>
      <w:r w:rsidR="003453B1" w:rsidRPr="003453B1">
        <w:t>EP)</w:t>
      </w:r>
      <w:r w:rsidR="003453B1">
        <w:rPr>
          <w:rFonts w:hint="eastAsia"/>
        </w:rPr>
        <w:t>，</w:t>
      </w:r>
      <w:proofErr w:type="gramStart"/>
      <w:r w:rsidR="003453B1">
        <w:rPr>
          <w:rFonts w:hint="eastAsia"/>
        </w:rPr>
        <w:t>市净率</w:t>
      </w:r>
      <w:proofErr w:type="gramEnd"/>
      <w:r w:rsidR="003453B1">
        <w:rPr>
          <w:rFonts w:hint="eastAsia"/>
        </w:rPr>
        <w:t>（</w:t>
      </w:r>
      <w:r w:rsidR="003453B1" w:rsidRPr="003453B1">
        <w:t>Book-to-market ratio</w:t>
      </w:r>
      <w:r w:rsidR="003453B1">
        <w:rPr>
          <w:rFonts w:hint="eastAsia"/>
        </w:rPr>
        <w:t>，</w:t>
      </w:r>
      <w:r w:rsidR="003453B1" w:rsidRPr="003453B1">
        <w:t>BM)</w:t>
      </w:r>
      <w:r w:rsidR="003453B1">
        <w:rPr>
          <w:rFonts w:hint="eastAsia"/>
        </w:rPr>
        <w:t>以及市现率（</w:t>
      </w:r>
      <w:r w:rsidR="003453B1" w:rsidRPr="003453B1">
        <w:t>Cash</w:t>
      </w:r>
      <w:r w:rsidR="003453B1">
        <w:rPr>
          <w:rFonts w:hint="eastAsia"/>
        </w:rPr>
        <w:t>-fl</w:t>
      </w:r>
      <w:r w:rsidR="003453B1" w:rsidRPr="003453B1">
        <w:t>ow-to-price</w:t>
      </w:r>
      <w:r w:rsidR="003453B1">
        <w:rPr>
          <w:rFonts w:hint="eastAsia"/>
        </w:rPr>
        <w:t>，</w:t>
      </w:r>
      <w:r w:rsidR="003453B1" w:rsidRPr="003453B1">
        <w:t>CP)</w:t>
      </w:r>
      <w:r w:rsidR="003453B1">
        <w:rPr>
          <w:rFonts w:hint="eastAsia"/>
        </w:rPr>
        <w:t>三个因子。</w:t>
      </w:r>
    </w:p>
    <w:p w:rsidR="003453B1" w:rsidRDefault="003453B1" w:rsidP="003453B1">
      <w:pPr>
        <w:pStyle w:val="a9"/>
        <w:ind w:left="420" w:firstLineChars="0" w:firstLine="0"/>
      </w:pPr>
    </w:p>
    <w:p w:rsidR="003453B1" w:rsidRDefault="003453B1" w:rsidP="000155E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Profitability：个股的盈利能力，主要以权益收益率R</w:t>
      </w:r>
      <w:r>
        <w:t>OE</w:t>
      </w:r>
      <w:r>
        <w:rPr>
          <w:rFonts w:hint="eastAsia"/>
        </w:rPr>
        <w:t>来衡量。</w:t>
      </w:r>
    </w:p>
    <w:p w:rsidR="003453B1" w:rsidRDefault="003453B1" w:rsidP="003453B1">
      <w:pPr>
        <w:pStyle w:val="a9"/>
        <w:ind w:left="420" w:firstLineChars="0" w:firstLine="0"/>
      </w:pPr>
    </w:p>
    <w:p w:rsidR="003453B1" w:rsidRDefault="003453B1" w:rsidP="000155E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olatility</w:t>
      </w:r>
      <w:r>
        <w:rPr>
          <w:rFonts w:hint="eastAsia"/>
        </w:rPr>
        <w:t>：个股的波动率，包括以下两个部分</w:t>
      </w:r>
    </w:p>
    <w:p w:rsidR="003453B1" w:rsidRDefault="003453B1" w:rsidP="003453B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一月期滚动波动率：</w:t>
      </w:r>
      <w:proofErr w:type="gramStart"/>
      <w:r>
        <w:rPr>
          <w:rFonts w:hint="eastAsia"/>
        </w:rPr>
        <w:t>以日度收益率</w:t>
      </w:r>
      <w:proofErr w:type="gramEnd"/>
      <w:r>
        <w:rPr>
          <w:rFonts w:hint="eastAsia"/>
        </w:rPr>
        <w:t>计算得到的过去20个交易日的收益率标准差。</w:t>
      </w:r>
    </w:p>
    <w:p w:rsidR="003453B1" w:rsidRDefault="003453B1" w:rsidP="003453B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M</w:t>
      </w:r>
      <w:r>
        <w:t>AX</w:t>
      </w:r>
      <w:r>
        <w:rPr>
          <w:rFonts w:hint="eastAsia"/>
        </w:rPr>
        <w:t>：过去20个交易日中的</w:t>
      </w:r>
      <w:proofErr w:type="gramStart"/>
      <w:r>
        <w:rPr>
          <w:rFonts w:hint="eastAsia"/>
        </w:rPr>
        <w:t>最高日度收益率</w:t>
      </w:r>
      <w:proofErr w:type="gramEnd"/>
    </w:p>
    <w:p w:rsidR="003453B1" w:rsidRDefault="003453B1" w:rsidP="003453B1">
      <w:pPr>
        <w:pStyle w:val="a9"/>
        <w:ind w:left="840" w:firstLineChars="0" w:firstLine="0"/>
      </w:pPr>
    </w:p>
    <w:p w:rsidR="003453B1" w:rsidRDefault="003453B1" w:rsidP="003453B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vestment</w:t>
      </w:r>
      <w:r>
        <w:rPr>
          <w:rFonts w:hint="eastAsia"/>
        </w:rPr>
        <w:t>：公司的投资幅度，以年度的总资产增长率进行衡量。需要注意的是，总资产增长率以最近一份年报中的总资产，相对于其前一年年报中的总资产的增长率为</w:t>
      </w:r>
      <w:r w:rsidR="007478CF">
        <w:rPr>
          <w:rFonts w:hint="eastAsia"/>
        </w:rPr>
        <w:t>标准。</w:t>
      </w:r>
    </w:p>
    <w:p w:rsidR="007478CF" w:rsidRDefault="007478CF" w:rsidP="007478CF">
      <w:pPr>
        <w:pStyle w:val="a9"/>
        <w:ind w:left="420" w:firstLineChars="0" w:firstLine="0"/>
      </w:pPr>
    </w:p>
    <w:p w:rsidR="007478CF" w:rsidRDefault="007478CF" w:rsidP="003453B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Accruals：个股的应计收入，包括以下两个因子</w:t>
      </w:r>
    </w:p>
    <w:p w:rsidR="007478CF" w:rsidRDefault="007478CF" w:rsidP="007478CF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应计收入（Sloan（1</w:t>
      </w:r>
      <w:r>
        <w:t>996</w:t>
      </w:r>
      <w:r>
        <w:rPr>
          <w:rFonts w:hint="eastAsia"/>
        </w:rPr>
        <w:t>））：</w:t>
      </w:r>
      <w:r>
        <w:t xml:space="preserve"> </w:t>
      </w:r>
    </w:p>
    <w:p w:rsidR="007478CF" w:rsidRDefault="00B32D33" w:rsidP="007478CF">
      <w:pPr>
        <w:pStyle w:val="a9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Accrual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 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Cash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 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 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-Dep</m:t>
          </m:r>
        </m:oMath>
      </m:oMathPara>
    </w:p>
    <w:p w:rsidR="005B38F9" w:rsidRDefault="005B38F9" w:rsidP="005B38F9">
      <w:pPr>
        <w:pStyle w:val="a9"/>
        <w:ind w:left="840" w:firstLineChars="0" w:firstLine="0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分别代表流动资产和流动负债相对于上年的增长额，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Cash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09DB">
        <w:rPr>
          <w:rFonts w:hint="eastAsia"/>
        </w:rPr>
        <w:t>代表现金相对上年的增长，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09DB">
        <w:rPr>
          <w:rFonts w:hint="eastAsia"/>
        </w:rPr>
        <w:t>代表流动负债中负债部分的增长，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09DB">
        <w:rPr>
          <w:rFonts w:hint="eastAsia"/>
        </w:rPr>
        <w:t>代表</w:t>
      </w:r>
      <w:r w:rsidR="00521BA7">
        <w:rPr>
          <w:rFonts w:hint="eastAsia"/>
        </w:rPr>
        <w:t>应纳税额增长，Dep则代表过去一年的折旧摊销额。</w:t>
      </w:r>
    </w:p>
    <w:p w:rsidR="007478CF" w:rsidRDefault="00264A17" w:rsidP="007478CF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净运营资产（Net</w:t>
      </w:r>
      <w:r>
        <w:t>-operating-assets, NOA）:</w:t>
      </w:r>
    </w:p>
    <w:p w:rsidR="00264A17" w:rsidRDefault="00B32D33" w:rsidP="00264A17">
      <w:pPr>
        <w:pStyle w:val="a9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NOA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Operating asset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Operating liability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Total asset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264A17" w:rsidRDefault="00264A17" w:rsidP="00264A17"/>
    <w:p w:rsidR="00264A17" w:rsidRDefault="00264A17" w:rsidP="00264A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lliquidity(</w:t>
      </w:r>
      <w:proofErr w:type="spellStart"/>
      <w:r>
        <w:t>Amihud</w:t>
      </w:r>
      <w:proofErr w:type="spellEnd"/>
      <w:r>
        <w:t>(2002))</w:t>
      </w:r>
      <w:r>
        <w:rPr>
          <w:rFonts w:hint="eastAsia"/>
        </w:rPr>
        <w:t>：个股的流动性，以t时点个股收益率的绝对值，除以其同期交易量来衡量。</w:t>
      </w:r>
    </w:p>
    <w:p w:rsidR="00264A17" w:rsidRDefault="00B32D33" w:rsidP="00264A17">
      <w:pPr>
        <w:pStyle w:val="a9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Illiq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Volume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264A17" w:rsidRDefault="00264A17" w:rsidP="00264A17"/>
    <w:p w:rsidR="00264A17" w:rsidRDefault="00264A17" w:rsidP="00264A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Turnover：个股的换手率，主要包括以下两个方面</w:t>
      </w:r>
    </w:p>
    <w:p w:rsidR="00264A17" w:rsidRDefault="00264A17" w:rsidP="00264A1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个月换手率：过去2</w:t>
      </w:r>
      <w:r>
        <w:t>50</w:t>
      </w:r>
      <w:r>
        <w:rPr>
          <w:rFonts w:hint="eastAsia"/>
        </w:rPr>
        <w:t>个交易日的平均换手率（换手率 =</w:t>
      </w:r>
      <w:r>
        <w:t xml:space="preserve"> </w:t>
      </w:r>
      <w:r>
        <w:rPr>
          <w:rFonts w:hint="eastAsia"/>
        </w:rPr>
        <w:t>交易量/发行在外股份数）（</w:t>
      </w:r>
      <w:proofErr w:type="gramStart"/>
      <w:r w:rsidRPr="00264A17">
        <w:rPr>
          <w:rFonts w:hint="eastAsia"/>
          <w:color w:val="FF0000"/>
        </w:rPr>
        <w:t>用流通</w:t>
      </w:r>
      <w:proofErr w:type="gramEnd"/>
      <w:r w:rsidRPr="00264A17">
        <w:rPr>
          <w:rFonts w:hint="eastAsia"/>
          <w:color w:val="FF0000"/>
        </w:rPr>
        <w:t>股本</w:t>
      </w:r>
      <w:r>
        <w:rPr>
          <w:rFonts w:hint="eastAsia"/>
        </w:rPr>
        <w:t>）</w:t>
      </w:r>
    </w:p>
    <w:p w:rsidR="00264A17" w:rsidRDefault="00264A17" w:rsidP="00264A1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1月期异常换手率：</w:t>
      </w:r>
      <w:r w:rsidR="00AF0110">
        <w:rPr>
          <w:rFonts w:hint="eastAsia"/>
        </w:rPr>
        <w:t>过去20个交易日的平均</w:t>
      </w:r>
      <w:proofErr w:type="gramStart"/>
      <w:r w:rsidR="00AF0110">
        <w:rPr>
          <w:rFonts w:hint="eastAsia"/>
        </w:rPr>
        <w:t>换手率于过去</w:t>
      </w:r>
      <w:proofErr w:type="gramEnd"/>
      <w:r w:rsidR="00AF0110">
        <w:rPr>
          <w:rFonts w:hint="eastAsia"/>
        </w:rPr>
        <w:t>250个交易日</w:t>
      </w:r>
      <w:proofErr w:type="gramStart"/>
      <w:r w:rsidR="00AF0110">
        <w:rPr>
          <w:rFonts w:hint="eastAsia"/>
        </w:rPr>
        <w:t>换平均手</w:t>
      </w:r>
      <w:proofErr w:type="gramEnd"/>
      <w:r w:rsidR="00AF0110">
        <w:rPr>
          <w:rFonts w:hint="eastAsia"/>
        </w:rPr>
        <w:t>率的比值</w:t>
      </w:r>
    </w:p>
    <w:p w:rsidR="00264A17" w:rsidRDefault="00264A17" w:rsidP="00264A17">
      <w:pPr>
        <w:pStyle w:val="a9"/>
        <w:ind w:left="420" w:firstLineChars="0" w:firstLine="0"/>
      </w:pPr>
    </w:p>
    <w:p w:rsidR="00264A17" w:rsidRDefault="00AF0110" w:rsidP="00264A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Reversal：个股的反转效应，以过去20个交易日的累计收益率进行衡量</w:t>
      </w:r>
    </w:p>
    <w:p w:rsidR="00264A17" w:rsidRDefault="00264A17" w:rsidP="00264A17"/>
    <w:p w:rsidR="00814A55" w:rsidRDefault="00B32D33" w:rsidP="00B32D33">
      <w:pPr>
        <w:ind w:firstLine="420"/>
      </w:pPr>
      <w:r>
        <w:rPr>
          <w:rFonts w:hint="eastAsia"/>
        </w:rPr>
        <w:t>为了验证因子选取的有效性，在这一部分里，本文将沿用经典资产定价文献所使用的方式，从以下两个方面对所选的因子进行分析：首先，对于每个因子，本文使用上个月的因子值，将沪深两场所有股票分为</w:t>
      </w:r>
      <w:r w:rsidR="003A06D1">
        <w:rPr>
          <w:rFonts w:hint="eastAsia"/>
        </w:rPr>
        <w:t>5</w:t>
      </w:r>
      <w:r>
        <w:rPr>
          <w:rFonts w:hint="eastAsia"/>
        </w:rPr>
        <w:t>组，以市值加权和等</w:t>
      </w:r>
      <w:proofErr w:type="gramStart"/>
      <w:r>
        <w:rPr>
          <w:rFonts w:hint="eastAsia"/>
        </w:rPr>
        <w:t>权两种</w:t>
      </w:r>
      <w:proofErr w:type="gramEnd"/>
      <w:r>
        <w:rPr>
          <w:rFonts w:hint="eastAsia"/>
        </w:rPr>
        <w:t>方式构建组合，按月调仓，最终得到</w:t>
      </w:r>
      <w:r w:rsidR="003A06D1">
        <w:rPr>
          <w:rFonts w:hint="eastAsia"/>
        </w:rPr>
        <w:t>5</w:t>
      </w:r>
      <w:r>
        <w:rPr>
          <w:rFonts w:hint="eastAsia"/>
        </w:rPr>
        <w:t>个组合的月度收益率，并对以做多第</w:t>
      </w:r>
      <w:r w:rsidR="003A06D1">
        <w:rPr>
          <w:rFonts w:hint="eastAsia"/>
        </w:rPr>
        <w:t>5</w:t>
      </w:r>
      <w:r>
        <w:rPr>
          <w:rFonts w:hint="eastAsia"/>
        </w:rPr>
        <w:t>组同时做空第1组的方式构建的high-minus-low组合的收益率进行t检验，从而验证因子在横截面上的有效性。其次，为了考察各个因子之间的相关性，以第一步中构建的各因子的high-minus-low组合的时间序列收益率，计</w:t>
      </w:r>
      <w:r>
        <w:rPr>
          <w:rFonts w:hint="eastAsia"/>
        </w:rPr>
        <w:lastRenderedPageBreak/>
        <w:t>算组合间的相关系数</w:t>
      </w:r>
      <w:r w:rsidR="00EC4CF8">
        <w:rPr>
          <w:rFonts w:hint="eastAsia"/>
        </w:rPr>
        <w:t>，从而反映因子之间的相关性。</w:t>
      </w:r>
    </w:p>
    <w:p w:rsidR="00EC4CF8" w:rsidRDefault="00EC4CF8" w:rsidP="00B32D33">
      <w:pPr>
        <w:ind w:firstLine="420"/>
      </w:pPr>
    </w:p>
    <w:p w:rsidR="009847B3" w:rsidRDefault="009847B3" w:rsidP="00B32D33">
      <w:pPr>
        <w:ind w:firstLine="420"/>
      </w:pPr>
      <w:r>
        <w:rPr>
          <w:rFonts w:hint="eastAsia"/>
        </w:rPr>
        <w:t>此外，考虑到2017年以来A股市</w:t>
      </w:r>
      <w:proofErr w:type="gramStart"/>
      <w:r>
        <w:rPr>
          <w:rFonts w:hint="eastAsia"/>
        </w:rPr>
        <w:t>场风格</w:t>
      </w:r>
      <w:proofErr w:type="gramEnd"/>
      <w:r>
        <w:rPr>
          <w:rFonts w:hint="eastAsia"/>
        </w:rPr>
        <w:t>的转变，本文做了两个时间区间的测试，一个是2008年-2016年，另一个则是2008-2018年。在这两个时间区间下，分别得到的因子的t值列示在下表中：</w:t>
      </w:r>
    </w:p>
    <w:p w:rsidR="009847B3" w:rsidRDefault="009847B3" w:rsidP="00B32D33">
      <w:pPr>
        <w:ind w:firstLine="420"/>
      </w:pPr>
    </w:p>
    <w:p w:rsidR="009847B3" w:rsidRDefault="009847B3" w:rsidP="00B32D33">
      <w:pPr>
        <w:ind w:firstLine="420"/>
      </w:pPr>
      <w:r>
        <w:rPr>
          <w:rFonts w:hint="eastAsia"/>
        </w:rPr>
        <w:t>值得注意的一点是，本文与传统论文的根本区别点在于将焦点放在机器学习算法，和非线性关系的拟合之上，所以只考虑t检验的结果是不够的，下面的14张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给出了在2008-2018年这个区间下，每个因子的分组累积净值曲线，以供我们观察是否存在一些非线性的关系：</w:t>
      </w:r>
    </w:p>
    <w:p w:rsidR="009847B3" w:rsidRDefault="009847B3" w:rsidP="00B32D33">
      <w:pPr>
        <w:ind w:firstLine="420"/>
        <w:rPr>
          <w:rFonts w:hint="eastAsia"/>
        </w:rPr>
      </w:pPr>
    </w:p>
    <w:p w:rsidR="009847B3" w:rsidRDefault="009847B3" w:rsidP="00B32D33">
      <w:pPr>
        <w:ind w:firstLine="420"/>
        <w:rPr>
          <w:rFonts w:hint="eastAsia"/>
        </w:rPr>
      </w:pPr>
      <w:r>
        <w:rPr>
          <w:rFonts w:hint="eastAsia"/>
        </w:rPr>
        <w:t>最后，下表给出了在2008-2018这个时间区间下，所有因子之间的相关系数矩阵，从中可以看出，</w:t>
      </w:r>
      <w:r w:rsidR="005930D3">
        <w:rPr>
          <w:rFonts w:hint="eastAsia"/>
        </w:rPr>
        <w:t>应计收入因子和价值类因子之间的相关性较强，此外，投资因子和流动性因子的相关性较强，两个</w:t>
      </w:r>
      <w:proofErr w:type="gramStart"/>
      <w:r w:rsidR="005930D3">
        <w:rPr>
          <w:rFonts w:hint="eastAsia"/>
        </w:rPr>
        <w:t>换手率类的</w:t>
      </w:r>
      <w:proofErr w:type="gramEnd"/>
      <w:r w:rsidR="005930D3">
        <w:rPr>
          <w:rFonts w:hint="eastAsia"/>
        </w:rPr>
        <w:t>因子之间，以及两个</w:t>
      </w:r>
      <w:proofErr w:type="gramStart"/>
      <w:r w:rsidR="005930D3">
        <w:rPr>
          <w:rFonts w:hint="eastAsia"/>
        </w:rPr>
        <w:t>波动率类的</w:t>
      </w:r>
      <w:proofErr w:type="gramEnd"/>
      <w:r w:rsidR="005930D3">
        <w:rPr>
          <w:rFonts w:hint="eastAsia"/>
        </w:rPr>
        <w:t>因子之间都有比较强的相关性。如果用传统的O</w:t>
      </w:r>
      <w:r w:rsidR="005930D3">
        <w:t>LS</w:t>
      </w:r>
      <w:r w:rsidR="005930D3">
        <w:rPr>
          <w:rFonts w:hint="eastAsia"/>
        </w:rPr>
        <w:t>算法，将相关性较强的因子同时放在模型中难免会导致多重共线性的问题，但机器学习算法都有很好的变量动态选择和预防过拟合的机制，所以不需要剔除</w:t>
      </w:r>
      <w:proofErr w:type="gramStart"/>
      <w:r w:rsidR="005930D3">
        <w:rPr>
          <w:rFonts w:hint="eastAsia"/>
        </w:rPr>
        <w:t>掉高度</w:t>
      </w:r>
      <w:proofErr w:type="gramEnd"/>
      <w:r w:rsidR="005930D3">
        <w:rPr>
          <w:rFonts w:hint="eastAsia"/>
        </w:rPr>
        <w:t>相关的因子。</w:t>
      </w:r>
    </w:p>
    <w:p w:rsidR="00EC4CF8" w:rsidRDefault="00EC4CF8" w:rsidP="00B32D33">
      <w:pPr>
        <w:ind w:firstLine="420"/>
        <w:rPr>
          <w:rFonts w:hint="eastAsia"/>
        </w:rPr>
      </w:pPr>
    </w:p>
    <w:p w:rsidR="00F203F6" w:rsidRDefault="00886042" w:rsidP="00F203F6">
      <w:pPr>
        <w:pStyle w:val="3"/>
      </w:pPr>
      <w:bookmarkStart w:id="11" w:name="_Toc3316025"/>
      <w:r>
        <w:rPr>
          <w:rFonts w:hint="eastAsia"/>
        </w:rPr>
        <w:t>4.</w:t>
      </w:r>
      <w:r w:rsidR="00516F5B">
        <w:rPr>
          <w:rFonts w:hint="eastAsia"/>
        </w:rPr>
        <w:t>2</w:t>
      </w:r>
      <w:r>
        <w:t xml:space="preserve"> </w:t>
      </w:r>
      <w:r w:rsidR="00EB274A">
        <w:rPr>
          <w:rFonts w:hint="eastAsia"/>
        </w:rPr>
        <w:t>宏观变量选取</w:t>
      </w:r>
      <w:bookmarkEnd w:id="11"/>
    </w:p>
    <w:p w:rsidR="00EB274A" w:rsidRDefault="00EB274A" w:rsidP="00EB274A">
      <w:pPr>
        <w:ind w:firstLine="420"/>
      </w:pPr>
      <w:r>
        <w:rPr>
          <w:rFonts w:hint="eastAsia"/>
        </w:rPr>
        <w:t>宏观变量部分需要的是对于整个A股市场有普遍影响的宏观指标，既包括宏观经济指标，也包括一些反应金融市场整体运行状况的指标。参考Welch</w:t>
      </w:r>
      <w:r>
        <w:t xml:space="preserve"> </w:t>
      </w:r>
      <w:r>
        <w:rPr>
          <w:rFonts w:hint="eastAsia"/>
        </w:rPr>
        <w:t>and</w:t>
      </w:r>
      <w:r>
        <w:t xml:space="preserve"> G</w:t>
      </w:r>
      <w:r>
        <w:rPr>
          <w:rFonts w:hint="eastAsia"/>
        </w:rPr>
        <w:t>oyal（2008）的做法，选出了8个宏观变量，分别的计算方式以及数据来源列示如下：</w:t>
      </w:r>
    </w:p>
    <w:p w:rsidR="00EB274A" w:rsidRPr="00AA00C2" w:rsidRDefault="00EB274A" w:rsidP="00EB274A">
      <w:pPr>
        <w:ind w:firstLine="420"/>
      </w:pPr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市盈率（Earnings</w:t>
      </w:r>
      <w:r>
        <w:t xml:space="preserve"> P</w:t>
      </w:r>
      <w:r>
        <w:rPr>
          <w:rFonts w:hint="eastAsia"/>
        </w:rPr>
        <w:t>rice</w:t>
      </w:r>
      <w:r>
        <w:t xml:space="preserve"> R</w:t>
      </w:r>
      <w:r>
        <w:rPr>
          <w:rFonts w:hint="eastAsia"/>
        </w:rPr>
        <w:t>atio</w:t>
      </w:r>
      <w:r>
        <w:t>, EP）</w:t>
      </w:r>
      <w:r>
        <w:rPr>
          <w:rFonts w:hint="eastAsia"/>
        </w:rPr>
        <w:t>:来自wind数据库的申万A股平均市盈率数据</w:t>
      </w:r>
    </w:p>
    <w:p w:rsidR="00EB274A" w:rsidRDefault="00EB274A" w:rsidP="00EB274A">
      <w:pPr>
        <w:pStyle w:val="a9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Earnings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price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274A" w:rsidRDefault="00EB274A" w:rsidP="008F539B">
      <w:pPr>
        <w:ind w:firstLine="420"/>
      </w:pPr>
      <w:r>
        <w:rPr>
          <w:rFonts w:hint="eastAsia"/>
        </w:rPr>
        <w:t>Earnings：滚动过去12个月的Earnings之</w:t>
      </w:r>
      <w:proofErr w:type="gramStart"/>
      <w:r>
        <w:rPr>
          <w:rFonts w:hint="eastAsia"/>
        </w:rPr>
        <w:t>和</w:t>
      </w:r>
      <w:proofErr w:type="gramEnd"/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（</w:t>
      </w:r>
      <w:r>
        <w:t>Book-to-Market Ratio, BM）:</w:t>
      </w:r>
      <w:r w:rsidRPr="00245DF9">
        <w:rPr>
          <w:rFonts w:hint="eastAsia"/>
        </w:rPr>
        <w:t xml:space="preserve"> </w:t>
      </w:r>
      <w:r>
        <w:rPr>
          <w:rFonts w:hint="eastAsia"/>
        </w:rPr>
        <w:t>来自wind数据库的申万A股平均</w:t>
      </w:r>
      <w:proofErr w:type="gramStart"/>
      <w:r>
        <w:rPr>
          <w:rFonts w:hint="eastAsia"/>
        </w:rPr>
        <w:t>市净率数据</w:t>
      </w:r>
      <w:proofErr w:type="gramEnd"/>
    </w:p>
    <w:p w:rsidR="00EB274A" w:rsidRPr="00747F7E" w:rsidRDefault="00EB274A" w:rsidP="00EB274A">
      <w:pPr>
        <w:pStyle w:val="a9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BM=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book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Market </m:t>
                  </m:r>
                  <m:r>
                    <w:rPr>
                      <w:rFonts w:ascii="Cambria Math" w:hAnsi="Cambria Math" w:hint="eastAsia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权益净扩张（N</w:t>
      </w:r>
      <w:r>
        <w:t>et Equity Expansion, NTIS）:</w:t>
      </w:r>
      <w:r>
        <w:rPr>
          <w:rFonts w:hint="eastAsia"/>
        </w:rPr>
        <w:t>由wind数据提供的A股权益净增</w:t>
      </w:r>
      <w:proofErr w:type="gramStart"/>
      <w:r>
        <w:rPr>
          <w:rFonts w:hint="eastAsia"/>
        </w:rPr>
        <w:t>发数据</w:t>
      </w:r>
      <w:proofErr w:type="gramEnd"/>
      <w:r>
        <w:rPr>
          <w:rFonts w:hint="eastAsia"/>
        </w:rPr>
        <w:t>和市值数据计算而得。</w:t>
      </w:r>
    </w:p>
    <w:p w:rsidR="00EB274A" w:rsidRDefault="00EB274A" w:rsidP="00EB274A">
      <w:pPr>
        <w:pStyle w:val="a9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NTIS=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et</m:t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w:rPr>
                      <w:rFonts w:ascii="Cambria Math" w:hAnsi="Cambria Math" w:hint="eastAsia"/>
                    </w:rPr>
                    <m:t>ssue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arket</m:t>
                  </m:r>
                  <m:r>
                    <w:rPr>
                      <w:rFonts w:ascii="Cambria Math" w:hAnsi="Cambria Math"/>
                    </w:rPr>
                    <m:t xml:space="preserve"> V</m:t>
                  </m:r>
                  <m:r>
                    <w:rPr>
                      <w:rFonts w:ascii="Cambria Math" w:hAnsi="Cambria Math" w:hint="eastAsia"/>
                    </w:rPr>
                    <m:t>alue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den>
          </m:f>
        </m:oMath>
      </m:oMathPara>
    </w:p>
    <w:p w:rsidR="00EB274A" w:rsidRDefault="00EB274A" w:rsidP="008F539B">
      <w:pPr>
        <w:ind w:firstLine="420"/>
      </w:pPr>
      <w:r>
        <w:t>N</w:t>
      </w:r>
      <w:r>
        <w:rPr>
          <w:rFonts w:hint="eastAsia"/>
        </w:rPr>
        <w:t>et</w:t>
      </w:r>
      <w:r>
        <w:t xml:space="preserve"> I</w:t>
      </w:r>
      <w:r>
        <w:rPr>
          <w:rFonts w:hint="eastAsia"/>
        </w:rPr>
        <w:t>ssue指的是滚动的过去12个月的净权益增发额之和，每个月的Net</w:t>
      </w:r>
      <w:r>
        <w:t xml:space="preserve"> I</w:t>
      </w:r>
      <w:r>
        <w:rPr>
          <w:rFonts w:hint="eastAsia"/>
        </w:rPr>
        <w:t>ssue则可由以下公式估计而得：</w:t>
      </w:r>
    </w:p>
    <w:p w:rsidR="00EB274A" w:rsidRPr="00747F7E" w:rsidRDefault="00B32D33" w:rsidP="00EB274A">
      <w:pPr>
        <w:pStyle w:val="a9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Net Issue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Market 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Market Value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×(1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274A" w:rsidRDefault="00EB274A" w:rsidP="008F539B">
      <w:pPr>
        <w:ind w:firstLine="420"/>
      </w:pPr>
      <w:r>
        <w:rPr>
          <w:rFonts w:hint="eastAsia"/>
        </w:rPr>
        <w:t>其中，rt指的是整个市场过去一月的不带分红收益率。</w:t>
      </w:r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短期国债利率（Short</w:t>
      </w:r>
      <w:r>
        <w:t xml:space="preserve"> T</w:t>
      </w:r>
      <w:r>
        <w:rPr>
          <w:rFonts w:hint="eastAsia"/>
        </w:rPr>
        <w:t>erm</w:t>
      </w:r>
      <w:r>
        <w:t xml:space="preserve"> Yield, STY</w:t>
      </w:r>
      <w:r>
        <w:rPr>
          <w:rFonts w:hint="eastAsia"/>
        </w:rPr>
        <w:t>）：1年期国债到期收益率，来自国泰安数据库。</w:t>
      </w:r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长期国债利率（L</w:t>
      </w:r>
      <w:r>
        <w:t>ong T</w:t>
      </w:r>
      <w:r>
        <w:rPr>
          <w:rFonts w:hint="eastAsia"/>
        </w:rPr>
        <w:t>erm</w:t>
      </w:r>
      <w:r>
        <w:t xml:space="preserve"> Yield, LTY</w:t>
      </w:r>
      <w:r>
        <w:rPr>
          <w:rFonts w:hint="eastAsia"/>
        </w:rPr>
        <w:t>）：10年期国债到期收益率，来自国泰安数据库。</w:t>
      </w:r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期限利差（T</w:t>
      </w:r>
      <w:r>
        <w:t>erm Spread, TMS</w:t>
      </w:r>
      <w:r>
        <w:rPr>
          <w:rFonts w:hint="eastAsia"/>
        </w:rPr>
        <w:t>）：长短期国债利率的差。</w:t>
      </w:r>
    </w:p>
    <w:p w:rsidR="00EB274A" w:rsidRDefault="00EB274A" w:rsidP="00EB274A">
      <w:pPr>
        <w:pStyle w:val="a9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TMS=LTY-STY</m:t>
          </m:r>
        </m:oMath>
      </m:oMathPara>
    </w:p>
    <w:p w:rsidR="00EB274A" w:rsidRDefault="00EB274A" w:rsidP="008F539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信用利差（D</w:t>
      </w:r>
      <w:r>
        <w:t>efault Spread, DFY）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信用利差指的是</w:t>
      </w:r>
      <w:r w:rsidR="00CF1C27">
        <w:rPr>
          <w:rFonts w:hint="eastAsia"/>
        </w:rPr>
        <w:t>信用债到期收益率</w:t>
      </w:r>
      <w:r>
        <w:rPr>
          <w:rFonts w:hint="eastAsia"/>
        </w:rPr>
        <w:t>和</w:t>
      </w:r>
      <w:r w:rsidR="00CF1C27">
        <w:rPr>
          <w:rFonts w:hint="eastAsia"/>
        </w:rPr>
        <w:t>国债到期收益</w:t>
      </w:r>
      <w:r w:rsidR="00CF1C27">
        <w:rPr>
          <w:rFonts w:hint="eastAsia"/>
        </w:rPr>
        <w:lastRenderedPageBreak/>
        <w:t>率</w:t>
      </w:r>
      <w:r>
        <w:rPr>
          <w:rFonts w:hint="eastAsia"/>
        </w:rPr>
        <w:t>之间的差异，</w:t>
      </w:r>
      <w:r w:rsidR="00CF1C27">
        <w:rPr>
          <w:rFonts w:hint="eastAsia"/>
        </w:rPr>
        <w:t>在现有的数据库中，没有比较成熟的信用利差数据，因此，本文从彭博数据库取得了中债的</w:t>
      </w:r>
      <w:proofErr w:type="gramStart"/>
      <w:r w:rsidR="00CF1C27">
        <w:rPr>
          <w:rFonts w:hint="eastAsia"/>
        </w:rPr>
        <w:t>信用债总指数和</w:t>
      </w:r>
      <w:proofErr w:type="gramEnd"/>
      <w:r w:rsidR="00CF1C27">
        <w:rPr>
          <w:rFonts w:hint="eastAsia"/>
        </w:rPr>
        <w:t>国债总指数的平均现金流法到期收益率数据，取其差值作为信用利差</w:t>
      </w:r>
      <w:r>
        <w:rPr>
          <w:rFonts w:hint="eastAsia"/>
        </w:rPr>
        <w:t>。</w:t>
      </w:r>
    </w:p>
    <w:p w:rsidR="00BA5DF1" w:rsidRDefault="00EB274A" w:rsidP="00BA5DF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滞后一月期通胀率（O</w:t>
      </w:r>
      <w:r>
        <w:t>ne</w:t>
      </w:r>
      <w:r>
        <w:rPr>
          <w:rFonts w:hint="eastAsia"/>
        </w:rPr>
        <w:t>-</w:t>
      </w:r>
      <w:r>
        <w:t>month-lagged Inflation, INFL）:</w:t>
      </w:r>
      <w:r>
        <w:rPr>
          <w:rFonts w:hint="eastAsia"/>
        </w:rPr>
        <w:t>来自</w:t>
      </w:r>
      <w:proofErr w:type="gramStart"/>
      <w:r>
        <w:rPr>
          <w:rFonts w:hint="eastAsia"/>
        </w:rPr>
        <w:t>国家统计局官网的</w:t>
      </w:r>
      <w:proofErr w:type="gramEnd"/>
      <w:r>
        <w:rPr>
          <w:rFonts w:hint="eastAsia"/>
        </w:rPr>
        <w:t>月度</w:t>
      </w:r>
      <w:r>
        <w:t>CPI</w:t>
      </w:r>
      <w:r w:rsidR="00F75DE2">
        <w:rPr>
          <w:rFonts w:hint="eastAsia"/>
        </w:rPr>
        <w:t>同比</w:t>
      </w:r>
      <w:r>
        <w:rPr>
          <w:rFonts w:hint="eastAsia"/>
        </w:rPr>
        <w:t>涨幅。</w:t>
      </w:r>
      <w:r w:rsidR="008F539B">
        <w:rPr>
          <w:rFonts w:hint="eastAsia"/>
        </w:rPr>
        <w:t>这里之所以要滞后一月，是因为当月的</w:t>
      </w:r>
      <w:r w:rsidR="008F539B">
        <w:t>CPI</w:t>
      </w:r>
      <w:r w:rsidR="008F539B">
        <w:rPr>
          <w:rFonts w:hint="eastAsia"/>
        </w:rPr>
        <w:t>数据一般而言要在下月才公布。以中国为例，国家统计局一般会在本月的10号左右公布上月的C</w:t>
      </w:r>
      <w:r w:rsidR="008F539B">
        <w:t>PI</w:t>
      </w:r>
      <w:r w:rsidR="008F539B">
        <w:rPr>
          <w:rFonts w:hint="eastAsia"/>
        </w:rPr>
        <w:t>数据。</w:t>
      </w:r>
    </w:p>
    <w:p w:rsidR="00BA5DF1" w:rsidRDefault="00BA5DF1" w:rsidP="00BA5DF1">
      <w:pPr>
        <w:pStyle w:val="3"/>
      </w:pPr>
      <w:bookmarkStart w:id="12" w:name="_Toc3316026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行业变量选取</w:t>
      </w:r>
      <w:bookmarkStart w:id="13" w:name="_GoBack"/>
      <w:bookmarkEnd w:id="12"/>
      <w:bookmarkEnd w:id="13"/>
    </w:p>
    <w:p w:rsidR="00BA5DF1" w:rsidRPr="00EB274A" w:rsidRDefault="00BA5DF1" w:rsidP="00BA5DF1">
      <w:r>
        <w:tab/>
      </w:r>
      <w:r>
        <w:rPr>
          <w:rFonts w:hint="eastAsia"/>
        </w:rPr>
        <w:t>对于中国股市的实证研究，常用的行业分类有申银</w:t>
      </w:r>
      <w:proofErr w:type="gramStart"/>
      <w:r>
        <w:rPr>
          <w:rFonts w:hint="eastAsia"/>
        </w:rPr>
        <w:t>万国行业</w:t>
      </w:r>
      <w:proofErr w:type="gramEnd"/>
      <w:r>
        <w:rPr>
          <w:rFonts w:hint="eastAsia"/>
        </w:rPr>
        <w:t>分类/中</w:t>
      </w:r>
      <w:proofErr w:type="gramStart"/>
      <w:r>
        <w:rPr>
          <w:rFonts w:hint="eastAsia"/>
        </w:rPr>
        <w:t>证行</w:t>
      </w:r>
      <w:proofErr w:type="gramEnd"/>
      <w:r>
        <w:rPr>
          <w:rFonts w:hint="eastAsia"/>
        </w:rPr>
        <w:t>业分类/证监会行业分类等几种。本文选用的是证监会的</w:t>
      </w:r>
      <w:proofErr w:type="gramStart"/>
      <w:r>
        <w:rPr>
          <w:rFonts w:hint="eastAsia"/>
        </w:rPr>
        <w:t>一级行业</w:t>
      </w:r>
      <w:proofErr w:type="gramEnd"/>
      <w:r>
        <w:rPr>
          <w:rFonts w:hint="eastAsia"/>
        </w:rPr>
        <w:t>分类，将整个市场上的股票划分为19个大行业，这部分数据来自国泰安经济金融研究数据库。</w:t>
      </w:r>
    </w:p>
    <w:p w:rsidR="00AA00C2" w:rsidRDefault="00AA00C2" w:rsidP="00AA00C2">
      <w:pPr>
        <w:pStyle w:val="2"/>
      </w:pPr>
      <w:bookmarkStart w:id="14" w:name="_Toc3316027"/>
      <w:r>
        <w:rPr>
          <w:rFonts w:hint="eastAsia"/>
        </w:rPr>
        <w:t>P</w:t>
      </w:r>
      <w:r>
        <w:t xml:space="preserve">art 5 </w:t>
      </w:r>
      <w:r w:rsidR="00D31AC2">
        <w:rPr>
          <w:rFonts w:hint="eastAsia"/>
        </w:rPr>
        <w:t>实证结果与分析</w:t>
      </w:r>
      <w:bookmarkEnd w:id="14"/>
    </w:p>
    <w:p w:rsidR="00E4718E" w:rsidRDefault="00E4718E" w:rsidP="00E4718E">
      <w:pPr>
        <w:pStyle w:val="3"/>
      </w:pPr>
      <w:bookmarkStart w:id="15" w:name="_Toc3316028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准备工作</w:t>
      </w:r>
      <w:bookmarkEnd w:id="15"/>
    </w:p>
    <w:p w:rsidR="00E4718E" w:rsidRDefault="00E4718E" w:rsidP="00E4718E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数据预处理</w:t>
      </w:r>
    </w:p>
    <w:p w:rsidR="00E4718E" w:rsidRDefault="00E4718E" w:rsidP="00E4718E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liu</w:t>
      </w:r>
      <w:proofErr w:type="spellEnd"/>
      <w:r>
        <w:rPr>
          <w:rFonts w:hint="eastAsia"/>
        </w:rPr>
        <w:t>（2018）等人的做法，本文选取的研究标的为来自上/深两市的全部A股数据，以月度为研究频率，并对涵盖了沪深两市A股的整个</w:t>
      </w:r>
      <w:proofErr w:type="gramStart"/>
      <w:r>
        <w:rPr>
          <w:rFonts w:hint="eastAsia"/>
        </w:rPr>
        <w:t>股票池做如下</w:t>
      </w:r>
      <w:proofErr w:type="gramEnd"/>
      <w:r>
        <w:rPr>
          <w:rFonts w:hint="eastAsia"/>
        </w:rPr>
        <w:t>两个方面的过滤：第一，因为新上市的股票往往会出现价格波动过大的情况，所以我们在每个时间点上，过滤</w:t>
      </w:r>
      <w:proofErr w:type="gramStart"/>
      <w:r>
        <w:rPr>
          <w:rFonts w:hint="eastAsia"/>
        </w:rPr>
        <w:t>掉上市</w:t>
      </w:r>
      <w:proofErr w:type="gramEnd"/>
      <w:r>
        <w:rPr>
          <w:rFonts w:hint="eastAsia"/>
        </w:rPr>
        <w:t>不足六个月的股票；其次，由于使用的是月度收益率，为了保证样本的有效性，需要过滤掉在过去一个月中，由于停牌等因素导致的交易</w:t>
      </w:r>
      <w:proofErr w:type="gramStart"/>
      <w:r>
        <w:rPr>
          <w:rFonts w:hint="eastAsia"/>
        </w:rPr>
        <w:t>日不足</w:t>
      </w:r>
      <w:proofErr w:type="gramEnd"/>
      <w:r>
        <w:rPr>
          <w:rFonts w:hint="eastAsia"/>
        </w:rPr>
        <w:t>15天的股票。</w:t>
      </w:r>
      <w:r>
        <w:tab/>
      </w:r>
    </w:p>
    <w:p w:rsidR="00E4718E" w:rsidRDefault="00E4718E" w:rsidP="00E4718E">
      <w:pPr>
        <w:ind w:firstLine="420"/>
      </w:pPr>
    </w:p>
    <w:p w:rsidR="00E4718E" w:rsidRPr="00E4718E" w:rsidRDefault="00E4718E" w:rsidP="00E4718E">
      <w:pPr>
        <w:ind w:firstLine="420"/>
      </w:pPr>
      <w:r>
        <w:rPr>
          <w:rFonts w:hint="eastAsia"/>
        </w:rPr>
        <w:t>对于原本的季度财务数据，也需要做两个方面的处理。首先，C</w:t>
      </w:r>
      <w:r>
        <w:t>SMAR</w:t>
      </w:r>
      <w:r>
        <w:rPr>
          <w:rFonts w:hint="eastAsia"/>
        </w:rPr>
        <w:t>提供的财务数据所对应的时间是会计期间，而不是财务报表的发布时间，所以我们需要</w:t>
      </w:r>
      <w:proofErr w:type="gramStart"/>
      <w:r>
        <w:rPr>
          <w:rFonts w:hint="eastAsia"/>
        </w:rPr>
        <w:t>根据财报发布</w:t>
      </w:r>
      <w:proofErr w:type="gramEnd"/>
      <w:r>
        <w:rPr>
          <w:rFonts w:hint="eastAsia"/>
        </w:rPr>
        <w:t>的时间，对原始的财务数据对应的时间区间进行调整，以防用到未来数据。其次，我们将季度的财务数据</w:t>
      </w:r>
      <w:proofErr w:type="gramStart"/>
      <w:r>
        <w:rPr>
          <w:rFonts w:hint="eastAsia"/>
        </w:rPr>
        <w:t>日度化用于</w:t>
      </w:r>
      <w:proofErr w:type="gramEnd"/>
      <w:r>
        <w:rPr>
          <w:rFonts w:hint="eastAsia"/>
        </w:rPr>
        <w:t>因子值的计算，保证在每个时间点上，用到的财务数据均为截至当前时间点，最近一次发布的财务报表数据。</w:t>
      </w:r>
    </w:p>
    <w:p w:rsidR="00E4718E" w:rsidRDefault="00E4718E" w:rsidP="00E4718E">
      <w:pPr>
        <w:ind w:firstLine="420"/>
      </w:pPr>
    </w:p>
    <w:p w:rsidR="00E4718E" w:rsidRDefault="00E4718E" w:rsidP="00BA5DF1">
      <w:pPr>
        <w:ind w:firstLine="420"/>
      </w:pPr>
      <w:r>
        <w:rPr>
          <w:rFonts w:hint="eastAsia"/>
        </w:rPr>
        <w:t>此外，考虑到财务数据的可得性，和中国股票市场的改革进程，选取的数据期间为2005-01-01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rFonts w:hint="eastAsia"/>
        </w:rPr>
        <w:t>2018-12-31。</w:t>
      </w:r>
    </w:p>
    <w:p w:rsidR="00E4718E" w:rsidRPr="00EB274A" w:rsidRDefault="00E4718E" w:rsidP="00BA5DF1">
      <w:pPr>
        <w:pStyle w:val="4"/>
      </w:pPr>
      <w:r>
        <w:rPr>
          <w:rFonts w:hint="eastAsia"/>
        </w:rPr>
        <w:t>5.1.2</w:t>
      </w:r>
      <w:r>
        <w:t xml:space="preserve"> </w:t>
      </w:r>
      <w:r w:rsidR="00BA5DF1">
        <w:rPr>
          <w:rFonts w:hint="eastAsia"/>
        </w:rPr>
        <w:t>输入变量和输出变量计算</w:t>
      </w:r>
    </w:p>
    <w:p w:rsidR="00E4718E" w:rsidRDefault="00E4718E" w:rsidP="00E4718E">
      <w:pPr>
        <w:ind w:firstLine="420"/>
      </w:pPr>
      <w:r>
        <w:rPr>
          <w:rFonts w:hint="eastAsia"/>
        </w:rPr>
        <w:t>在整个研究中，作为</w:t>
      </w:r>
      <w:r w:rsidR="00BA5DF1">
        <w:rPr>
          <w:rFonts w:hint="eastAsia"/>
        </w:rPr>
        <w:t>输出</w:t>
      </w:r>
      <w:r>
        <w:rPr>
          <w:rFonts w:hint="eastAsia"/>
        </w:rPr>
        <w:t>变量的个股超额收益，由个股的收益率与对应的无风险利率相减得到，这两部分数据均来自国泰安经济金融研究数据库（</w:t>
      </w:r>
      <w:r>
        <w:t>CSMAR</w:t>
      </w:r>
      <w:r>
        <w:rPr>
          <w:rFonts w:hint="eastAsia"/>
        </w:rPr>
        <w:t>），其中的无风险利率基准选用的是银行一年期固定利息率。</w:t>
      </w:r>
    </w:p>
    <w:p w:rsidR="00BA5DF1" w:rsidRDefault="00BA5DF1" w:rsidP="00E4718E">
      <w:pPr>
        <w:ind w:firstLine="420"/>
      </w:pPr>
    </w:p>
    <w:p w:rsidR="00BA5DF1" w:rsidRPr="00BA5DF1" w:rsidRDefault="00BA5DF1" w:rsidP="00E4718E">
      <w:pPr>
        <w:ind w:firstLine="420"/>
      </w:pPr>
      <w:r>
        <w:rPr>
          <w:rFonts w:hint="eastAsia"/>
        </w:rPr>
        <w:t>输入变量方面，主要是上文提到的三个方面，个股的因子方面，我们首先</w:t>
      </w:r>
      <w:proofErr w:type="gramStart"/>
      <w:r>
        <w:rPr>
          <w:rFonts w:hint="eastAsia"/>
        </w:rPr>
        <w:t>根据日度的</w:t>
      </w:r>
      <w:proofErr w:type="gramEnd"/>
      <w:r>
        <w:rPr>
          <w:rFonts w:hint="eastAsia"/>
        </w:rPr>
        <w:t>市</w:t>
      </w:r>
      <w:r>
        <w:rPr>
          <w:rFonts w:hint="eastAsia"/>
        </w:rPr>
        <w:lastRenderedPageBreak/>
        <w:t>场交易数据和财务数据，</w:t>
      </w:r>
      <w:proofErr w:type="gramStart"/>
      <w:r>
        <w:rPr>
          <w:rFonts w:hint="eastAsia"/>
        </w:rPr>
        <w:t>得到日度</w:t>
      </w:r>
      <w:proofErr w:type="gramEnd"/>
      <w:r>
        <w:rPr>
          <w:rFonts w:hint="eastAsia"/>
        </w:rPr>
        <w:t>的因子值，最后按月取均值，作为当月的因子值；宏观因子中，市盈率、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、国债利率数据是日度的，同样取月度均值，其他为月度因子，除C</w:t>
      </w:r>
      <w:r>
        <w:t>PI</w:t>
      </w:r>
      <w:r>
        <w:rPr>
          <w:rFonts w:hint="eastAsia"/>
        </w:rPr>
        <w:t>滞后一月外，不做其他处理；行业因子则要考虑个股在行业划分上的变动性，得到每个月每支股票的行业因子，再处理成0/</w:t>
      </w:r>
      <w:r>
        <w:t>1</w:t>
      </w:r>
      <w:r>
        <w:rPr>
          <w:rFonts w:hint="eastAsia"/>
        </w:rPr>
        <w:t>形式的独热矩阵，作为最后的输入值。最后，对1</w:t>
      </w:r>
      <w:r>
        <w:t>4</w:t>
      </w:r>
      <w:proofErr w:type="gramStart"/>
      <w:r>
        <w:rPr>
          <w:rFonts w:hint="eastAsia"/>
        </w:rPr>
        <w:t>个个股因子</w:t>
      </w:r>
      <w:proofErr w:type="gramEnd"/>
      <w:r>
        <w:rPr>
          <w:rFonts w:hint="eastAsia"/>
        </w:rPr>
        <w:t>，每个都将分别与8个宏观因子计算交叉项，加上其本身，最终得到1</w:t>
      </w:r>
      <w:r>
        <w:t xml:space="preserve">4 </w:t>
      </w:r>
      <w:r>
        <w:rPr>
          <w:rFonts w:hint="eastAsia"/>
        </w:rPr>
        <w:t>*</w:t>
      </w:r>
      <w:r>
        <w:t xml:space="preserve"> 8 </w:t>
      </w:r>
      <w:r>
        <w:rPr>
          <w:rFonts w:hint="eastAsia"/>
        </w:rPr>
        <w:t>+</w:t>
      </w:r>
      <w:r>
        <w:t xml:space="preserve"> 14 </w:t>
      </w:r>
      <w:r>
        <w:rPr>
          <w:rFonts w:hint="eastAsia"/>
        </w:rPr>
        <w:t>=</w:t>
      </w:r>
      <w:r>
        <w:t xml:space="preserve"> 126</w:t>
      </w:r>
      <w:r>
        <w:rPr>
          <w:rFonts w:hint="eastAsia"/>
        </w:rPr>
        <w:t>维度的输入值</w:t>
      </w:r>
      <w:r w:rsidR="005B6AD8">
        <w:rPr>
          <w:rFonts w:hint="eastAsia"/>
        </w:rPr>
        <w:t>，并进行去极值和标准化处理</w:t>
      </w:r>
      <w:r>
        <w:rPr>
          <w:rFonts w:hint="eastAsia"/>
        </w:rPr>
        <w:t>，加上1</w:t>
      </w:r>
      <w:r>
        <w:t>9</w:t>
      </w:r>
      <w:r>
        <w:rPr>
          <w:rFonts w:hint="eastAsia"/>
        </w:rPr>
        <w:t>维的行业因子矩阵，最终的输入变量为1</w:t>
      </w:r>
      <w:r>
        <w:t>45</w:t>
      </w:r>
      <w:r>
        <w:rPr>
          <w:rFonts w:hint="eastAsia"/>
        </w:rPr>
        <w:t>维。</w:t>
      </w:r>
    </w:p>
    <w:p w:rsidR="00E4718E" w:rsidRDefault="00E4718E" w:rsidP="00E4718E"/>
    <w:p w:rsidR="00E4718E" w:rsidRDefault="00E4718E" w:rsidP="00E4718E">
      <w:r>
        <w:tab/>
      </w:r>
      <w:r>
        <w:rPr>
          <w:rFonts w:hint="eastAsia"/>
        </w:rPr>
        <w:t>由于许多公司的财务报表数据有一定的缺失，加上因子计算导致的时间区间上的损失，完成了数据的预处理和因子值计算之后，最后得到的数据期间为200</w:t>
      </w:r>
      <w:r w:rsidR="00541A2F">
        <w:t>8</w:t>
      </w:r>
      <w:r>
        <w:rPr>
          <w:rFonts w:hint="eastAsia"/>
        </w:rPr>
        <w:t>年1月到2018年12月。</w:t>
      </w:r>
    </w:p>
    <w:p w:rsidR="00541A2F" w:rsidRDefault="00541A2F" w:rsidP="00E4718E"/>
    <w:p w:rsidR="00D651D0" w:rsidRDefault="00541A2F" w:rsidP="00E4718E">
      <w:r>
        <w:tab/>
      </w:r>
      <w:r w:rsidR="00D651D0">
        <w:rPr>
          <w:rFonts w:hint="eastAsia"/>
        </w:rPr>
        <w:t>最终得到的整个研究期间的有效样本数量为1</w:t>
      </w:r>
      <w:r w:rsidR="00D651D0">
        <w:t>64981</w:t>
      </w:r>
      <w:r w:rsidR="00D651D0">
        <w:rPr>
          <w:rFonts w:hint="eastAsia"/>
        </w:rPr>
        <w:t>个，其中，每个年度的样本数量，以及包含在样本中的股票数量列示在下表中：</w:t>
      </w:r>
    </w:p>
    <w:p w:rsidR="00D651D0" w:rsidRDefault="00D651D0" w:rsidP="00E4718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408"/>
        <w:gridCol w:w="2408"/>
      </w:tblGrid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年份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股票数量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数据量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2008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891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5652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2009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1071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11276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2010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1108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12176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2011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1234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12756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2012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1473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15303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2013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1638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17323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2014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1707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17267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2015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1723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15038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2016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1786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17069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2017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1853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18468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2018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2020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20097</w:t>
            </w:r>
          </w:p>
        </w:tc>
      </w:tr>
      <w:tr w:rsidR="00CA3D8D" w:rsidRPr="00CA3D8D" w:rsidTr="00CA3D8D">
        <w:trPr>
          <w:trHeight w:val="284"/>
          <w:jc w:val="center"/>
        </w:trPr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合计</w:t>
            </w: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</w:p>
        </w:tc>
        <w:tc>
          <w:tcPr>
            <w:tcW w:w="2408" w:type="dxa"/>
            <w:noWrap/>
            <w:hideMark/>
          </w:tcPr>
          <w:p w:rsidR="00CA3D8D" w:rsidRPr="00CA3D8D" w:rsidRDefault="00CA3D8D" w:rsidP="00CA3D8D">
            <w:pPr>
              <w:jc w:val="center"/>
            </w:pPr>
            <w:r w:rsidRPr="00CA3D8D">
              <w:rPr>
                <w:rFonts w:hint="eastAsia"/>
              </w:rPr>
              <w:t>162425</w:t>
            </w:r>
          </w:p>
        </w:tc>
      </w:tr>
    </w:tbl>
    <w:p w:rsidR="00F17315" w:rsidRPr="00531FCB" w:rsidRDefault="00F17315" w:rsidP="00E4718E"/>
    <w:p w:rsidR="00EE135E" w:rsidRDefault="00EE135E" w:rsidP="00EE135E">
      <w:pPr>
        <w:pStyle w:val="3"/>
      </w:pPr>
      <w:bookmarkStart w:id="16" w:name="_Toc3316029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模型训练与验证</w:t>
      </w:r>
      <w:bookmarkEnd w:id="16"/>
    </w:p>
    <w:p w:rsidR="00EE135E" w:rsidRDefault="00EE135E" w:rsidP="00EB274A">
      <w:r>
        <w:tab/>
      </w:r>
      <w:r>
        <w:rPr>
          <w:rFonts w:hint="eastAsia"/>
        </w:rPr>
        <w:t>现有文献中，对于机器学习模型的训练过程，一般分为以下三种处理方式：</w:t>
      </w:r>
    </w:p>
    <w:p w:rsidR="00EE135E" w:rsidRDefault="00EE135E" w:rsidP="00EE135E">
      <w:pPr>
        <w:ind w:firstLine="420"/>
      </w:pPr>
      <w:r>
        <w:rPr>
          <w:rFonts w:hint="eastAsia"/>
        </w:rPr>
        <w:t>第一种是固定期间训练，将整个数据期间划分为训练集、交叉验证集、测试集三个部分，分别进行模型训练，超参数修正和最后的模型效果验证</w:t>
      </w:r>
      <w:r w:rsidRPr="00EE135E">
        <w:rPr>
          <w:rFonts w:hint="eastAsia"/>
          <w:color w:val="FF0000"/>
        </w:rPr>
        <w:t>。这种方式可以用下图表示。。</w:t>
      </w:r>
    </w:p>
    <w:p w:rsidR="00EB274A" w:rsidRPr="00EE135E" w:rsidRDefault="00EE135E" w:rsidP="00EE135E">
      <w:pPr>
        <w:ind w:firstLine="420"/>
        <w:rPr>
          <w:color w:val="FF0000"/>
        </w:rPr>
      </w:pPr>
      <w:r>
        <w:rPr>
          <w:rFonts w:hint="eastAsia"/>
        </w:rPr>
        <w:t>第二种方式则是滚动训练期间，这种方式会预先确定一个固定长度的滚动窗口，在整个数据期间内，按这个窗口向前滚动训练，</w:t>
      </w:r>
      <w:r w:rsidRPr="00EE135E">
        <w:rPr>
          <w:rFonts w:hint="eastAsia"/>
          <w:color w:val="FF0000"/>
        </w:rPr>
        <w:t>每次</w:t>
      </w:r>
      <w:r>
        <w:rPr>
          <w:rFonts w:hint="eastAsia"/>
          <w:color w:val="FF0000"/>
        </w:rPr>
        <w:t>.</w:t>
      </w:r>
      <w:r>
        <w:rPr>
          <w:color w:val="FF0000"/>
        </w:rPr>
        <w:t>.</w:t>
      </w:r>
    </w:p>
    <w:p w:rsidR="00EE135E" w:rsidRPr="00EE135E" w:rsidRDefault="00EE135E" w:rsidP="00EE135E">
      <w:pPr>
        <w:ind w:firstLine="420"/>
        <w:rPr>
          <w:color w:val="FF0000"/>
        </w:rPr>
      </w:pPr>
      <w:r w:rsidRPr="00EE135E">
        <w:rPr>
          <w:rFonts w:hint="eastAsia"/>
          <w:color w:val="FF0000"/>
        </w:rPr>
        <w:t>第三种是</w:t>
      </w:r>
      <w:r w:rsidRPr="00EE135E">
        <w:rPr>
          <w:color w:val="FF0000"/>
        </w:rPr>
        <w:t>…..</w:t>
      </w:r>
    </w:p>
    <w:p w:rsidR="00EE135E" w:rsidRDefault="00EE135E" w:rsidP="00EE135E">
      <w:pPr>
        <w:ind w:firstLine="420"/>
      </w:pPr>
    </w:p>
    <w:p w:rsidR="00EE135E" w:rsidRDefault="00EE135E" w:rsidP="00EE135E">
      <w:r>
        <w:tab/>
      </w:r>
      <w:r>
        <w:rPr>
          <w:rFonts w:hint="eastAsia"/>
        </w:rPr>
        <w:t>在本文中，我们选择的是上述三种方式中的第二种，即滚动训练期间的方式，主要是出于三个方面的原因：首先，在我们的研究期间中，中国的股票市场一直是处于一个不断完善发展的阶段的，经济大环境也在不断变化，所以对数据进行一次性的拟合，并不能很好地捕捉所有期间的市场内在逻辑，滚动拟合的方式更适合不断变化的经济金融环境；其次，我们</w:t>
      </w:r>
      <w:r>
        <w:rPr>
          <w:rFonts w:hint="eastAsia"/>
        </w:rPr>
        <w:lastRenderedPageBreak/>
        <w:t>的研究期间一共只有1</w:t>
      </w:r>
      <w:r>
        <w:t>2</w:t>
      </w:r>
      <w:r>
        <w:rPr>
          <w:rFonts w:hint="eastAsia"/>
        </w:rPr>
        <w:t>年，如果采取一次性划分方式，测试集的长度是比较短的，而滚动拟合的方式可以得到一个更长的测试期间，更好地验证模型的稳健性；最后，尽管固定起点拟合的方式也具有前面提到的两个优势，但它需要的计算量远远大于滚动拟合方式，所以本文最终选择了第二种方式。</w:t>
      </w:r>
    </w:p>
    <w:p w:rsidR="00EE135E" w:rsidRDefault="00EE135E" w:rsidP="00EE135E"/>
    <w:p w:rsidR="00EE135E" w:rsidRDefault="00EE135E" w:rsidP="00EE135E">
      <w:r>
        <w:tab/>
      </w:r>
      <w:r w:rsidR="008307A2">
        <w:rPr>
          <w:rFonts w:hint="eastAsia"/>
        </w:rPr>
        <w:t>本文以6年为一个滚动窗口，为了保持时间顺序，不进行交叉验证，而是以六年中的前四年作为训练样本，第五年作为交叉验证样本，第六年作为测试样本。因此，第一个测试集将从1</w:t>
      </w:r>
      <w:r w:rsidR="008307A2">
        <w:t>3</w:t>
      </w:r>
      <w:r w:rsidR="008307A2">
        <w:rPr>
          <w:rFonts w:hint="eastAsia"/>
        </w:rPr>
        <w:t>年开始，并随着滚动过程不断增长，最终得到一个包含了1</w:t>
      </w:r>
      <w:r w:rsidR="008307A2">
        <w:t>3</w:t>
      </w:r>
      <w:r w:rsidR="008307A2">
        <w:rPr>
          <w:rFonts w:hint="eastAsia"/>
        </w:rPr>
        <w:t>-</w:t>
      </w:r>
      <w:r w:rsidR="008307A2">
        <w:t>18</w:t>
      </w:r>
      <w:r w:rsidR="008307A2">
        <w:rPr>
          <w:rFonts w:hint="eastAsia"/>
        </w:rPr>
        <w:t>年6年数据的测试集结果，这一结果将是完全的样本外结果，用于计算我们在第三部分中定义的模型评价标准——样本外R-square（R</w:t>
      </w:r>
      <w:r w:rsidR="008307A2">
        <w:t>2-</w:t>
      </w:r>
      <w:r w:rsidR="008307A2">
        <w:rPr>
          <w:rFonts w:hint="eastAsia"/>
        </w:rPr>
        <w:t>oos）。</w:t>
      </w:r>
    </w:p>
    <w:p w:rsidR="00EE135E" w:rsidRPr="00E4718E" w:rsidRDefault="00EE135E" w:rsidP="00EE135E">
      <w:pPr>
        <w:ind w:firstLine="420"/>
      </w:pPr>
    </w:p>
    <w:p w:rsidR="00D31AC2" w:rsidRDefault="00AA00C2" w:rsidP="00D31AC2">
      <w:pPr>
        <w:pStyle w:val="2"/>
      </w:pPr>
      <w:bookmarkStart w:id="17" w:name="_Toc3316030"/>
      <w:r>
        <w:rPr>
          <w:rFonts w:hint="eastAsia"/>
        </w:rPr>
        <w:t>P</w:t>
      </w:r>
      <w:r>
        <w:t xml:space="preserve">art 6 </w:t>
      </w:r>
      <w:r w:rsidR="00D31AC2">
        <w:rPr>
          <w:rFonts w:hint="eastAsia"/>
        </w:rPr>
        <w:t>结论与展望</w:t>
      </w:r>
      <w:bookmarkEnd w:id="17"/>
    </w:p>
    <w:p w:rsidR="00D31AC2" w:rsidRDefault="00D31AC2" w:rsidP="00D31AC2">
      <w:pPr>
        <w:pStyle w:val="2"/>
      </w:pPr>
      <w:bookmarkStart w:id="18" w:name="_Toc3316031"/>
      <w:r>
        <w:rPr>
          <w:rFonts w:hint="eastAsia"/>
        </w:rPr>
        <w:t>致谢</w:t>
      </w:r>
      <w:bookmarkEnd w:id="18"/>
    </w:p>
    <w:p w:rsidR="00F17315" w:rsidRDefault="006855D7" w:rsidP="00F17315">
      <w:r>
        <w:tab/>
      </w:r>
      <w:r>
        <w:rPr>
          <w:rFonts w:hint="eastAsia"/>
        </w:rPr>
        <w:t>郭老师、刘老师、梁老师</w:t>
      </w:r>
    </w:p>
    <w:p w:rsidR="006855D7" w:rsidRDefault="006855D7" w:rsidP="00F17315">
      <w:r>
        <w:tab/>
      </w:r>
      <w:r>
        <w:rPr>
          <w:rFonts w:hint="eastAsia"/>
        </w:rPr>
        <w:t>小美、若男</w:t>
      </w:r>
    </w:p>
    <w:p w:rsidR="00F17315" w:rsidRPr="00F17315" w:rsidRDefault="00F17315" w:rsidP="00F17315"/>
    <w:sectPr w:rsidR="00F17315" w:rsidRPr="00F1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6D7" w:rsidRDefault="003D36D7" w:rsidP="00E56B44">
      <w:r>
        <w:separator/>
      </w:r>
    </w:p>
  </w:endnote>
  <w:endnote w:type="continuationSeparator" w:id="0">
    <w:p w:rsidR="003D36D7" w:rsidRDefault="003D36D7" w:rsidP="00E5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6D7" w:rsidRDefault="003D36D7" w:rsidP="00E56B44">
      <w:r>
        <w:separator/>
      </w:r>
    </w:p>
  </w:footnote>
  <w:footnote w:type="continuationSeparator" w:id="0">
    <w:p w:rsidR="003D36D7" w:rsidRDefault="003D36D7" w:rsidP="00E5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6AF"/>
    <w:multiLevelType w:val="hybridMultilevel"/>
    <w:tmpl w:val="232238A2"/>
    <w:lvl w:ilvl="0" w:tplc="CCB4D34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F94894"/>
    <w:multiLevelType w:val="hybridMultilevel"/>
    <w:tmpl w:val="A8706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65C7C"/>
    <w:multiLevelType w:val="hybridMultilevel"/>
    <w:tmpl w:val="DCAC30DE"/>
    <w:lvl w:ilvl="0" w:tplc="CCB4D34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DC0784"/>
    <w:multiLevelType w:val="hybridMultilevel"/>
    <w:tmpl w:val="F92A85F2"/>
    <w:lvl w:ilvl="0" w:tplc="CCB4D34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4A381F"/>
    <w:multiLevelType w:val="hybridMultilevel"/>
    <w:tmpl w:val="7938F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87DE3"/>
    <w:multiLevelType w:val="hybridMultilevel"/>
    <w:tmpl w:val="866A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47"/>
    <w:rsid w:val="00004C31"/>
    <w:rsid w:val="000155ED"/>
    <w:rsid w:val="00034B48"/>
    <w:rsid w:val="000B2703"/>
    <w:rsid w:val="00102504"/>
    <w:rsid w:val="001540FF"/>
    <w:rsid w:val="002155FE"/>
    <w:rsid w:val="00235BB1"/>
    <w:rsid w:val="00245DF9"/>
    <w:rsid w:val="00250710"/>
    <w:rsid w:val="00264A17"/>
    <w:rsid w:val="00303A6C"/>
    <w:rsid w:val="00320A5E"/>
    <w:rsid w:val="00332862"/>
    <w:rsid w:val="003421D8"/>
    <w:rsid w:val="003453B1"/>
    <w:rsid w:val="003A06D1"/>
    <w:rsid w:val="003D36D7"/>
    <w:rsid w:val="00474622"/>
    <w:rsid w:val="004975D0"/>
    <w:rsid w:val="004A3E00"/>
    <w:rsid w:val="004C4DC8"/>
    <w:rsid w:val="00516F5B"/>
    <w:rsid w:val="00521BA7"/>
    <w:rsid w:val="00531FCB"/>
    <w:rsid w:val="00541A2F"/>
    <w:rsid w:val="00550DFE"/>
    <w:rsid w:val="00591E3F"/>
    <w:rsid w:val="005930D3"/>
    <w:rsid w:val="005B38F9"/>
    <w:rsid w:val="005B6AD8"/>
    <w:rsid w:val="006449C6"/>
    <w:rsid w:val="006855D7"/>
    <w:rsid w:val="00695B1D"/>
    <w:rsid w:val="006A5A3B"/>
    <w:rsid w:val="006B0021"/>
    <w:rsid w:val="006E4CFD"/>
    <w:rsid w:val="00705B25"/>
    <w:rsid w:val="00721E6A"/>
    <w:rsid w:val="00734977"/>
    <w:rsid w:val="007370F6"/>
    <w:rsid w:val="007478CF"/>
    <w:rsid w:val="00747F7E"/>
    <w:rsid w:val="0076546C"/>
    <w:rsid w:val="00776C03"/>
    <w:rsid w:val="007A18FF"/>
    <w:rsid w:val="008106D0"/>
    <w:rsid w:val="00814A55"/>
    <w:rsid w:val="00816F2B"/>
    <w:rsid w:val="008307A2"/>
    <w:rsid w:val="0084369E"/>
    <w:rsid w:val="0084696E"/>
    <w:rsid w:val="00886042"/>
    <w:rsid w:val="00891741"/>
    <w:rsid w:val="00893EC1"/>
    <w:rsid w:val="008C0B6D"/>
    <w:rsid w:val="008C248A"/>
    <w:rsid w:val="008F539B"/>
    <w:rsid w:val="00957EB9"/>
    <w:rsid w:val="009740DB"/>
    <w:rsid w:val="009847B3"/>
    <w:rsid w:val="009A0760"/>
    <w:rsid w:val="009C70DB"/>
    <w:rsid w:val="009C767C"/>
    <w:rsid w:val="00A500B8"/>
    <w:rsid w:val="00A57B37"/>
    <w:rsid w:val="00A9325A"/>
    <w:rsid w:val="00AA00C2"/>
    <w:rsid w:val="00AC0747"/>
    <w:rsid w:val="00AC153A"/>
    <w:rsid w:val="00AC5934"/>
    <w:rsid w:val="00AD5459"/>
    <w:rsid w:val="00AE52FE"/>
    <w:rsid w:val="00AE64C3"/>
    <w:rsid w:val="00AE7EB1"/>
    <w:rsid w:val="00AF0110"/>
    <w:rsid w:val="00B03107"/>
    <w:rsid w:val="00B31947"/>
    <w:rsid w:val="00B32D33"/>
    <w:rsid w:val="00BA1711"/>
    <w:rsid w:val="00BA25CD"/>
    <w:rsid w:val="00BA3F9E"/>
    <w:rsid w:val="00BA5DF1"/>
    <w:rsid w:val="00C34832"/>
    <w:rsid w:val="00C3667E"/>
    <w:rsid w:val="00C721C6"/>
    <w:rsid w:val="00CA3D8D"/>
    <w:rsid w:val="00CB59C6"/>
    <w:rsid w:val="00CB7FF9"/>
    <w:rsid w:val="00CF1C27"/>
    <w:rsid w:val="00CF53F6"/>
    <w:rsid w:val="00D31AC2"/>
    <w:rsid w:val="00D320FD"/>
    <w:rsid w:val="00D651D0"/>
    <w:rsid w:val="00DD599F"/>
    <w:rsid w:val="00E036D5"/>
    <w:rsid w:val="00E22986"/>
    <w:rsid w:val="00E35880"/>
    <w:rsid w:val="00E379A1"/>
    <w:rsid w:val="00E4718E"/>
    <w:rsid w:val="00E53D81"/>
    <w:rsid w:val="00E56B44"/>
    <w:rsid w:val="00EB274A"/>
    <w:rsid w:val="00EC4CF8"/>
    <w:rsid w:val="00EE135E"/>
    <w:rsid w:val="00EF09DB"/>
    <w:rsid w:val="00F17315"/>
    <w:rsid w:val="00F203F6"/>
    <w:rsid w:val="00F569E4"/>
    <w:rsid w:val="00F75DE2"/>
    <w:rsid w:val="00F764CA"/>
    <w:rsid w:val="00FC4F89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5D486"/>
  <w15:chartTrackingRefBased/>
  <w15:docId w15:val="{B1D6C245-8167-4A95-88A9-9A918D0D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1E6A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A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21E6A"/>
    <w:rPr>
      <w:rFonts w:eastAsiaTheme="majorEastAsia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203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3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31A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31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31AC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31AC2"/>
    <w:pPr>
      <w:ind w:leftChars="400" w:left="840"/>
    </w:pPr>
  </w:style>
  <w:style w:type="character" w:styleId="a4">
    <w:name w:val="Hyperlink"/>
    <w:basedOn w:val="a0"/>
    <w:uiPriority w:val="99"/>
    <w:unhideWhenUsed/>
    <w:rsid w:val="00D31AC2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31AC2"/>
    <w:rPr>
      <w:rFonts w:asciiTheme="majorHAnsi" w:eastAsiaTheme="majorEastAsia" w:hAnsiTheme="majorHAnsi" w:cstheme="majorBidi"/>
      <w:bCs/>
      <w:szCs w:val="28"/>
    </w:rPr>
  </w:style>
  <w:style w:type="paragraph" w:styleId="a5">
    <w:name w:val="header"/>
    <w:basedOn w:val="a"/>
    <w:link w:val="a6"/>
    <w:uiPriority w:val="99"/>
    <w:unhideWhenUsed/>
    <w:rsid w:val="00E56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6B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6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6B44"/>
    <w:rPr>
      <w:sz w:val="18"/>
      <w:szCs w:val="18"/>
    </w:rPr>
  </w:style>
  <w:style w:type="paragraph" w:styleId="a9">
    <w:name w:val="List Paragraph"/>
    <w:basedOn w:val="a"/>
    <w:uiPriority w:val="34"/>
    <w:qFormat/>
    <w:rsid w:val="0088604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34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30B2-B6A3-4DCE-9D2A-B5DE247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8873</TotalTime>
  <Pages>8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Icey Yang</dc:creator>
  <cp:keywords/>
  <dc:description/>
  <cp:lastModifiedBy>Icey Yang</cp:lastModifiedBy>
  <cp:revision>13</cp:revision>
  <dcterms:created xsi:type="dcterms:W3CDTF">2019-02-26T07:12:00Z</dcterms:created>
  <dcterms:modified xsi:type="dcterms:W3CDTF">2019-03-15T14:05:00Z</dcterms:modified>
</cp:coreProperties>
</file>