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after="360" w:before="400"/>
        <w:jc w:val="center"/>
      </w:pPr>
      <w:r>
        <w:rPr>
          <w:rFonts w:ascii="Times New Roman" w:hAnsi="Times New Roman" w:eastAsia="黑体"/>
          <w:b/>
          <w:sz w:val="32"/>
        </w:rPr>
        <w:t>人工智能伦理与治理-大作业</w:t>
      </w:r>
    </w:p>
    <w:p>
      <w:pPr>
        <w:spacing w:line="400" w:lineRule="exact" w:after="480"/>
        <w:jc w:val="center"/>
      </w:pPr>
      <w:r>
        <w:rPr>
          <w:rFonts w:ascii="Times New Roman" w:hAnsi="Times New Roman" w:eastAsia="黑体"/>
          <w:b/>
          <w:sz w:val="30"/>
        </w:rPr>
        <w:t>题目：数字人领域的技术演进、伦理风险与治理路径研究</w:t>
      </w:r>
    </w:p>
    <w:p>
      <w:pPr>
        <w:spacing w:line="400" w:lineRule="exact" w:after="200"/>
        <w:jc w:val="center"/>
      </w:pPr>
      <w:r>
        <w:rPr>
          <w:rFonts w:ascii="Times New Roman" w:hAnsi="Times New Roman" w:eastAsia="黑体"/>
          <w:b/>
          <w:sz w:val="30"/>
        </w:rPr>
        <w:t>摘  要</w:t>
      </w:r>
    </w:p>
    <w:p>
      <w:pPr>
        <w:spacing w:line="400" w:lineRule="exact" w:after="80"/>
        <w:ind w:firstLine="420"/>
      </w:pPr>
      <w:r>
        <w:rPr>
          <w:rFonts w:ascii="Times New Roman" w:hAnsi="Times New Roman" w:eastAsia="仿宋"/>
          <w:b w:val="0"/>
          <w:sz w:val="24"/>
        </w:rPr>
        <w:t>数字人已经从依赖三维建模、动作捕捉和离线渲染的视觉产品，演化为由多模态大模型、语音合成、检索增强生成、实时渲染引擎和内容安全系统共同驱动的社会技术系统。其价值从虚拟偶像、品牌展示延伸到直播电商、金融客服、政务导办、教育陪练、文旅导览和适老陪伴等高频场景，技术资产也扩展为形象、声纹、人设、知识库、工具调用策略、标识链和审计日志的组合。</w:t>
      </w:r>
    </w:p>
    <w:p>
      <w:pPr>
        <w:spacing w:line="400" w:lineRule="exact" w:after="80"/>
        <w:ind w:firstLine="420"/>
      </w:pPr>
      <w:r>
        <w:rPr>
          <w:rFonts w:ascii="Times New Roman" w:hAnsi="Times New Roman" w:eastAsia="仿宋"/>
          <w:b w:val="0"/>
          <w:sz w:val="24"/>
        </w:rPr>
        <w:t>数字人的风险具有交叉性。人脸、声纹、动作和交互语料进入训练管线后，会同时触及敏感个人信息、肖像声音权益、著作权、消费者保护、广告合规、平台责任和算法治理。深度伪造降低身份冒用成本，拟人化交互放大情感依赖和未成年人保护压力，逝者复活把人格利益、近亲属同意、悼念场景和商业利用边界推到前台。</w:t>
      </w:r>
    </w:p>
    <w:p>
      <w:pPr>
        <w:spacing w:line="400" w:lineRule="exact" w:after="80"/>
        <w:ind w:firstLine="420"/>
      </w:pPr>
      <w:r>
        <w:rPr>
          <w:rFonts w:ascii="Times New Roman" w:hAnsi="Times New Roman" w:eastAsia="仿宋"/>
          <w:b w:val="0"/>
          <w:sz w:val="24"/>
        </w:rPr>
        <w:t>本报告以全生命周期治理为主线，提出从数据进入、模型训练、内容生成、传播分发到纠纷处置的敏捷治理框架。结合《个人信息保护法》《互联网信息服务深度合成管理规定》《生成式人工智能服务管理暂行办法》《人工智能生成合成内容标识办法》、GB 45438-2025、欧盟《AI Act》、美国版权局 AI 报告和算法推荐规则，报告将伦理要求转化为授权台账、标识链、模型日志、偏见测试、人工复核、未成年人保护和申诉删除机制。</w:t>
      </w:r>
    </w:p>
    <w:p>
      <w:pPr>
        <w:spacing w:line="400" w:lineRule="exact" w:after="80"/>
      </w:pPr>
      <w:r>
        <w:rPr>
          <w:rFonts w:ascii="Times New Roman" w:hAnsi="Times New Roman" w:eastAsia="仿宋"/>
          <w:b/>
          <w:sz w:val="24"/>
        </w:rPr>
        <w:t>关键词：数字人；拟人化互动服务；深度合成；生物识别信息；内容标识；敏捷治理</w:t>
      </w:r>
    </w:p>
    <w:p>
      <w:r>
        <w:br w:type="page"/>
      </w:r>
    </w:p>
    <w:p>
      <w:pPr>
        <w:keepNext/>
        <w:spacing w:before="160" w:after="100"/>
        <w:jc w:val="left"/>
      </w:pPr>
      <w:r>
        <w:rPr>
          <w:rFonts w:ascii="Times New Roman" w:hAnsi="Times New Roman" w:eastAsia="黑体"/>
          <w:b/>
          <w:sz w:val="30"/>
        </w:rPr>
        <w:t>一、数字人领域概述与技术演进</w:t>
      </w:r>
    </w:p>
    <w:p>
      <w:pPr>
        <w:keepNext/>
        <w:spacing w:before="100" w:after="100"/>
        <w:jc w:val="left"/>
      </w:pPr>
      <w:r>
        <w:rPr>
          <w:rFonts w:ascii="Times New Roman" w:hAnsi="Times New Roman" w:eastAsia="黑体"/>
          <w:b/>
          <w:sz w:val="25"/>
        </w:rPr>
        <w:t>1.1 概念边界：从可视化替身到拟人化互动服务</w:t>
      </w:r>
    </w:p>
    <w:p>
      <w:pPr>
        <w:spacing w:line="400" w:lineRule="exact" w:after="80"/>
        <w:ind w:firstLine="420"/>
      </w:pPr>
      <w:r>
        <w:rPr>
          <w:rFonts w:ascii="Times New Roman" w:hAnsi="Times New Roman" w:eastAsia="仿宋"/>
          <w:b w:val="0"/>
          <w:sz w:val="24"/>
        </w:rPr>
        <w:t>数字人是由计算机图形学、语音合成、动作捕捉、实时渲染和生成式人工智能共同构成的拟人化界面，既包含可见的面部、服装、口型和肢体，也包含隐藏在后台的知识库、身份规则和安全策略。早期虚拟形象主要依靠三维建模、骨骼绑定、Blendshape 表情基和离线渲染形成可观看角色，交互能力被脚本和有限意图槽位约束，用户更多是在观看预设内容。多模态大模型接入后，数字人开始承担咨询、导办、客服、陪练、直播讲解和文旅导览等业务任务，系统资产扩展为形象库、声纹模型、人设提示词、知识库、工具调用策略、内容安全规则和审计日志的组合。2026 年 4 月公布、将于 2026 年 7 月 15 日施行的《人工智能拟人化互动服务管理暂行办法》，把这类服务界定为以文本、音频、图像、视频、虚拟场景等方式模拟人类表达或交互的人工智能服务，说明数字人已从内容产业产品进入专门治理对象，产品定义需要同时覆盖技术形态、服务场景和权利义务边界。概念边界还应区分数字人、虚拟偶像、聊天机器人和深度合成视频：数字人的核心特征是以拟人外观承载持续交互能力，法律评价要同时观察生成主体、传播主体、真实人物关联度和用户是否可能发生身份误认。</w:t>
      </w:r>
    </w:p>
    <w:p>
      <w:pPr>
        <w:keepNext/>
        <w:spacing w:before="100" w:after="100"/>
        <w:jc w:val="left"/>
      </w:pPr>
      <w:r>
        <w:rPr>
          <w:rFonts w:ascii="Times New Roman" w:hAnsi="Times New Roman" w:eastAsia="黑体"/>
          <w:b/>
          <w:sz w:val="25"/>
        </w:rPr>
        <w:t>1.2 底层架构：ASR-LLM-RAG-TTS-Animation 的闭环</w:t>
      </w:r>
    </w:p>
    <w:p>
      <w:pPr>
        <w:spacing w:line="400" w:lineRule="exact" w:after="80"/>
        <w:ind w:firstLine="420"/>
      </w:pPr>
      <w:r>
        <w:rPr>
          <w:rFonts w:ascii="Times New Roman" w:hAnsi="Times New Roman" w:eastAsia="仿宋"/>
          <w:b w:val="0"/>
          <w:sz w:val="24"/>
        </w:rPr>
        <w:t>成熟数字人通常由数据层、形象层、驱动层、交互层、渲染层和治理层组成。语音输入经 ASR 转写为文本，ASR 质量会受口音、噪声、多人说话和专业术语影响，因此医疗、政务、金融场景需要领域热词表和置信度阈值。LLM 负责意图识别和语义规划，RAG 通过文档切片、向量召回、重排序和引用回填压缩幻觉空间，函数调用模块连接订单、问诊、政务事项或学习系统，接口权限应采用最小权限令牌和操作二次确认。TTS 将回答转为带韵律的音频，动画模块依据音素、语义重音和情绪标签驱动口型、眼神、头部姿态和手势。渲染侧可采用 Unreal Engine、Unity、Live2D、视频合成或神经渲染，云渲染强调集中风控和跨端部署，端侧推理强调低时延和隐私控制。治理层贯穿数据进入、模型训练、内容输出和传播复核，记录数据来源、授权范围、生成时间、提示词摘要、模型版本、人工干预和标识状态，使一次对话能够被复盘为可验证的工程链路。实际部署时还要把会话状态、用户权限、缓存策略和失败降级写入架构设计，避免 ASR 误识别、检索缺失或接口超时被模型用编造内容补齐。</w:t>
      </w:r>
    </w:p>
    <w:p>
      <w:pPr>
        <w:keepNext/>
        <w:spacing w:before="100" w:after="100"/>
        <w:jc w:val="left"/>
      </w:pPr>
      <w:r>
        <w:rPr>
          <w:rFonts w:ascii="Times New Roman" w:hAnsi="Times New Roman" w:eastAsia="黑体"/>
          <w:b/>
          <w:sz w:val="25"/>
        </w:rPr>
        <w:t>1.3 关键技术前沿：实时性、可控性与可追溯性</w:t>
      </w:r>
    </w:p>
    <w:p>
      <w:pPr>
        <w:spacing w:line="400" w:lineRule="exact" w:after="80"/>
        <w:ind w:firstLine="420"/>
      </w:pPr>
      <w:r>
        <w:rPr>
          <w:rFonts w:ascii="Times New Roman" w:hAnsi="Times New Roman" w:eastAsia="仿宋"/>
          <w:b w:val="0"/>
          <w:sz w:val="24"/>
        </w:rPr>
        <w:t>数字人的技术前沿正在从逼真外观转向可控交互。实时性方面，端到端延迟需要压缩在对话可接受范围内，工程上常通过流式 ASR、增量解码、低比特率神经声码器、边缘节点渲染和预生成动作片段降低等待感，口型帧率、音画同步误差和首包响应时间都应进入性能验收。可控性方面，企业知识库需要建立版本化切片、来源优先级、拒答规则和人工复核阈值，避免数字人口播未经核验的医疗、金融、教育结论；当用户问题触发高风险意图时，系统应停止自由生成并转入模板提示或人工坐席。可追溯性方面，《人工智能生成合成内容标识办法》规定生成合成内容包括文本、图片、音频、视频和虚拟场景，并区分显式标识与隐式标识；GB 45438-2025 进一步规定标识方法。数字人项目需要在界面提示、音视频水印、文件元数据和日志留存之间形成闭环，保证发布后的转码、下载、截图和二次编辑仍能留下可核查线索。前沿能力还体现在可配置的人设边界和情绪强度控制上，系统应能限制夸张承诺、亲密称呼、持续挽留和越权代办，防止互动效果优化挤压合规边界。</w:t>
      </w:r>
    </w:p>
    <w:p>
      <w:r>
        <w:br w:type="page"/>
      </w:r>
    </w:p>
    <w:p>
      <w:pPr>
        <w:spacing w:line="400" w:lineRule="exact" w:after="80"/>
        <w:jc w:val="center"/>
      </w:pPr>
      <w:r>
        <w:rPr>
          <w:rFonts w:ascii="Times New Roman" w:hAnsi="Times New Roman" w:eastAsia="仿宋"/>
          <w:b w:val="0"/>
          <w:sz w:val="19"/>
        </w:rPr>
        <w:t>表1  交互型数字人与偶像型数字人的核心差异</w:t>
      </w:r>
    </w:p>
    <w:tbl>
      <w:tblPr>
        <w:tblW w:type="auto" w:w="0"/>
        <w:jc w:val="center"/>
        <w:tblLayout w:type="fixed"/>
        <w:tblLook w:firstColumn="1" w:firstRow="1" w:lastColumn="0" w:lastRow="0" w:noHBand="0" w:noVBand="1" w:val="04A0"/>
      </w:tblPr>
      <w:tblGrid>
        <w:gridCol w:w="2078"/>
        <w:gridCol w:w="2078"/>
        <w:gridCol w:w="2078"/>
        <w:gridCol w:w="2078"/>
      </w:tblGrid>
      <w:tr>
        <w:trPr>
          <w:tblHeader w:val="true"/>
        </w:trPr>
        <w:tc>
          <w:tcPr>
            <w:tcW w:type="dxa" w:w="1304"/>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比较维度</w:t>
            </w:r>
          </w:p>
        </w:tc>
        <w:tc>
          <w:tcPr>
            <w:tcW w:type="dxa" w:w="2211"/>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交互型数字人</w:t>
            </w:r>
          </w:p>
        </w:tc>
        <w:tc>
          <w:tcPr>
            <w:tcW w:type="dxa" w:w="2211"/>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偶像型数字人</w:t>
            </w:r>
          </w:p>
        </w:tc>
        <w:tc>
          <w:tcPr>
            <w:tcW w:type="dxa" w:w="2381"/>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治理关注点</w:t>
            </w:r>
          </w:p>
        </w:tc>
      </w:tr>
      <w:tr>
        <w:tc>
          <w:tcPr>
            <w:tcW w:type="dxa" w:w="130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核心目标</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咨询、导办、客服、陪练、任务办理和流程触发</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人设经营、内容生产、粉丝互动、直播演出和品牌代言</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区分辅助信息、专业建议、广告表达和交易确认</w:t>
            </w:r>
          </w:p>
        </w:tc>
      </w:tr>
      <w:tr>
        <w:tc>
          <w:tcPr>
            <w:tcW w:type="dxa" w:w="130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NLP 重点</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意图识别、RAG、流程调用、事实校验和拒答策略</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角色口吻、剧情生成、直播互动、社群语境和情绪反馈</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知识来源、日志留存、敏感场景转人工和引用回填</w:t>
            </w:r>
          </w:p>
        </w:tc>
      </w:tr>
      <w:tr>
        <w:tc>
          <w:tcPr>
            <w:tcW w:type="dxa" w:w="130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渲染重点</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低时延、稳定性、表情清晰、跨端可用和无障碍提示</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材质、镜头、服装、妆造、动作表演和舞台调度</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显式标识、隐式标识、素材授权和商业用途范围</w:t>
            </w:r>
          </w:p>
        </w:tc>
      </w:tr>
      <w:tr>
        <w:tc>
          <w:tcPr>
            <w:tcW w:type="dxa" w:w="130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数据重点</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用户问题、业务字段、身份认证状态和服务结果</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粉丝画像、互动偏好、消费记录和社群行为</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最小必要、单独同意、未成年人保护和数据删除</w:t>
            </w:r>
          </w:p>
        </w:tc>
      </w:tr>
      <w:tr>
        <w:tc>
          <w:tcPr>
            <w:tcW w:type="dxa" w:w="130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典型风险</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误导办理、错误建议、个人信息泄露、权限越界</w:t>
            </w:r>
          </w:p>
        </w:tc>
        <w:tc>
          <w:tcPr>
            <w:tcW w:type="dxa" w:w="221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肖像声纹侵权、虚假宣传、粉丝情感操控、诱导消费</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人工复核、申诉处置、合同责任链和证据保全</w:t>
            </w:r>
          </w:p>
        </w:tc>
      </w:tr>
    </w:tbl>
    <w:p>
      <w:pPr>
        <w:spacing w:line="400" w:lineRule="exact" w:after="40"/>
      </w:pPr>
      <w:r>
        <w:rPr>
          <w:rFonts w:ascii="Times New Roman" w:hAnsi="Times New Roman" w:eastAsia="仿宋"/>
          <w:b w:val="0"/>
          <w:sz w:val="24"/>
        </w:rPr>
      </w:r>
    </w:p>
    <w:p>
      <w:pPr>
        <w:keepNext/>
        <w:spacing w:before="100" w:after="100"/>
        <w:jc w:val="left"/>
      </w:pPr>
      <w:r>
        <w:rPr>
          <w:rFonts w:ascii="Times New Roman" w:hAnsi="Times New Roman" w:eastAsia="黑体"/>
          <w:b/>
          <w:sz w:val="25"/>
        </w:rPr>
        <w:t>1.4 数据资产管线：从素材采集到权利台账</w:t>
      </w:r>
    </w:p>
    <w:p>
      <w:pPr>
        <w:spacing w:line="400" w:lineRule="exact" w:after="80"/>
        <w:ind w:firstLine="420"/>
      </w:pPr>
      <w:r>
        <w:rPr>
          <w:rFonts w:ascii="Times New Roman" w:hAnsi="Times New Roman" w:eastAsia="仿宋"/>
          <w:b w:val="0"/>
          <w:sz w:val="24"/>
        </w:rPr>
        <w:t>数字人的数据管线包含真人授权素材、公共知识资料、业务系统数据和用户交互数据。真人素材通常涉及面部视频、声纹录音、动作捕捉点位、表情捕捉曲线和剧本文本，采集时应把授权对象、用途、地域、期限、是否允许二次训练、是否允许跨项目复用写入合同，并以素材编号绑定原始文件、剪辑片段和训练任务。知识资料需要记录来源 URL、发布日期、适用版本和失效条件，法规、产品价格、药品说明书等高变动内容还要设置复核周期。业务系统数据需要区分可调用字段和禁止进入模型上下文的字段，例如身份证号、银行卡号、病历号和未成年人身份标签不应被送入通用生成链路。用户交互日志用于纠错时，应进行最小化留存、去标识化处理和访问审计。《个人信息保护法》第六条要求处理个人信息限于实现处理目的的最小范围，第二十九条要求处理敏感个人信息取得个人的单独同意，这两条决定了数字人项目不能把提升体验作为无限制采集的理由。数据资产管理还应设置失效机制，授权到期、法规废止、产品下架或用户撤回同意后，相关素材、索引、缓存和评测样本都要进入停用或删除流程。</w:t>
      </w:r>
    </w:p>
    <w:p>
      <w:pPr>
        <w:keepNext/>
        <w:spacing w:before="100" w:after="100"/>
        <w:jc w:val="left"/>
      </w:pPr>
      <w:r>
        <w:rPr>
          <w:rFonts w:ascii="Times New Roman" w:hAnsi="Times New Roman" w:eastAsia="黑体"/>
          <w:b/>
          <w:sz w:val="25"/>
        </w:rPr>
        <w:t>1.5 形象与声音生成：拟真度、授权链和人格利益</w:t>
      </w:r>
    </w:p>
    <w:p>
      <w:pPr>
        <w:spacing w:line="400" w:lineRule="exact" w:after="80"/>
        <w:ind w:firstLine="420"/>
      </w:pPr>
      <w:r>
        <w:rPr>
          <w:rFonts w:ascii="Times New Roman" w:hAnsi="Times New Roman" w:eastAsia="仿宋"/>
          <w:b w:val="0"/>
          <w:sz w:val="24"/>
        </w:rPr>
        <w:t>形象生成可采用三维扫描、照片建模、参数化脸模、神经辐射场、扩散模型和视频驱动等路线，声音生成则依赖声学模型、声码器、音色嵌入和韵律控制。拟真度提升会增强亲和力，也会提高误认和冒用风险，尤其在直播带货、政务解说和医患沟通中，用户容易把稳定口播理解为真人背书。真人数字分身应当把肖像、声音、动作表演、妆造设计、服装道具和后期剪辑拆分授权，因为这些要素可能分别对应人格利益、著作权、邻接权、商业秘密和合同权益。授权文件还应写明禁止代言品类、敏感话题、审核流程、下架时限和模型停止使用方式，避免合同到期后仍以旧权重生成新内容。若项目使用逝者形象，《民法典》第九百九十四条提供了死者姓名、肖像、名誉、荣誉、隐私、遗体等人格利益的民事保护路径；商业化复活还应取得近亲属书面同意，并设定悼念用途、公开传播范围和收益安排。声音克隆还要关注短样本滥用风险，企业应限制音色导出、禁止裸模型交付，并在调用日志中记录音色 ID、文本来源和审核状态。</w:t>
      </w:r>
    </w:p>
    <w:p>
      <w:pPr>
        <w:keepNext/>
        <w:spacing w:before="100" w:after="100"/>
        <w:jc w:val="left"/>
      </w:pPr>
      <w:r>
        <w:rPr>
          <w:rFonts w:ascii="Times New Roman" w:hAnsi="Times New Roman" w:eastAsia="黑体"/>
          <w:b/>
          <w:sz w:val="25"/>
        </w:rPr>
        <w:t>1.6 交互评估指标：可用性之外的合规指标</w:t>
      </w:r>
    </w:p>
    <w:p>
      <w:pPr>
        <w:spacing w:line="400" w:lineRule="exact" w:after="80"/>
        <w:ind w:firstLine="420"/>
      </w:pPr>
      <w:r>
        <w:rPr>
          <w:rFonts w:ascii="Times New Roman" w:hAnsi="Times New Roman" w:eastAsia="仿宋"/>
          <w:b w:val="0"/>
          <w:sz w:val="24"/>
        </w:rPr>
        <w:t>数字人的评估不能停留在响应速度、语音自然度和用户停留时长。合规评估至少包括四类指标：事实正确率、引用可回溯率、标识保留率和敏感请求拦截率。事实正确率可通过标准问答集、业务边界题和对抗题测试，题库应覆盖同义追问、过期政策、反事实诱导和越权办理。引用可回溯率要求每条专业性回答关联知识库片段、法规条款或人工审核记录，日志中应能看到检索片段 ID、重排序得分和引用版本。标识保留率需要覆盖下载、转码、截图、平台分发和二次编辑后的显式标识与隐式标识；敏感请求拦截率应覆盖医疗诊断、金融投资、未成年人诱导消费、仿冒真人身份和违法内容生成。把这些指标写入验收报告，并附测试样本、失败案例和整改记录，才能把伦理要求转化为工程可检查项。评估频率也很关键，模型升级、知识库换版、平台转码策略变化或新增交易接口后，应重新抽样测试并保留前后版本差异。</w:t>
      </w:r>
    </w:p>
    <w:p>
      <w:pPr>
        <w:keepNext/>
        <w:spacing w:before="160" w:after="100"/>
        <w:jc w:val="left"/>
      </w:pPr>
      <w:r>
        <w:rPr>
          <w:rFonts w:ascii="Times New Roman" w:hAnsi="Times New Roman" w:eastAsia="黑体"/>
          <w:b/>
          <w:sz w:val="30"/>
        </w:rPr>
        <w:t>二、多维视野下的伦理风险分析</w:t>
      </w:r>
    </w:p>
    <w:p>
      <w:pPr>
        <w:keepNext/>
        <w:spacing w:before="100" w:after="100"/>
        <w:jc w:val="left"/>
      </w:pPr>
      <w:r>
        <w:rPr>
          <w:rFonts w:ascii="Times New Roman" w:hAnsi="Times New Roman" w:eastAsia="黑体"/>
          <w:b/>
          <w:sz w:val="25"/>
        </w:rPr>
        <w:t>2.1 技术伦理：深度伪造、误认与安全失效</w:t>
      </w:r>
    </w:p>
    <w:p>
      <w:pPr>
        <w:spacing w:line="400" w:lineRule="exact" w:after="80"/>
        <w:ind w:firstLine="420"/>
      </w:pPr>
      <w:r>
        <w:rPr>
          <w:rFonts w:ascii="Times New Roman" w:hAnsi="Times New Roman" w:eastAsia="仿宋"/>
          <w:b w:val="0"/>
          <w:sz w:val="24"/>
        </w:rPr>
        <w:t>数字人越接近真人，身份误认风险越高。面部替换、声音克隆、唇形驱动和姿态迁移可以把他人的脸、声线和表达习惯低成本迁移到数字角色上，公众很难仅凭画面真实感判断内容来源。欧盟《AI Act》将 deep fake 定义为类似既有人物、物体、地点、实体或事件并可能被误认为真实的 AI 生成或操控音视频内容，并在第 50 条要求相关部署者披露人工生成或操控事实。安全失效也会表现为口型与语音错配、直播话术越界、RAG 引用错误、过滤器漏拦和模型更新后人设漂移，某些错误会在短视频切片和直播回放中被持续传播。工程上应设置模型版本回滚、敏感场景强制转人工、红队测试、异常输出熔断和事后日志复盘，红队样本应覆盖冒充亲友借款、伪造领导讲话、引导绕过身份验证和诱导输出违法教程等情形，避免把拟人化界面包装成事实保证。平台还应为高相似真人形象设置相似度审查和权利人投诉入口，发现疑似冒用时保全源文件、生成参数、上传账号和传播路径。</w:t>
      </w:r>
    </w:p>
    <w:p>
      <w:pPr>
        <w:keepNext/>
        <w:spacing w:before="100" w:after="100"/>
        <w:jc w:val="left"/>
      </w:pPr>
      <w:r>
        <w:rPr>
          <w:rFonts w:ascii="Times New Roman" w:hAnsi="Times New Roman" w:eastAsia="黑体"/>
          <w:b/>
          <w:sz w:val="25"/>
        </w:rPr>
        <w:t>2.2 数据伦理：生物识别信息、训练授权与撤回难题</w:t>
      </w:r>
    </w:p>
    <w:p>
      <w:pPr>
        <w:spacing w:line="400" w:lineRule="exact" w:after="80"/>
        <w:ind w:firstLine="420"/>
      </w:pPr>
      <w:r>
        <w:rPr>
          <w:rFonts w:ascii="Times New Roman" w:hAnsi="Times New Roman" w:eastAsia="仿宋"/>
          <w:b w:val="0"/>
          <w:sz w:val="24"/>
        </w:rPr>
        <w:t>数字人训练会处理人脸、声纹、动作、表情、文本聊天记录、地理位置和消费偏好等数据，其中人脸和声纹通常属于生物识别信息。《个人信息保护法》第二十八条将生物识别、医疗健康、金融账户、行踪轨迹等列为敏感个人信息，处理这类信息应具有特定目的、充分必要性并采取严格保护措施，第三十条还要求告知处理敏感个人信息的必要性及其对个人权益的影响。数字人项目常见问题包括用演员试镜视频训练后续模型、用客服录音克隆音色、把用户交互语料继续用于优化模型、用逝者公开影像生成纪念角色。合规设计需要把授权拆分为采集、训练、商业展示、跨项目复用、海外传播和删除模型等颗粒度，用户撤回授权后还要能定位样本、嵌入向量、微调权重和衍生素材。若技术上无法完全剥离基础模型影响，也应在合同和隐私政策中说明限制，并以禁用音色、删除可控样本、停止投放和更换模型版本降低持续侵害。数据伦理还要求限制内部访问，训练工程师、运营人员和外包标注团队应使用分级权限、脱敏样本和操作审计，避免合规文件完整但实际数据被复制外流。</w:t>
      </w:r>
    </w:p>
    <w:p>
      <w:pPr>
        <w:keepNext/>
        <w:spacing w:before="100" w:after="100"/>
        <w:jc w:val="left"/>
      </w:pPr>
      <w:r>
        <w:rPr>
          <w:rFonts w:ascii="Times New Roman" w:hAnsi="Times New Roman" w:eastAsia="黑体"/>
          <w:b/>
          <w:sz w:val="25"/>
        </w:rPr>
        <w:t>2.3 算法伦理：偏见从文本输出扩展到外形与音色</w:t>
      </w:r>
    </w:p>
    <w:p>
      <w:pPr>
        <w:spacing w:line="400" w:lineRule="exact" w:after="80"/>
        <w:ind w:firstLine="420"/>
      </w:pPr>
      <w:r>
        <w:rPr>
          <w:rFonts w:ascii="Times New Roman" w:hAnsi="Times New Roman" w:eastAsia="仿宋"/>
          <w:b w:val="0"/>
          <w:sz w:val="24"/>
        </w:rPr>
        <w:t>数字人的偏见不局限于回答内容，也会进入脸型、肤色、年龄、服装、音色、语气、动作和服务角色分配。若客服、导购和陪伴类数字人大量采用年轻女性形象，而投顾、政务和医疗咨询场景集中使用成熟男性形象，产品设计会固化职业性别分工。语言模型还可能把地域口音、年龄、职业、消费能力与服务优先级建立统计关联，使方言用户、老年用户或低频需求用户得到更差响应，ASR 误识别又会把问题进一步传导到意图识别和流程调用。治理时不能只做文本敏感词过滤，应覆盖形象库多样性、音色授权、ASR 对方言和弱势群体的识别率、推荐模板的流量反馈、A/B 测试指标和申诉复核记录。Floridi 与 Cowls 提出的有益、无害、自主、公正、可解释五项原则，可转化为数字人上线评审的测试维度，例如比较不同年龄、性别、口音用户在同一业务中的识别率、转人工率和投诉处理结果。算法伦理审查还应查看训练样本分布和标注规范，若素材库长期缺少老年人、残障人士或方言用户，产品上线后的公平性问题很难靠后置过滤修复。</w:t>
      </w:r>
    </w:p>
    <w:p>
      <w:pPr>
        <w:keepNext/>
        <w:spacing w:before="100" w:after="100"/>
        <w:jc w:val="left"/>
      </w:pPr>
      <w:r>
        <w:rPr>
          <w:rFonts w:ascii="Times New Roman" w:hAnsi="Times New Roman" w:eastAsia="黑体"/>
          <w:b/>
          <w:sz w:val="25"/>
        </w:rPr>
        <w:t>2.4 应用伦理：逝者复活、未成年人陪伴与情感依赖</w:t>
      </w:r>
    </w:p>
    <w:p>
      <w:pPr>
        <w:spacing w:line="400" w:lineRule="exact" w:after="80"/>
        <w:ind w:firstLine="420"/>
      </w:pPr>
      <w:r>
        <w:rPr>
          <w:rFonts w:ascii="Times New Roman" w:hAnsi="Times New Roman" w:eastAsia="仿宋"/>
          <w:b w:val="0"/>
          <w:sz w:val="24"/>
        </w:rPr>
        <w:t>逝者数字复活把数字人风险推向人格利益边界。服务商通过照片、视频、社交平台文本和语音片段生成可对话角色，技术上是多模态复原，社会效果会改变亲属哀悼、公共记忆和商业利用边界。《民法典》第九百九十四条规定，死者姓名、肖像、名誉、荣誉、隐私、遗体等受到侵害时，配偶、子女、父母等近亲属可请求承担民事责任。未成年人陪伴型数字人还可能形成依赖、诱导消费或替代真实求助渠道，系统若持续记忆昵称、情绪状态和家庭矛盾，会触及未成年人个人信息专门保护。2026 年拟人化互动服务规则已经把未成年人、老年人权益保护、个人信息保护、算法备案、应用商店上架审核纳入治理框架。产品层面应限制连续互动时长、周期性提示 AI 身份、禁止商业化复活默认授权，并提供删除角色和转介人工支持的路径；对哀悼、心理陪伴、校园交友等场景，还应设置危机词识别、监护人控制和紧急求助提示。应用伦理评审需要关注使用者处境，亲属纪念、心理陪伴和粉丝互动的同一句话术会产生不同影响，审核规则应按场景配置而不能套用统一营销模板。</w:t>
      </w:r>
    </w:p>
    <w:p>
      <w:pPr>
        <w:keepNext/>
        <w:spacing w:before="100" w:after="100"/>
        <w:jc w:val="left"/>
      </w:pPr>
      <w:r>
        <w:rPr>
          <w:rFonts w:ascii="Times New Roman" w:hAnsi="Times New Roman" w:eastAsia="黑体"/>
          <w:b/>
          <w:sz w:val="25"/>
        </w:rPr>
        <w:t>2.5 知识幻觉：专业场景中的错误权威感</w:t>
      </w:r>
    </w:p>
    <w:p>
      <w:pPr>
        <w:spacing w:line="400" w:lineRule="exact" w:after="80"/>
        <w:ind w:firstLine="420"/>
      </w:pPr>
      <w:r>
        <w:rPr>
          <w:rFonts w:ascii="Times New Roman" w:hAnsi="Times New Roman" w:eastAsia="仿宋"/>
          <w:b w:val="0"/>
          <w:sz w:val="24"/>
        </w:rPr>
        <w:t>数字人以人脸、眼神和语音输出答案，错误内容会被用户理解为有人负责的专业意见。医疗问诊场景中，一次错误分诊可能延误线下就医；金融投顾场景中，夸大收益或忽视风险承受能力会触及证券、基金、保险销售规则；政务导办场景中，错误材料清单会增加公民办事成本。RAG 能降低幻觉，但检索命中并不等于引用正确，切片过长会带入无关条款，切片过短会丢失适用条件，重排序模型也可能把高相似但已失效的政策排在前列。专业数字人应建立禁答目录、来源白名单、法规版本号、人工复核阈值和责任提示模板，回答中涉及金额、期限、资格、禁忌、风险等级时，应强制显示来源并保留日志。对于药品剂量、贷款利率、补贴资格、考试报名时间等高后果字段，系统应采用结构化字段校验和人工抽检，而不能只依赖自然语言生成。知识库运营还应记录每次文档导入、切片规则、向量化模型和失效日期，防止旧政策被重新召回。</w:t>
      </w:r>
    </w:p>
    <w:p>
      <w:pPr>
        <w:keepNext/>
        <w:spacing w:before="100" w:after="100"/>
        <w:jc w:val="left"/>
      </w:pPr>
      <w:r>
        <w:rPr>
          <w:rFonts w:ascii="Times New Roman" w:hAnsi="Times New Roman" w:eastAsia="黑体"/>
          <w:b/>
          <w:sz w:val="25"/>
        </w:rPr>
        <w:t>2.6 情绪操控：拟人化界面的说服力边界</w:t>
      </w:r>
    </w:p>
    <w:p>
      <w:pPr>
        <w:spacing w:line="400" w:lineRule="exact" w:after="80"/>
        <w:ind w:firstLine="420"/>
      </w:pPr>
      <w:r>
        <w:rPr>
          <w:rFonts w:ascii="Times New Roman" w:hAnsi="Times New Roman" w:eastAsia="仿宋"/>
          <w:b w:val="0"/>
          <w:sz w:val="24"/>
        </w:rPr>
        <w:t>数字人具备凝视、停顿、称呼用户姓名、模仿共情和连续记忆能力，商业系统可以利用这些能力提高转化率。伦理风险出现在说服机制被用于弱势群体：未成年人被虚拟偶像诱导打赏，老年人被拟人客服引导购买保健品，孤独用户被陪伴型数字人推动高额订阅。算法推荐规定要求不得设置诱导用户沉迷、过度消费等违反法律法规或违背伦理道德的算法模型；消费者权益保护法也要求经营者提供真实、全面信息。数字人产品应区分服务性关怀和交易性说服，对连续互动时长、付费提示、未成年人账号、老年人高频购买建立风控阈值。运营指标也要避免只考核转化率和停留时长，应记录拒绝推销、冷静期提示、异常消费拦截和人工客服介入情况，防止拟人化表达绕开传统广告提示和消费决策保护。对情绪识别功能还应设置用途限制，若系统识别到焦虑、孤独或冲动状态，应降低推销强度并提供退出、冷静和人工协助入口。</w:t>
      </w:r>
    </w:p>
    <w:p>
      <w:pPr>
        <w:keepNext/>
        <w:spacing w:before="160" w:after="100"/>
        <w:jc w:val="left"/>
      </w:pPr>
      <w:r>
        <w:rPr>
          <w:rFonts w:ascii="Times New Roman" w:hAnsi="Times New Roman" w:eastAsia="黑体"/>
          <w:b/>
          <w:sz w:val="30"/>
        </w:rPr>
        <w:t>三、产业格局重塑及其社会经济效应</w:t>
      </w:r>
    </w:p>
    <w:p>
      <w:pPr>
        <w:keepNext/>
        <w:spacing w:before="100" w:after="100"/>
        <w:jc w:val="left"/>
      </w:pPr>
      <w:r>
        <w:rPr>
          <w:rFonts w:ascii="Times New Roman" w:hAnsi="Times New Roman" w:eastAsia="黑体"/>
          <w:b/>
          <w:sz w:val="25"/>
        </w:rPr>
        <w:t>3.1 直播电商：虚拟主播与责任链重组</w:t>
      </w:r>
    </w:p>
    <w:p>
      <w:pPr>
        <w:spacing w:line="400" w:lineRule="exact" w:after="80"/>
        <w:ind w:firstLine="420"/>
      </w:pPr>
      <w:r>
        <w:rPr>
          <w:rFonts w:ascii="Times New Roman" w:hAnsi="Times New Roman" w:eastAsia="仿宋"/>
          <w:b w:val="0"/>
          <w:sz w:val="24"/>
        </w:rPr>
        <w:t>直播电商是数字人商业化最活跃的场景。虚拟主播可以夜间轮播长尾商品，依托商品知识库、用户评论、库存价格和促销节点生成口播，再由 TTS 和表情驱动模块输出稳定画面。效率提升来自边际复制成本下降和排班限制消失，但责任链随之变长：商家提供商品信息，数字人平台提供模型和模板，MCN 负责运营脚本，内容平台控制推荐分发，售后团队处理履约争议。若数字人在直播中承诺功效、价格或售后，消费者很难判断该表达来自商家脚本、模型生成还是平台模板，广告法上的真实性审查和消费者权益保护法上的告知义务仍然需要落到具体经营者。治理应要求直播间显著提示虚拟主播身份，保留脚本版本、知识库来源、生成日志和人工审核记录，并把禁用词、功效证据、价格同步、库存校验和售后政策核对落实到数字人口播前的可验证流程。平台抽检时可以比对直播录屏、商品详情页、价格接口和审核单，确认口播承诺与实际履约材料一致。对预售、限时折扣和赠品规则，系统还应读取实时库存和活动配置，防止循环口播使用过期优惠。</w:t>
      </w:r>
    </w:p>
    <w:p>
      <w:pPr>
        <w:keepNext/>
        <w:spacing w:before="100" w:after="100"/>
        <w:jc w:val="left"/>
      </w:pPr>
      <w:r>
        <w:rPr>
          <w:rFonts w:ascii="Times New Roman" w:hAnsi="Times New Roman" w:eastAsia="黑体"/>
          <w:b/>
          <w:sz w:val="25"/>
        </w:rPr>
        <w:t>3.2 文旅演艺：历史人物 IP 与地方文化再编码</w:t>
      </w:r>
    </w:p>
    <w:p>
      <w:pPr>
        <w:spacing w:line="400" w:lineRule="exact" w:after="80"/>
        <w:ind w:firstLine="420"/>
      </w:pPr>
      <w:r>
        <w:rPr>
          <w:rFonts w:ascii="Times New Roman" w:hAnsi="Times New Roman" w:eastAsia="仿宋"/>
          <w:b w:val="0"/>
          <w:sz w:val="24"/>
        </w:rPr>
        <w:t>文旅数字人强调空间叙事和文化解释。景区可用历史人物数字人导览，博物馆可用虚拟讲解员把馆藏知识转成互动问答，城市平台可用虚拟代言人连接短视频、展演和数字藏品。《虚拟现实与行业应用融合发展行动计划（2022-2026 年）》把文化旅游、融合媒体、演艺娱乐、智慧城市等列为重点应用方向，为数字人进入公共文化服务提供政策基础。风险在于历史人物被过度娱乐化，民族服饰、方言和非遗元素被模板化，用户停留时长指标压过知识准确性，地方文化可能被简化成可复制的视觉符号。项目合同应明确剧本、音乐、动作捕捉、演员表演数据和文物图像的授权范围，算法侧应设置史实校验、争议内容标注和文化表达复核。博物馆、纪念馆和红色文旅场景还应为每条解说绑定馆方审定文本、藏品编号、年代来源和禁讲范围，避免互动追问时生成未经审查的史实判断。文旅项目还应处理多语种翻译和方言表达的准确性，防止自动翻译误改地名、人名、年代和民族文化术语。</w:t>
      </w:r>
    </w:p>
    <w:p>
      <w:pPr>
        <w:keepNext/>
        <w:spacing w:before="100" w:after="100"/>
        <w:jc w:val="left"/>
      </w:pPr>
      <w:r>
        <w:rPr>
          <w:rFonts w:ascii="Times New Roman" w:hAnsi="Times New Roman" w:eastAsia="黑体"/>
          <w:b/>
          <w:sz w:val="25"/>
        </w:rPr>
        <w:t>3.3 虚拟劳动力：就业替代、纳税和保险缺口</w:t>
      </w:r>
    </w:p>
    <w:p>
      <w:pPr>
        <w:spacing w:line="400" w:lineRule="exact" w:after="80"/>
        <w:ind w:firstLine="420"/>
      </w:pPr>
      <w:r>
        <w:rPr>
          <w:rFonts w:ascii="Times New Roman" w:hAnsi="Times New Roman" w:eastAsia="仿宋"/>
          <w:b w:val="0"/>
          <w:sz w:val="24"/>
        </w:rPr>
        <w:t>数字人进入企业流程后，劳动和税务制度会遇到主体缺位。数字人没有劳动者资格，不缴纳社保，也不承担侵权责任，却能替代基础客服、讲解、直播轮播和培训陪练。企业采购数字人服务时，支出可能被记为软件订阅、技术服务、广告制作或 IP 授权，原本由雇佣劳动产生的社保缴费和岗位培训责任会被压缩，平台用工和外包团队的管理边界也会变得模糊。与此同时，提示词工程师、数字人训练师、合成音色导演、直播风控员和数字资产经纪人等岗位出现，这些岗位需要同时理解模型调参、内容审核、合同授权和平台规则。税务和劳动治理需要穿透合同外观识别实质经营者、收入归属、外包用工和平台管理责任；保险产品也应覆盖模型缺陷、素材侵权、虚假宣传和数据泄露等新型损失，承保资料至少应包括素材授权台账、模型版本记录、上线审批和事故处置预案。企业还应评估岗位替代后的再培训责任，尤其是客服、导览和培训类岗位被自动化替换时，应保留人工复核、异常处理和用户申诉岗位。</w:t>
      </w:r>
    </w:p>
    <w:p>
      <w:pPr>
        <w:keepNext/>
        <w:spacing w:before="100" w:after="100"/>
        <w:jc w:val="left"/>
      </w:pPr>
      <w:r>
        <w:rPr>
          <w:rFonts w:ascii="Times New Roman" w:hAnsi="Times New Roman" w:eastAsia="黑体"/>
          <w:b/>
          <w:sz w:val="25"/>
        </w:rPr>
        <w:t>3.4 金融与政务服务：便利性和审慎义务并存</w:t>
      </w:r>
    </w:p>
    <w:p>
      <w:pPr>
        <w:spacing w:line="400" w:lineRule="exact" w:after="80"/>
        <w:ind w:firstLine="420"/>
      </w:pPr>
      <w:r>
        <w:rPr>
          <w:rFonts w:ascii="Times New Roman" w:hAnsi="Times New Roman" w:eastAsia="仿宋"/>
          <w:b w:val="0"/>
          <w:sz w:val="24"/>
        </w:rPr>
        <w:t>金融、政务数字人的价值在于把复杂流程转成自然语言问答，但这类场景拥有更强的法定审慎义务。银行数字人解释贷款、理财和保险时，应区分信息展示、风险测评、适当性匹配和交易确认，不能把一般知识回答包装成个性化投资建议。政务数字人解释办事材料时，应区分政策宣传、材料预审、行政受理和行政决定，涉及许可、补贴、处罚、救助等权利义务时必须显示主管部门、法条依据和有效日期。系统若直接连接业务接口，需要采用强身份认证、最小权限令牌和操作二次确认，避免用户把一次聊天误解为完成法律意义上的申请或授权。日志记录应覆盖用户问题、知识库版本、回复文本、来源条款、人工接管时间和交易确认页面，以便争议发生时还原服务过程，金融场景还应保留风险揭示、测评结果、用户确认和适当性匹配证据。对外部模型接口还应做数据脱敏和权限隔离，防止客户身份、账户、办事材料在问答链路中被传入无关服务。</w:t>
      </w:r>
    </w:p>
    <w:p>
      <w:pPr>
        <w:keepNext/>
        <w:spacing w:before="100" w:after="100"/>
        <w:jc w:val="left"/>
      </w:pPr>
      <w:r>
        <w:rPr>
          <w:rFonts w:ascii="Times New Roman" w:hAnsi="Times New Roman" w:eastAsia="黑体"/>
          <w:b/>
          <w:sz w:val="25"/>
        </w:rPr>
        <w:t>3.5 教育培训：陪练效果与学习数据保护</w:t>
      </w:r>
    </w:p>
    <w:p>
      <w:pPr>
        <w:spacing w:line="400" w:lineRule="exact" w:after="80"/>
        <w:ind w:firstLine="420"/>
      </w:pPr>
      <w:r>
        <w:rPr>
          <w:rFonts w:ascii="Times New Roman" w:hAnsi="Times New Roman" w:eastAsia="仿宋"/>
          <w:b w:val="0"/>
          <w:sz w:val="24"/>
        </w:rPr>
        <w:t>教育数字人可用于语言陪练、面试模拟、实验讲解和个性化答疑。系统会持续收集学生发音、答题路径、停顿时长、知识薄弱点和情绪反馈，这些数据能够提高教学适配度，也可能形成过度画像，尤其当学习数据与家庭收入、升学意愿和消费能力结合时，教育服务会转向精细化营销。《未成年人保护法》和个人信息保护规则要求处理未成年人个人信息遵循最小必要、专门保护和监护人同意等原则。教育场景应限制商业广告插入，禁止用学习焦虑诱导付费，模型反馈应给出题目依据和知识点定位，错题讲解要能追溯到教材版本、课程标准或教师审核记录。对于作文、编程、论文类任务，数字人应标注辅助边界，防止把生成答案替代学生训练过程；学校采购时还应约定数据不用于校外商业模型训练。教师端也需要查看模型建议的依据和置信度，避免自动评语直接进入成绩评价或学业画像。</w:t>
      </w:r>
    </w:p>
    <w:p>
      <w:pPr>
        <w:keepNext/>
        <w:spacing w:before="160" w:after="100"/>
        <w:jc w:val="left"/>
      </w:pPr>
      <w:r>
        <w:rPr>
          <w:rFonts w:ascii="Times New Roman" w:hAnsi="Times New Roman" w:eastAsia="黑体"/>
          <w:b/>
          <w:sz w:val="30"/>
        </w:rPr>
        <w:t>四、国内外治理范式的对比研究</w:t>
      </w:r>
    </w:p>
    <w:p>
      <w:pPr>
        <w:keepNext/>
        <w:spacing w:before="100" w:after="100"/>
        <w:jc w:val="left"/>
      </w:pPr>
      <w:r>
        <w:rPr>
          <w:rFonts w:ascii="Times New Roman" w:hAnsi="Times New Roman" w:eastAsia="黑体"/>
          <w:b/>
          <w:sz w:val="25"/>
        </w:rPr>
        <w:t>4.1 中国路径：内容标识、个人信息保护与拟人化专项规制</w:t>
      </w:r>
    </w:p>
    <w:p>
      <w:pPr>
        <w:spacing w:line="400" w:lineRule="exact" w:after="80"/>
        <w:ind w:firstLine="420"/>
      </w:pPr>
      <w:r>
        <w:rPr>
          <w:rFonts w:ascii="Times New Roman" w:hAnsi="Times New Roman" w:eastAsia="仿宋"/>
          <w:b w:val="0"/>
          <w:sz w:val="24"/>
        </w:rPr>
        <w:t>中国数字人治理已经形成个人信息保护、深度合成标识、生成式人工智能服务管理、生成合成内容标识标准和拟人化互动专项规则的组合。《生成式人工智能服务管理暂行办法》第七条要求训练数据具有合法来源，涉及知识产权不得侵权，涉及个人信息应取得个人同意或符合法定情形；第十二条要求对图片、视频等生成内容按照深度合成规定进行标识。《互联网信息服务深度合成管理规定》第十六条要求添加不影响使用的技术标识并保存日志，第十七条要求对可能导致公众混淆或误认的智能对话、合成人声、人脸生成、姿态操控等服务进行显著标识。拟人化互动新规进一步把算法备案、应用商店审核、未成年人和老年人保护写入数字人近邻场景。对企业而言，中国路径的操作重点在于把授权文件、算法备案材料、标识样式、日志字段和投诉处理流程做成可提交证据，而非停留在界面提示。若服务具有舆论属性或者社会动员能力，还应关注安全评估、算法备案变更和内容审核机制，数字人账号不能绕开普通互联网信息服务的主体责任。</w:t>
      </w:r>
    </w:p>
    <w:p>
      <w:pPr>
        <w:keepNext/>
        <w:spacing w:before="100" w:after="100"/>
        <w:jc w:val="left"/>
      </w:pPr>
      <w:r>
        <w:rPr>
          <w:rFonts w:ascii="Times New Roman" w:hAnsi="Times New Roman" w:eastAsia="黑体"/>
          <w:b/>
          <w:sz w:val="25"/>
        </w:rPr>
        <w:t>4.2 欧盟路径：风险分级、透明义务与角色识别</w:t>
      </w:r>
    </w:p>
    <w:p>
      <w:pPr>
        <w:spacing w:line="400" w:lineRule="exact" w:after="80"/>
        <w:ind w:firstLine="420"/>
      </w:pPr>
      <w:r>
        <w:rPr>
          <w:rFonts w:ascii="Times New Roman" w:hAnsi="Times New Roman" w:eastAsia="仿宋"/>
          <w:b w:val="0"/>
          <w:sz w:val="24"/>
        </w:rPr>
        <w:t>欧盟《AI Act》以风险分级为主轴。第六条规定，附件 III 所列系统通常构成高风险 AI，涉及生物识别、教育、就业、公共服务、执法、移民和司法等领域时，数字人若影响自然人权益，合规强度会显著上升。第 50 条要求直接与自然人交互的 AI 系统使相关自然人知道其正在与 AI 交互；生成合成音频、图像、视频或文本的系统输出应以机器可读格式标记并可检测为人工生成或操控；构成 deep fake 的图像、音频或视频应披露人工生成或操控事实。数字人产业由基础模型、SaaS 平台、品牌商、MCN 和分发平台拼装而成，欧盟路径的价值在于要求围绕控制权、用途变化和供应链角色动态判断提供者与部署者义务。若通用数字人组件被接入招聘、教育评分或公共福利咨询，原本的低风险展示工具可能进入高风险使用场景，供应商需要提供技术文档、日志能力、人工监督接口和风险管理材料。面向欧盟用户的数字人还要重视基本权利影响评估，特别是用户是否能识别 AI 身份、是否能联系人工人员、是否存在自动化决策造成的差别待遇。</w:t>
      </w:r>
    </w:p>
    <w:p>
      <w:pPr>
        <w:keepNext/>
        <w:spacing w:before="100" w:after="100"/>
        <w:jc w:val="left"/>
      </w:pPr>
      <w:r>
        <w:rPr>
          <w:rFonts w:ascii="Times New Roman" w:hAnsi="Times New Roman" w:eastAsia="黑体"/>
          <w:b/>
          <w:sz w:val="25"/>
        </w:rPr>
        <w:t>4.3 美国路径：版权、公开权与消费者保护的分散约束</w:t>
      </w:r>
    </w:p>
    <w:p>
      <w:pPr>
        <w:spacing w:line="400" w:lineRule="exact" w:after="80"/>
        <w:ind w:firstLine="420"/>
      </w:pPr>
      <w:r>
        <w:rPr>
          <w:rFonts w:ascii="Times New Roman" w:hAnsi="Times New Roman" w:eastAsia="仿宋"/>
          <w:b w:val="0"/>
          <w:sz w:val="24"/>
        </w:rPr>
        <w:t>美国尚未形成类似欧盟《AI Act》的一体化人工智能成文法，数字人治理更多依靠版权法、州层面公开权、姓名肖像权、深度伪造规则、消费者保护和平台政策。美国版权局 2025 年《Copyright and Artificial Intelligence, Part 2: Copyrightability》确认，使用 AI 工具辅助创作不妨碍人类原创表达受保护，但纯 AI 生成材料或缺乏充分人类控制的表达不受版权保护，提示词本身通常不足以构成作者身份。对数字人企业而言，真人克隆还可能触及录音保护、姓名肖像、公开权、商标混淆和消费者误导，州法公开权在保护期限、可继承性和商业使用范围上存在差异。美国模式能通过诉讼处理具体权利损害；弱点是跨州和跨平台规则碎片化，中小企业难以预判合规成本。企业面向美国市场发布数字人广告或虚拟代言时，应为演员授权、训练素材、品牌背书、AI 标识和消费者披露分别留存文件。若使用名人相似形象、声音或特定表演风格，还应审查是否造成来源混淆、虚假认可或不当攫取商业价值。</w:t>
      </w:r>
    </w:p>
    <w:p>
      <w:pPr>
        <w:keepNext/>
        <w:spacing w:before="100" w:after="100"/>
        <w:jc w:val="left"/>
      </w:pPr>
      <w:r>
        <w:rPr>
          <w:rFonts w:ascii="Times New Roman" w:hAnsi="Times New Roman" w:eastAsia="黑体"/>
          <w:b/>
          <w:sz w:val="25"/>
        </w:rPr>
        <w:t>4.4 标识制度比较：显式提示、隐式水印和机器可读证明</w:t>
      </w:r>
    </w:p>
    <w:p>
      <w:pPr>
        <w:spacing w:line="400" w:lineRule="exact" w:after="80"/>
        <w:ind w:firstLine="420"/>
      </w:pPr>
      <w:r>
        <w:rPr>
          <w:rFonts w:ascii="Times New Roman" w:hAnsi="Times New Roman" w:eastAsia="仿宋"/>
          <w:b w:val="0"/>
          <w:sz w:val="24"/>
        </w:rPr>
        <w:t>标识制度是数字人治理的共同工具，但各法域强调点不同。中国《人工智能生成合成内容标识办法》把显式标识定义为用户明显感知到的文字、声音、图形等提示，把隐式标识定义为添加在文件数据中的技术措施，并要求传播平台核验元数据和用户声明。欧盟《AI Act》第 50 条强调机器可读格式和可检测性，适用于生成合成音频、图像、视频和文本输出。美国更多依靠平台政策、行业内容凭证和欺诈规则。数字人视频在剪辑、转码、截图、搬运中容易丢失水印，单一标识不足以完成追溯，可靠方案应把界面提示、片头片尾提示、文件元数据、鲁棒水印和发布平台再标识组合使用。技术实现上还应记录标识写入工具、哈希值、内容编号、发布时间和平台回传结果，出现争议时才能证明内容生成、审核、发布和二次传播的链条。标识设计还要兼顾无障碍，文字提示、语音提示、图标和元数据应覆盖视听障碍用户以及只听音频、只看截图的传播场景。</w:t>
      </w:r>
    </w:p>
    <w:p>
      <w:pPr>
        <w:keepNext/>
        <w:spacing w:before="100" w:after="100"/>
        <w:jc w:val="left"/>
      </w:pPr>
      <w:r>
        <w:rPr>
          <w:rFonts w:ascii="Times New Roman" w:hAnsi="Times New Roman" w:eastAsia="黑体"/>
          <w:b/>
          <w:sz w:val="25"/>
        </w:rPr>
        <w:t>4.5 责任主体比较：提供者、部署者和传播平台</w:t>
      </w:r>
    </w:p>
    <w:p>
      <w:pPr>
        <w:spacing w:line="400" w:lineRule="exact" w:after="80"/>
        <w:ind w:firstLine="420"/>
      </w:pPr>
      <w:r>
        <w:rPr>
          <w:rFonts w:ascii="Times New Roman" w:hAnsi="Times New Roman" w:eastAsia="仿宋"/>
          <w:b w:val="0"/>
          <w:sz w:val="24"/>
        </w:rPr>
        <w:t>数字人系统的责任主体通常包括基础模型开发者、数字人平台、素材供应商、品牌客户、MCN 机构、应用商店和内容分发平台。中国规则强调服务提供者、技术支持者和网络信息内容传播服务提供者的分工，深度合成规定还要求具有舆论属性或者社会动员能力的服务履行备案和安全评估。欧盟《AI Act》通过 provider、deployer、importer、distributor 等角色分配义务，重视用途变化带来的角色转换。美国则通过合同、侵权、版权、消费者保护和州法公开权追责。对企业实践而言，合同中应明确训练数据来源、输出审查责任、侵权通知处理、日志交付、模型更新告知和监管协助义务。责任划分还应覆盖事故场景，例如素材侵权由谁核验，模型幻觉由谁修复，平台推荐放大由谁限流，用户恶意篡改由谁提供取证接口。数字人项目还应约定分包链条透明度，防止实际使用的 TTS、渲染、标注或云服务供应商在合同外层不可见。若部署者改变用途或接入高风险业务接口，原供应商也应获得变更通知并重新确认适用限制。</w:t>
      </w:r>
    </w:p>
    <w:p>
      <w:pPr>
        <w:spacing w:line="400" w:lineRule="exact" w:after="80"/>
        <w:jc w:val="center"/>
      </w:pPr>
      <w:r>
        <w:rPr>
          <w:rFonts w:ascii="Times New Roman" w:hAnsi="Times New Roman" w:eastAsia="仿宋"/>
          <w:b w:val="0"/>
          <w:sz w:val="19"/>
        </w:rPr>
        <w:t>表2  中、美、欧数字人治理政策对比表</w:t>
      </w:r>
    </w:p>
    <w:tbl>
      <w:tblPr>
        <w:tblW w:type="auto" w:w="0"/>
        <w:jc w:val="center"/>
        <w:tblLayout w:type="fixed"/>
        <w:tblLook w:firstColumn="1" w:firstRow="1" w:lastColumn="0" w:lastRow="0" w:noHBand="0" w:noVBand="1" w:val="04A0"/>
      </w:tblPr>
      <w:tblGrid>
        <w:gridCol w:w="2078"/>
        <w:gridCol w:w="2078"/>
        <w:gridCol w:w="2078"/>
        <w:gridCol w:w="2078"/>
      </w:tblGrid>
      <w:tr>
        <w:trPr>
          <w:tblHeader w:val="true"/>
        </w:trPr>
        <w:tc>
          <w:tcPr>
            <w:tcW w:type="dxa" w:w="850"/>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地区</w:t>
            </w:r>
          </w:p>
        </w:tc>
        <w:tc>
          <w:tcPr>
            <w:tcW w:type="dxa" w:w="2381"/>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核心规则</w:t>
            </w:r>
          </w:p>
        </w:tc>
        <w:tc>
          <w:tcPr>
            <w:tcW w:type="dxa" w:w="2324"/>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监管逻辑</w:t>
            </w:r>
          </w:p>
        </w:tc>
        <w:tc>
          <w:tcPr>
            <w:tcW w:type="dxa" w:w="2608"/>
            <w:vAlign w:val="center"/>
            <w:shd w:fill="D9EAF7"/>
            <w:tcMar>
              <w:top w:w="90" w:type="dxa"/>
              <w:left w:w="90" w:type="dxa"/>
              <w:bottom w:w="90" w:type="dxa"/>
              <w:right w:w="90" w:type="dxa"/>
            </w:tcMar>
          </w:tcPr>
          <w:p>
            <w:pPr>
              <w:spacing w:after="0" w:line="276" w:lineRule="auto"/>
            </w:pPr>
            <w:r/>
            <w:r>
              <w:rPr>
                <w:rFonts w:ascii="Times New Roman" w:hAnsi="Times New Roman" w:eastAsia="宋体"/>
                <w:b/>
                <w:sz w:val="17"/>
              </w:rPr>
              <w:t>对数字人的直接影响</w:t>
            </w:r>
          </w:p>
        </w:tc>
      </w:tr>
      <w:tr>
        <w:tc>
          <w:tcPr>
            <w:tcW w:type="dxa" w:w="850"/>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中国</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个人信息保护法、生成式 AI 暂行办法、深度合成规定、标识办法、GB 45438-2025、拟人化互动办法</w:t>
            </w:r>
          </w:p>
        </w:tc>
        <w:tc>
          <w:tcPr>
            <w:tcW w:type="dxa" w:w="232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内容安全、标识义务、个人信息保护、算法备案、安全评估和平台责任</w:t>
            </w:r>
          </w:p>
        </w:tc>
        <w:tc>
          <w:tcPr>
            <w:tcW w:type="dxa" w:w="2608"/>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要求合成内容显式/隐式标识，训练数据合法来源，拟人化互动服务保护未成年人和老年人</w:t>
            </w:r>
          </w:p>
        </w:tc>
      </w:tr>
      <w:tr>
        <w:tc>
          <w:tcPr>
            <w:tcW w:type="dxa" w:w="850"/>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欧盟</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Regulation (EU) 2024/1689（AI Act）</w:t>
            </w:r>
          </w:p>
        </w:tc>
        <w:tc>
          <w:tcPr>
            <w:tcW w:type="dxa" w:w="232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风险分级、透明义务、基本权利保护、机器可读标记和供应链角色责任</w:t>
            </w:r>
          </w:p>
        </w:tc>
        <w:tc>
          <w:tcPr>
            <w:tcW w:type="dxa" w:w="2608"/>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直接交互 AI 告知用户，合成内容可检测标记，deep fake 披露，特定领域可能进入高风险义务</w:t>
            </w:r>
          </w:p>
        </w:tc>
      </w:tr>
      <w:tr>
        <w:tc>
          <w:tcPr>
            <w:tcW w:type="dxa" w:w="850"/>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美国</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版权局 AI 报告、州法公开权、消费者保护、深度伪造规则和平台政策</w:t>
            </w:r>
          </w:p>
        </w:tc>
        <w:tc>
          <w:tcPr>
            <w:tcW w:type="dxa" w:w="232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版权、人身权益、市场误导、公开权和特定场景分散约束</w:t>
            </w:r>
          </w:p>
        </w:tc>
        <w:tc>
          <w:tcPr>
            <w:tcW w:type="dxa" w:w="2608"/>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纯 AI 生成内容难获版权，真人克隆需处理公开权、姓名肖像、录音保护和合同授权</w:t>
            </w:r>
          </w:p>
        </w:tc>
      </w:tr>
      <w:tr>
        <w:tc>
          <w:tcPr>
            <w:tcW w:type="dxa" w:w="850"/>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共同趋势</w:t>
            </w:r>
          </w:p>
        </w:tc>
        <w:tc>
          <w:tcPr>
            <w:tcW w:type="dxa" w:w="2381"/>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内容凭证、水印、平台声明、审计日志和投诉处置</w:t>
            </w:r>
          </w:p>
        </w:tc>
        <w:tc>
          <w:tcPr>
            <w:tcW w:type="dxa" w:w="2324"/>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从事后删除转向生成端标识、传播端核验和责任链留痕</w:t>
            </w:r>
          </w:p>
        </w:tc>
        <w:tc>
          <w:tcPr>
            <w:tcW w:type="dxa" w:w="2608"/>
            <w:vAlign w:val="center"/>
            <w:tcMar>
              <w:top w:w="90" w:type="dxa"/>
              <w:left w:w="90" w:type="dxa"/>
              <w:bottom w:w="90" w:type="dxa"/>
              <w:right w:w="90" w:type="dxa"/>
            </w:tcMar>
          </w:tcPr>
          <w:p>
            <w:pPr>
              <w:spacing w:after="0" w:line="276" w:lineRule="auto"/>
            </w:pPr>
            <w:r/>
            <w:r>
              <w:rPr>
                <w:rFonts w:ascii="Times New Roman" w:hAnsi="Times New Roman" w:eastAsia="宋体"/>
                <w:b w:val="0"/>
                <w:sz w:val="17"/>
              </w:rPr>
              <w:t>数字人项目需要把授权台账、模型版本、发布记录和下架记录做成可交付证据</w:t>
            </w:r>
          </w:p>
        </w:tc>
      </w:tr>
    </w:tbl>
    <w:p>
      <w:pPr>
        <w:spacing w:line="400" w:lineRule="exact" w:after="40"/>
      </w:pPr>
      <w:r>
        <w:rPr>
          <w:rFonts w:ascii="Times New Roman" w:hAnsi="Times New Roman" w:eastAsia="仿宋"/>
          <w:b w:val="0"/>
          <w:sz w:val="24"/>
        </w:rPr>
      </w:r>
    </w:p>
    <w:p>
      <w:pPr>
        <w:keepNext/>
        <w:spacing w:before="160" w:after="100"/>
        <w:jc w:val="left"/>
      </w:pPr>
      <w:r>
        <w:rPr>
          <w:rFonts w:ascii="Times New Roman" w:hAnsi="Times New Roman" w:eastAsia="黑体"/>
          <w:b/>
          <w:sz w:val="30"/>
        </w:rPr>
        <w:t>五、现实困境与治理路径</w:t>
      </w:r>
    </w:p>
    <w:p>
      <w:pPr>
        <w:keepNext/>
        <w:spacing w:before="100" w:after="100"/>
        <w:jc w:val="left"/>
      </w:pPr>
      <w:r>
        <w:rPr>
          <w:rFonts w:ascii="Times New Roman" w:hAnsi="Times New Roman" w:eastAsia="黑体"/>
          <w:b/>
          <w:sz w:val="25"/>
        </w:rPr>
        <w:t>5.1 困境：技术迭代快于制度验证</w:t>
      </w:r>
    </w:p>
    <w:p>
      <w:pPr>
        <w:spacing w:line="400" w:lineRule="exact" w:after="80"/>
        <w:ind w:firstLine="420"/>
      </w:pPr>
      <w:r>
        <w:rPr>
          <w:rFonts w:ascii="Times New Roman" w:hAnsi="Times New Roman" w:eastAsia="仿宋"/>
          <w:b w:val="0"/>
          <w:sz w:val="24"/>
        </w:rPr>
        <w:t>数字人产品迭代周期以周或月计算，法律和标准验证周期通常更长。生成视频被二次剪辑、转码、截图、搬运和再生成后，显式标识可能被裁切，隐式标识可能被平台压缩流程破坏。模型层面，基础模型更新会改变数字人的回答边界和语气稳定性，企业知识库版本变化会造成同一问题在不同日期得到不同答案，TTS 音色、动作模板和角色提示词的小改动也可能改变用户对身份和专业性的感知。制度层面，监管要求可以规定应当标识、应当授权、应当留痕，却难以穷尽每一种传播路径和规避方式。解决该矛盾需要把合规从上线前审批改造成持续验证：每次模型升级、知识库更新、形象换装、音色替换和业务场景迁移都触发小范围回归测试、标识检查和日志抽样，测试结果应与版本发布单、回滚方案和责任人绑定。监管困境还体现在证据保全上，很多侵权内容在下架前已经被录屏、搬运或再生成，企业需要预设快速冻结和跨平台协查接口。</w:t>
      </w:r>
    </w:p>
    <w:p>
      <w:pPr>
        <w:keepNext/>
        <w:spacing w:before="100" w:after="100"/>
        <w:jc w:val="left"/>
      </w:pPr>
      <w:r>
        <w:rPr>
          <w:rFonts w:ascii="Times New Roman" w:hAnsi="Times New Roman" w:eastAsia="黑体"/>
          <w:b/>
          <w:sz w:val="25"/>
        </w:rPr>
        <w:t>5.2 路径：全生命周期敏捷治理</w:t>
      </w:r>
    </w:p>
    <w:p>
      <w:pPr>
        <w:spacing w:line="400" w:lineRule="exact" w:after="80"/>
        <w:ind w:firstLine="420"/>
      </w:pPr>
      <w:r>
        <w:rPr>
          <w:rFonts w:ascii="Times New Roman" w:hAnsi="Times New Roman" w:eastAsia="仿宋"/>
          <w:b w:val="0"/>
          <w:sz w:val="24"/>
        </w:rPr>
        <w:t>数字人治理应沿数据进入、模型训练、内容生成、传播分发和纠纷处置建立全生命周期控制。数据进入阶段核验肖像、声音、动作、剧本、音乐和知识库授权，敏感个人信息采取单独同意、最小必要、加密存储和访问控制。模型训练阶段保留数据谱系、样本删除接口、偏见测试、红队记录和模型卡，模型卡应写明训练数据类型、适用场景、限制条件、已知风险和评估结果。内容生成阶段启用显式标识、隐式标识、敏感问答拒答、事实引用回填和人工复核阈值。传播分发阶段核验元数据、水印和用户声明，对疑似生成内容添加提示。纠纷处置阶段提供申诉、复核、下架、删除样本、模型回滚和证据保全流程。该路径把伦理原则落到可审计字段、责任主体和操作时限上，例如日志保留期限、复核 SLA、下架触发条件和监管协助材料清单都应预先写入制度。敏捷治理的核心是每次变更都有轻量化评审，变更单至少记录触发原因、影响场景、测试样本、批准人和回滚条件。</w:t>
      </w:r>
    </w:p>
    <w:p>
      <w:pPr>
        <w:keepNext/>
        <w:spacing w:before="100" w:after="100"/>
        <w:jc w:val="left"/>
      </w:pPr>
      <w:r>
        <w:rPr>
          <w:rFonts w:ascii="Times New Roman" w:hAnsi="Times New Roman" w:eastAsia="黑体"/>
          <w:b/>
          <w:sz w:val="25"/>
        </w:rPr>
        <w:t>5.3 企业治理：从项目制交付到内控体系</w:t>
      </w:r>
    </w:p>
    <w:p>
      <w:pPr>
        <w:spacing w:line="400" w:lineRule="exact" w:after="80"/>
        <w:ind w:firstLine="420"/>
      </w:pPr>
      <w:r>
        <w:rPr>
          <w:rFonts w:ascii="Times New Roman" w:hAnsi="Times New Roman" w:eastAsia="仿宋"/>
          <w:b w:val="0"/>
          <w:sz w:val="24"/>
        </w:rPr>
        <w:t>许多数字人项目以营销活动或单次交付启动，合同验收关注形象效果、语音自然度和上线日期，忽视后续更新的治理责任。企业内控应设置跨部门评审：法务核验授权链和用户协议，安全团队评估日志、接口和权限，业务团队确认知识库边界，运营团队维护话术和人工接管，合规负责人保存备案材料。上线后每次更换音色、接入新知识库、增加交易功能或开放用户投稿，都应重新评估个人信息、广告、版权和标识义务。内控文档不宜只写原则，应列出数据表字段、审批人、日志保留期限、抽检频率和下架时限。供应商管理也应进入内控体系，采购合同需要约定源代码或模型不可交付时的替代证明、漏洞修复时限、素材侵权赔付、监管问询配合和服务终止后的数据返还删除。内部培训也要覆盖运营人员和客服人员，使其理解哪些回答必须转人工、哪些素材不能上传、哪些用户请求需要触发投诉或安全流程。</w:t>
      </w:r>
    </w:p>
    <w:p>
      <w:pPr>
        <w:keepNext/>
        <w:spacing w:before="100" w:after="100"/>
        <w:jc w:val="left"/>
      </w:pPr>
      <w:r>
        <w:rPr>
          <w:rFonts w:ascii="Times New Roman" w:hAnsi="Times New Roman" w:eastAsia="黑体"/>
          <w:b/>
          <w:sz w:val="25"/>
        </w:rPr>
        <w:t>5.4 用户权利：告知、选择、撤回和救济</w:t>
      </w:r>
    </w:p>
    <w:p>
      <w:pPr>
        <w:spacing w:line="400" w:lineRule="exact" w:after="80"/>
        <w:ind w:firstLine="420"/>
      </w:pPr>
      <w:r>
        <w:rPr>
          <w:rFonts w:ascii="Times New Roman" w:hAnsi="Times New Roman" w:eastAsia="仿宋"/>
          <w:b w:val="0"/>
          <w:sz w:val="24"/>
        </w:rPr>
        <w:t>数字人服务中的用户权利至少包括知情权、选择权、撤回权、更正删除权和投诉救济权。知情权要求用户在互动前知道对方是 AI，以及对话是否会用于训练或质量评估；选择权要求用户可以转人工或关闭个性化推荐；撤回权要求用户撤回肖像、声音或交互数据授权后，平台能停止新增处理并处理可定位样本；更正删除权要求用户可要求删除错误画像、敏感标签和不当生成内容；救济权要求平台提供可追踪的投诉编号和处理时限。《个人信息保护法》第四十四条至第五十条规定了个人对其个人信息享有查阅、复制、更正、删除、解释说明等权利，数字人产品的设置页和客服流程应直接承接这些权利。交互界面还应提供简明入口，例如查看对话记录、导出个人信息副本、关闭记忆、删除音频样本、申请人工复核和查询处理进度，防止权利实现被隐藏在复杂协议中。未成年人、老年人和残障用户还需要更低门槛的权利入口，例如监护人控制、电话客服、无障碍说明和线下替代办理路径。</w:t>
      </w:r>
    </w:p>
    <w:p>
      <w:pPr>
        <w:keepNext/>
        <w:spacing w:before="100" w:after="100"/>
        <w:jc w:val="left"/>
      </w:pPr>
      <w:r>
        <w:rPr>
          <w:rFonts w:ascii="Times New Roman" w:hAnsi="Times New Roman" w:eastAsia="黑体"/>
          <w:b/>
          <w:sz w:val="25"/>
        </w:rPr>
        <w:t>5.5 公共治理：监管、标准和行业自律协同</w:t>
      </w:r>
    </w:p>
    <w:p>
      <w:pPr>
        <w:spacing w:line="400" w:lineRule="exact" w:after="80"/>
        <w:ind w:firstLine="420"/>
      </w:pPr>
      <w:r>
        <w:rPr>
          <w:rFonts w:ascii="Times New Roman" w:hAnsi="Times New Roman" w:eastAsia="仿宋"/>
          <w:b w:val="0"/>
          <w:sz w:val="24"/>
        </w:rPr>
        <w:t>数字人治理需要监管规则、国家标准、平台规范和行业自律共同运行。监管侧负责划定底线，例如个人信息处理、深度合成标识、算法备案和未成年人保护；标准侧负责把底线转成可测试方法，例如 GB 45438-2025 对标识方法的规定；平台侧负责在发布、转发、下载和推荐环节识别生成内容；行业协会可建立素材授权模板、数字分身合同范本和伦理评估清单。公共治理的重点在于证据链连接：监管检查需要看到数据来源、模型版本、标识样式、传播记录和投诉处理结果，企业也需要可复用的证明材料降低重复合规成本。行业自律可以进一步统一演员授权条款、逝者数字复活审批、未成年人互动限制、虚拟代言披露和素材库黑名单，减少不同平台之间规则落差导致的监管套利。监管沙盒和标准试点可用于验证水印鲁棒性、投诉处置效率和跨平台标识继承效果，为正式监管提供可观察样本。</w:t>
      </w:r>
    </w:p>
    <w:p>
      <w:pPr>
        <w:keepNext/>
        <w:spacing w:before="100" w:after="100"/>
        <w:jc w:val="left"/>
      </w:pPr>
      <w:r>
        <w:rPr>
          <w:rFonts w:ascii="Times New Roman" w:hAnsi="Times New Roman" w:eastAsia="黑体"/>
          <w:b/>
          <w:sz w:val="25"/>
        </w:rPr>
        <w:t>5.6 未来趋势：从单点合规到可证明可信</w:t>
      </w:r>
    </w:p>
    <w:p>
      <w:pPr>
        <w:spacing w:line="400" w:lineRule="exact" w:after="80"/>
        <w:ind w:firstLine="420"/>
      </w:pPr>
      <w:r>
        <w:rPr>
          <w:rFonts w:ascii="Times New Roman" w:hAnsi="Times New Roman" w:eastAsia="仿宋"/>
          <w:b w:val="0"/>
          <w:sz w:val="24"/>
        </w:rPr>
        <w:t>未来数字人竞争会转向可证明可信。技术上，C2PA 内容凭证、鲁棒水印、模型输出签名、可信执行环境、联邦学习和差分隐私可共同支撑来源证明与隐私保护；业务上，企业采购会要求供应商提供训练数据说明、素材授权链、模型版本记录、安全评估、偏见测试和应急预案；监管上，拟人化互动专项规则生效后，长期陪伴、适老服务、未成年人互动和虚拟情感关系会成为重点检查场景。数字人项目不应把 AI 生成提示当作界面装饰，应把身份提示、授权台账、输出日志、传播标识和申诉复核做成产品底层能力。可信能力还会影响商业谈判，品牌方、学校、医院和政务部门会要求供应商证明内容来源、权限边界、故障回滚和数据删除；用户能够知道自己在和谁交互、内容从何而来、错误由谁纠正、数据如何删除，数字人才具备长期服务的制度基础。未来的竞争指标会从单次生成效果转向可审计服务质量，供应商需要持续提交测试报告、事故复盘、权利请求处理记录和第三方安全评估。行业也可能形成可信数字人认证，对授权、标识、日志、安全和未成年人保护进行分级评价。</w:t>
      </w:r>
    </w:p>
    <w:p>
      <w:pPr>
        <w:keepNext/>
        <w:spacing w:before="160" w:after="100"/>
        <w:jc w:val="left"/>
      </w:pPr>
      <w:r>
        <w:rPr>
          <w:rFonts w:ascii="Times New Roman" w:hAnsi="Times New Roman" w:eastAsia="黑体"/>
          <w:b/>
          <w:sz w:val="30"/>
        </w:rPr>
        <w:t>六、场景化风险与案例式分析</w:t>
      </w:r>
    </w:p>
    <w:p>
      <w:pPr>
        <w:keepNext/>
        <w:spacing w:before="100" w:after="100"/>
        <w:jc w:val="left"/>
      </w:pPr>
      <w:r>
        <w:rPr>
          <w:rFonts w:ascii="Times New Roman" w:hAnsi="Times New Roman" w:eastAsia="黑体"/>
          <w:b/>
          <w:sz w:val="25"/>
        </w:rPr>
        <w:t>6.1 真人数字分身：合同授权和人格权益冲突</w:t>
      </w:r>
    </w:p>
    <w:p>
      <w:pPr>
        <w:spacing w:line="400" w:lineRule="exact" w:after="80"/>
        <w:ind w:firstLine="420"/>
      </w:pPr>
      <w:r>
        <w:rPr>
          <w:rFonts w:ascii="Times New Roman" w:hAnsi="Times New Roman" w:eastAsia="仿宋"/>
          <w:b w:val="0"/>
          <w:sz w:val="24"/>
        </w:rPr>
        <w:t>真人数字分身常见于明星代言、企业创始人形象、主持人复刻和课程讲师克隆。合同若只写授权使用肖像和声音，难以覆盖模型训练、持续合成、跨平台投放和过期后删除权重等问题。真人授权应至少列明训练素材清单、数字形象名称、口播品类、禁止表达事项、生成内容审核权、授权期限、收益分配和违约下架机制，还应明确真人是否有权查看提示词、脚本、投放平台和使用数据。若数字分身发表争议言论，公众会把责任归于真人本体，名誉权和商业信用会受损。平台应在画面、简介页和视频元数据标明数字分身生成，并把每条口播与审核记录绑定，防止品牌方用真人信誉为自动生成话术背书。合同退出时需要删除训练样本、停用音色模型、清理缓存素材，并向授权人交付下架和删除证明。真人分身还应设置紧急暂停权，当出现政治敏感、虚假广告、公共安全或重大舆情风险时，授权人或平台可立即冻结生成和投放。</w:t>
      </w:r>
    </w:p>
    <w:p>
      <w:pPr>
        <w:keepNext/>
        <w:spacing w:before="100" w:after="100"/>
        <w:jc w:val="left"/>
      </w:pPr>
      <w:r>
        <w:rPr>
          <w:rFonts w:ascii="Times New Roman" w:hAnsi="Times New Roman" w:eastAsia="黑体"/>
          <w:b/>
          <w:sz w:val="25"/>
        </w:rPr>
        <w:t>6.2 虚拟偶像运营：粉丝关系和平台推荐机制</w:t>
      </w:r>
    </w:p>
    <w:p>
      <w:pPr>
        <w:spacing w:line="400" w:lineRule="exact" w:after="80"/>
        <w:ind w:firstLine="420"/>
      </w:pPr>
      <w:r>
        <w:rPr>
          <w:rFonts w:ascii="Times New Roman" w:hAnsi="Times New Roman" w:eastAsia="仿宋"/>
          <w:b w:val="0"/>
          <w:sz w:val="24"/>
        </w:rPr>
        <w:t>虚拟偶像数字人依赖人设、剧情、直播互动、音乐舞蹈和粉丝社群维系商业价值。风险来自两端：运营方可能通过情感承诺、稀缺互动和付费榜单诱导高频打赏；平台推荐机制可能把争议内容和冲突话题推向更多未成年人。算法推荐规定要求保障用户选择权、不得诱导沉迷和过度消费，未成年人保护规则也要求平台限制不适宜内容与消费行为。虚拟偶像项目应公开说明角色由 AI 或团队共同驱动，设置未成年人消费限额、打赏冷静提示、榜单透明规则和异常消费复核，并对剧情中涉及暴力、性暗示、歧视和自伤内容建立审核清单。运营日志还应记录粉丝等级、付费触发点、私信自动回复、抽奖规则和人工干预，便于判断某次消费是普通娱乐支出还是被拟人化互动持续诱导。社群运营还应限制私域导流和一对一情感绑定，避免虚拟角色以专属陪伴、保密关系或限时回应刺激高额付费。</w:t>
      </w:r>
    </w:p>
    <w:p>
      <w:pPr>
        <w:keepNext/>
        <w:spacing w:before="100" w:after="100"/>
        <w:jc w:val="left"/>
      </w:pPr>
      <w:r>
        <w:rPr>
          <w:rFonts w:ascii="Times New Roman" w:hAnsi="Times New Roman" w:eastAsia="黑体"/>
          <w:b/>
          <w:sz w:val="25"/>
        </w:rPr>
        <w:t>6.3 医疗健康数字人：信息服务与诊疗行为边界</w:t>
      </w:r>
    </w:p>
    <w:p>
      <w:pPr>
        <w:spacing w:line="400" w:lineRule="exact" w:after="80"/>
        <w:ind w:firstLine="420"/>
      </w:pPr>
      <w:r>
        <w:rPr>
          <w:rFonts w:ascii="Times New Roman" w:hAnsi="Times New Roman" w:eastAsia="仿宋"/>
          <w:b w:val="0"/>
          <w:sz w:val="24"/>
        </w:rPr>
        <w:t>医疗健康数字人可以解释体检指标、提醒复诊、讲解药品说明书和进行术前宣教，但不能无资质地替代医师作出诊断、开具处方或改变治疗方案。系统需要把医学知识库限定在权威指南、药品说明书和医院审核材料内，涉及症状分诊、用药禁忌、孕妇儿童老人等特殊人群时应触发风险提示和人工转接。个人信息方面，医疗健康信息属于敏感个人信息，《个人信息保护法》第二十八条和第三十条要求充分告知处理敏感个人信息的必要性及对个人权益的影响。工程上应采用独立加密、访问审计、最短留存和脱敏训练，禁止把问诊语音直接用于通用模型训练。内容输出还应显示依据来源、更新时间和适用范围，遇到胸痛、意识障碍、过敏休克、自杀倾向等急危重症关键词时，应立即提示拨打急救电话或联系线下医疗机构。医院部署时还应与电子病历、预约挂号和处方系统隔离权限，数字人只能读取与服务目的相关的字段，涉及诊疗决策必须由具备资质的医务人员确认。</w:t>
      </w:r>
    </w:p>
    <w:p>
      <w:pPr>
        <w:keepNext/>
        <w:spacing w:before="100" w:after="100"/>
        <w:jc w:val="left"/>
      </w:pPr>
      <w:r>
        <w:rPr>
          <w:rFonts w:ascii="Times New Roman" w:hAnsi="Times New Roman" w:eastAsia="黑体"/>
          <w:b/>
          <w:sz w:val="25"/>
        </w:rPr>
        <w:t>6.4 政务大厅数字人：行政信赖和责任可归属</w:t>
      </w:r>
    </w:p>
    <w:p>
      <w:pPr>
        <w:spacing w:line="400" w:lineRule="exact" w:after="80"/>
        <w:ind w:firstLine="420"/>
      </w:pPr>
      <w:r>
        <w:rPr>
          <w:rFonts w:ascii="Times New Roman" w:hAnsi="Times New Roman" w:eastAsia="仿宋"/>
          <w:b w:val="0"/>
          <w:sz w:val="24"/>
        </w:rPr>
        <w:t>政务数字人用于窗口分流、政策咨询和材料预审时，回答错误会影响公民对行政机关的信赖。政务场景应把数字人定位为辅助说明工具，涉及受理、许可、处罚、救助、补贴等实体权利义务时，应显示法规依据、主管部门、有效日期和人工窗口联系方式。知识库必须建立版本发布流程，政策废止或修改后及时失效旧答案，材料清单和办理时限应与政务服务事项库同步。若数字人接入身份认证和表单提交，应明确哪些步骤构成申请提交，哪些只是模拟填写，并在提交前让用户确认申请主体、材料附件和法律后果。日志应满足行政争议举证需要，记录问题、答案、依据、页面提示、用户确认和人工复核情况。对于老年人、残障人士和少数民族语言用户，还应提供无障碍提示、人工窗口兜底和多语言核验。政务系统还应公开纠错渠道，用户发现错误材料清单或过期政策时，可以提交截图、会话编号和事项名称，主管部门据此修订知识库。</w:t>
      </w:r>
    </w:p>
    <w:p>
      <w:pPr>
        <w:keepNext/>
        <w:spacing w:before="100" w:after="100"/>
        <w:jc w:val="left"/>
      </w:pPr>
      <w:r>
        <w:rPr>
          <w:rFonts w:ascii="Times New Roman" w:hAnsi="Times New Roman" w:eastAsia="黑体"/>
          <w:b/>
          <w:sz w:val="25"/>
        </w:rPr>
        <w:t>6.5 跨境传播：数据出境和域外监管叠加</w:t>
      </w:r>
    </w:p>
    <w:p>
      <w:pPr>
        <w:spacing w:line="400" w:lineRule="exact" w:after="80"/>
        <w:ind w:firstLine="420"/>
      </w:pPr>
      <w:r>
        <w:rPr>
          <w:rFonts w:ascii="Times New Roman" w:hAnsi="Times New Roman" w:eastAsia="仿宋"/>
          <w:b w:val="0"/>
          <w:sz w:val="24"/>
        </w:rPr>
        <w:t>数字人内容天然适合短视频平台和跨境直播传播。跨境环节涉及两类问题：训练素材和用户交互数据是否出境，生成内容是否适用目标市场的标识、广告、版权和人格权规则。《个人信息保护法》对个人信息跨境提供设置安全评估、认证、标准合同等路径，欧盟《AI Act》则会在面向欧盟用户的交互和深度伪造披露中产生义务。企业如果使用境外云渲染、境外 TTS 接口或海外客服系统，需要确认数据字段、存储地点、处理目的和再转委托。跨境投放前应制作法域清单，区分中文站、海外站、直播切片和二次授权素材。还要检查当地广告代言、儿童隐私、选举深伪、公开权和消费者保护要求，避免国内已授权的形象或音色在海外被认定为未经同意的商业利用。跨境合同还应约定数据驻留、再转移限制、监管协助、删除证明和争议管辖，防止供应链服务商把素材转入未知训练环境。</w:t>
      </w:r>
    </w:p>
    <w:p>
      <w:pPr>
        <w:keepNext/>
        <w:spacing w:before="160" w:after="100"/>
        <w:jc w:val="left"/>
      </w:pPr>
      <w:r>
        <w:rPr>
          <w:rFonts w:ascii="Times New Roman" w:hAnsi="Times New Roman" w:eastAsia="黑体"/>
          <w:b/>
          <w:sz w:val="30"/>
        </w:rPr>
        <w:t>七、面向大作业主题的治理方案设计</w:t>
      </w:r>
    </w:p>
    <w:p>
      <w:pPr>
        <w:keepNext/>
        <w:spacing w:before="100" w:after="100"/>
        <w:jc w:val="left"/>
      </w:pPr>
      <w:r>
        <w:rPr>
          <w:rFonts w:ascii="Times New Roman" w:hAnsi="Times New Roman" w:eastAsia="黑体"/>
          <w:b/>
          <w:sz w:val="25"/>
        </w:rPr>
        <w:t>7.1 数据进入阶段：授权、分类和最小化</w:t>
      </w:r>
    </w:p>
    <w:p>
      <w:pPr>
        <w:spacing w:line="400" w:lineRule="exact" w:after="80"/>
        <w:ind w:firstLine="420"/>
      </w:pPr>
      <w:r>
        <w:rPr>
          <w:rFonts w:ascii="Times New Roman" w:hAnsi="Times New Roman" w:eastAsia="仿宋"/>
          <w:b w:val="0"/>
          <w:sz w:val="24"/>
        </w:rPr>
        <w:t>治理方案的入口是数据分类。A 类为真人生物识别素材，包含人脸、声纹、动作捕捉和表情数据；B 类为知识库资料，包含法规、产品说明、企业制度和问答脚本；C 类为用户交互数据，包含问题、语音、画像标签和操作记录；D 类为输出内容，包含视频、音频、字幕和元数据。A 类应取得单独同意和书面授权，B 类应核验版权和版本，C 类应限定留存目的，D 类应加标识并绑定生成日志。每类数据都需要负责人、存储位置、访问权限、保留期限和删除路径，避免项目组只在上线前集中补材料。具体台账可设置素材 ID、合同 ID、来源链接、采集时间、处理目的、可复用范围、出境状态、删除触发条件和审批记录，研发、运营和法务共用同一套字段，减少后期追溯断点。数据进入评审还应设置拒收条件，来源不明、授权缺项、未成年人素材无监护人同意、公共资料版权状态不清的内容不得进入训练和知识库。</w:t>
      </w:r>
    </w:p>
    <w:p>
      <w:pPr>
        <w:keepNext/>
        <w:spacing w:before="100" w:after="100"/>
        <w:jc w:val="left"/>
      </w:pPr>
      <w:r>
        <w:rPr>
          <w:rFonts w:ascii="Times New Roman" w:hAnsi="Times New Roman" w:eastAsia="黑体"/>
          <w:b/>
          <w:sz w:val="25"/>
        </w:rPr>
        <w:t>7.2 模型训练阶段：数据谱系和删除能力</w:t>
      </w:r>
    </w:p>
    <w:p>
      <w:pPr>
        <w:spacing w:line="400" w:lineRule="exact" w:after="80"/>
        <w:ind w:firstLine="420"/>
      </w:pPr>
      <w:r>
        <w:rPr>
          <w:rFonts w:ascii="Times New Roman" w:hAnsi="Times New Roman" w:eastAsia="仿宋"/>
          <w:b w:val="0"/>
          <w:sz w:val="24"/>
        </w:rPr>
        <w:t>模型训练阶段的难点在于权利撤回后的可执行性。若真人撤回授权，企业应能定位原始视频、音频片段、切分样本、嵌入向量、微调任务、权重快照和衍生动作模板。数据谱系记录至少包含素材 ID、授权合同 ID、采集时间、处理脚本版本、训练任务编号、模型版本和输出适用场景。对不能从基础模型中完全剥离的样本，应在合同中提前说明技术限制，并通过停止后续使用、禁用相关音色、删除可控素材和替换模型版本降低影响。训练阶段还应运行偏见测试和安全红队，记录攻击提示词、异常输出和修复措施。模型仓库应保留训练配置、数据清单哈希、评估报告和发布审批，确保后续出现肖像声音争议或错误输出时能够定位到具体版本，而非只追责当前运营人员。训练环境也应与生产环境隔离，样本下载、模型导出和外部 API 调用都要经过审批和日志记录。</w:t>
      </w:r>
    </w:p>
    <w:p>
      <w:pPr>
        <w:keepNext/>
        <w:spacing w:before="100" w:after="100"/>
        <w:jc w:val="left"/>
      </w:pPr>
      <w:r>
        <w:rPr>
          <w:rFonts w:ascii="Times New Roman" w:hAnsi="Times New Roman" w:eastAsia="黑体"/>
          <w:b/>
          <w:sz w:val="25"/>
        </w:rPr>
        <w:t>7.3 内容生成阶段：标识、拒答和人工复核</w:t>
      </w:r>
    </w:p>
    <w:p>
      <w:pPr>
        <w:spacing w:line="400" w:lineRule="exact" w:after="80"/>
        <w:ind w:firstLine="420"/>
      </w:pPr>
      <w:r>
        <w:rPr>
          <w:rFonts w:ascii="Times New Roman" w:hAnsi="Times New Roman" w:eastAsia="仿宋"/>
          <w:b w:val="0"/>
          <w:sz w:val="24"/>
        </w:rPr>
        <w:t>内容生成阶段应把标识和安全策略嵌入链路，而非交给运营人员发布后补贴图。文本输出可在起始或末尾加入 AI 生成提示，音频可在开头或界面处加语音提示，视频可在首帧、播放页和文件元数据中加入标识。高风险问题进入拒答或人工复核队列，例如医疗诊断、投资建议、违法操作、仿冒真人、未成年人隐私和逝者复活请求。知识性回答应返回引用片段和时间戳，广告性回答应显示商品、价格、功效和售后信息来源。系统需要保留提示词摘要、模型版本、知识库版本、审核人和发布时间。生成网关还可设置字段级拦截，例如金额、期限、药品剂量、身份认证、支付链接和下载文件必须经过结构化校验，防止模型在自由文本中编造关键数据。对直播和批量短视频，还应在发布前抽样回看音画同步、字幕一致性、标识显示时长和敏感词拦截结果。</w:t>
      </w:r>
    </w:p>
    <w:p>
      <w:pPr>
        <w:keepNext/>
        <w:spacing w:before="100" w:after="100"/>
        <w:jc w:val="left"/>
      </w:pPr>
      <w:r>
        <w:rPr>
          <w:rFonts w:ascii="Times New Roman" w:hAnsi="Times New Roman" w:eastAsia="黑体"/>
          <w:b/>
          <w:sz w:val="25"/>
        </w:rPr>
        <w:t>7.4 传播分发阶段：平台核验和二次编辑控制</w:t>
      </w:r>
    </w:p>
    <w:p>
      <w:pPr>
        <w:spacing w:line="400" w:lineRule="exact" w:after="80"/>
        <w:ind w:firstLine="420"/>
      </w:pPr>
      <w:r>
        <w:rPr>
          <w:rFonts w:ascii="Times New Roman" w:hAnsi="Times New Roman" w:eastAsia="仿宋"/>
          <w:b w:val="0"/>
          <w:sz w:val="24"/>
        </w:rPr>
        <w:t>传播分发阶段最容易破坏标识链。短视频剪辑会裁掉片头提示，压缩转码会损坏水印，截图会丢失元数据，用户搬运会修改标题。依据《人工智能生成合成内容标识办法》第六条，传播服务提供者应核验文件元数据、用户声明和生成合成痕迹，并在发布内容周边添加显著提示。企业自有平台应在上传环节识别内部内容编号，第三方平台投放应要求代理商保留原文件和发布记录。二次编辑工具应默认继承生成内容属性信息，并在导出时写入传播平台名称、内容编号和编辑时间。对直播切片、矩阵账号和达人分发，还应建立发布白名单、统一标题规范、转授权记录和下架同步机制，避免同一数字人口播在不同账号中失去来源说明。平台接口可要求上传方提交生成声明、素材授权编号和原文件哈希，便于后续投诉时快速定位责任链。</w:t>
      </w:r>
    </w:p>
    <w:p>
      <w:pPr>
        <w:keepNext/>
        <w:spacing w:before="100" w:after="100"/>
        <w:jc w:val="left"/>
      </w:pPr>
      <w:r>
        <w:rPr>
          <w:rFonts w:ascii="Times New Roman" w:hAnsi="Times New Roman" w:eastAsia="黑体"/>
          <w:b/>
          <w:sz w:val="25"/>
        </w:rPr>
        <w:t>7.5 纠纷处置阶段：证据保全和责任分配</w:t>
      </w:r>
    </w:p>
    <w:p>
      <w:pPr>
        <w:spacing w:line="400" w:lineRule="exact" w:after="80"/>
        <w:ind w:firstLine="420"/>
      </w:pPr>
      <w:r>
        <w:rPr>
          <w:rFonts w:ascii="Times New Roman" w:hAnsi="Times New Roman" w:eastAsia="仿宋"/>
          <w:b w:val="0"/>
          <w:sz w:val="24"/>
        </w:rPr>
        <w:t>数字人纠纷通常围绕肖像声音侵权、虚假宣传、错误建议、未成年人消费和数据泄露展开。处置流程应在 24 小时内完成初步冻结：保存生成文件、源素材、提示词、模型版本、知识库版本、审核记录和发布记录。若涉及明显侵权，应先下架或限制传播，再完成权属核验。合同层面要区分供应商模型缺陷、品牌方脚本错误、运营人员违规投放、平台推荐放大和用户恶意篡改的责任。赔偿或整改不应只删除视频，还应处理训练样本、音色模型、推荐缓存、搜索快照和第三方转载链接。企业可建立事件分级表，将一般投诉、疑似侵权、重大舆情、监管问询和数据安全事件对应到不同审批人、通知对象、证据保全范围和复盘要求。纠纷关闭前还应形成复盘单，记录根因、影响范围、用户通知、补救措施和后续回归测试。</w:t>
      </w:r>
    </w:p>
    <w:p>
      <w:pPr>
        <w:keepNext/>
        <w:spacing w:before="100" w:after="100"/>
        <w:jc w:val="left"/>
      </w:pPr>
      <w:r>
        <w:rPr>
          <w:rFonts w:ascii="Times New Roman" w:hAnsi="Times New Roman" w:eastAsia="黑体"/>
          <w:b/>
          <w:sz w:val="25"/>
        </w:rPr>
        <w:t>7.6 评估清单：把伦理原则转成验收项目</w:t>
      </w:r>
    </w:p>
    <w:p>
      <w:pPr>
        <w:spacing w:line="400" w:lineRule="exact" w:after="80"/>
        <w:ind w:firstLine="420"/>
      </w:pPr>
      <w:r>
        <w:rPr>
          <w:rFonts w:ascii="Times New Roman" w:hAnsi="Times New Roman" w:eastAsia="仿宋"/>
          <w:b w:val="0"/>
          <w:sz w:val="24"/>
        </w:rPr>
        <w:t>可操作的评估清单应包含十个项目：素材授权完整率、敏感个人信息单独同意率、训练数据合法来源覆盖率、知识库引用准确率、AI 身份显式提示覆盖率、隐式标识写入成功率、专业场景人工复核命中率、未成年人和老年人保护策略、投诉处理平均时长、模型更新后回归测试通过率。每个项目都要有证据材料，例如合同扫描件、权限截图、日志样本、测试报告和整改记录。评分不宜只由研发团队完成，应由业务、法务、安全、内容审核和客服共同签字。验收表还应设置不通过即阻断上线的硬性项，如缺少真人授权、未写入生成标识、医疗金融高风险回答无人工复核、用户删除入口不可用。这样形成的治理方案可以直接支撑课堂报告、企业内审和监管检查。清单执行后应形成版本化档案，后续模型升级、场景扩展或供应商替换时，可以直接对照旧档案发现新增风险。</w:t>
      </w:r>
    </w:p>
    <w:p>
      <w:pPr>
        <w:keepNext/>
        <w:spacing w:before="160" w:after="100"/>
        <w:jc w:val="left"/>
      </w:pPr>
      <w:r>
        <w:rPr>
          <w:rFonts w:ascii="Times New Roman" w:hAnsi="Times New Roman" w:eastAsia="黑体"/>
          <w:b/>
          <w:sz w:val="30"/>
        </w:rPr>
        <w:t>八、脚注链接与参考文献核验</w:t>
      </w:r>
    </w:p>
    <w:p>
      <w:pPr>
        <w:spacing w:line="400" w:lineRule="exact" w:after="80"/>
        <w:ind w:firstLine="420"/>
      </w:pPr>
      <w:r>
        <w:rPr>
          <w:rFonts w:ascii="Times New Roman" w:hAnsi="Times New Roman" w:eastAsia="仿宋"/>
          <w:b w:val="0"/>
          <w:sz w:val="24"/>
        </w:rPr>
        <w:t>原“大作业”模板脚注链接主要指向智能配送、外卖骑手、无人配送车和路径规划资料，无法支撑数字人主题中的生物识别信息、深度合成标识、拟人化互动、生成式 AI 训练数据、公开权和版权问题。修订稿删除旧脚注的可见引用，改用数字人治理直接相关来源，并逐项核验链接指向：个人信息保护法改为中国网信网转载中国人大网原文，深度合成规定改为中国网信网 2022 年 12 月 11 日发布页，标识办法保留中国网信网 2025 年通知页，欧盟 AI Act 保留 EUR-Lex 法规页，美国版权问题保留美国版权局 2025 年报告。以下链接按 2026 年 6 月 6 日可公开访问的信息整理，优先采用官方法规、国家标准、EUR-Lex、美国版权局和标准组织材料。</w:t>
      </w:r>
    </w:p>
    <w:p>
      <w:pPr>
        <w:spacing w:line="400" w:lineRule="exact" w:after="120"/>
        <w:jc w:val="left"/>
      </w:pPr>
      <w:r>
        <w:rPr>
          <w:rFonts w:ascii="Times New Roman" w:hAnsi="Times New Roman" w:eastAsia="仿宋"/>
          <w:b w:val="0"/>
          <w:sz w:val="24"/>
        </w:rPr>
        <w:t>[1] 工业和信息化部等：《虚拟现实与行业应用融合发展行动计划（2022-2026年）》，2022年。</w:t>
        <w:br/>
        <w:t>链接：https://www.gov.cn/zhengce/zhengceku/2022-11/01/5723273/files/23f1b69dcf8b4923a20bd6743022a56f.pdf</w:t>
      </w:r>
    </w:p>
    <w:p>
      <w:pPr>
        <w:spacing w:line="400" w:lineRule="exact" w:after="120"/>
        <w:jc w:val="left"/>
      </w:pPr>
      <w:r>
        <w:rPr>
          <w:rFonts w:ascii="Times New Roman" w:hAnsi="Times New Roman" w:eastAsia="仿宋"/>
          <w:b w:val="0"/>
          <w:sz w:val="24"/>
        </w:rPr>
        <w:t>[2] 《中华人民共和国个人信息保护法》，2021年11月1日起施行。</w:t>
        <w:br/>
        <w:t>链接：https://www.cac.gov.cn/2021-08/20/c_1631050028355286.htm</w:t>
      </w:r>
    </w:p>
    <w:p>
      <w:pPr>
        <w:spacing w:line="400" w:lineRule="exact" w:after="120"/>
        <w:jc w:val="left"/>
      </w:pPr>
      <w:r>
        <w:rPr>
          <w:rFonts w:ascii="Times New Roman" w:hAnsi="Times New Roman" w:eastAsia="仿宋"/>
          <w:b w:val="0"/>
          <w:sz w:val="24"/>
        </w:rPr>
        <w:t>[3] 《互联网信息服务深度合成管理规定》，2023年1月10日起施行。</w:t>
        <w:br/>
        <w:t>链接：https://www.cac.gov.cn/2022-12/11/c_1672221949354811.htm</w:t>
      </w:r>
    </w:p>
    <w:p>
      <w:pPr>
        <w:spacing w:line="400" w:lineRule="exact" w:after="120"/>
        <w:jc w:val="left"/>
      </w:pPr>
      <w:r>
        <w:rPr>
          <w:rFonts w:ascii="Times New Roman" w:hAnsi="Times New Roman" w:eastAsia="仿宋"/>
          <w:b w:val="0"/>
          <w:sz w:val="24"/>
        </w:rPr>
        <w:t>[4] 国家互联网信息办公室等：《生成式人工智能服务管理暂行办法》，2023年8月15日起施行。</w:t>
        <w:br/>
        <w:t>链接：https://www.cac.gov.cn/2023-07/13/c_1690898326795531.htm</w:t>
      </w:r>
    </w:p>
    <w:p>
      <w:pPr>
        <w:spacing w:line="400" w:lineRule="exact" w:after="120"/>
        <w:jc w:val="left"/>
      </w:pPr>
      <w:r>
        <w:rPr>
          <w:rFonts w:ascii="Times New Roman" w:hAnsi="Times New Roman" w:eastAsia="仿宋"/>
          <w:b w:val="0"/>
          <w:sz w:val="24"/>
        </w:rPr>
        <w:t>[5] 国家互联网信息办公室等：《人工智能生成合成内容标识办法》，2025年9月1日起施行。</w:t>
        <w:br/>
        <w:t>链接：https://www.cac.gov.cn/2025-03/14/c_1743654684782215.htm</w:t>
      </w:r>
    </w:p>
    <w:p>
      <w:pPr>
        <w:spacing w:line="400" w:lineRule="exact" w:after="120"/>
        <w:jc w:val="left"/>
      </w:pPr>
      <w:r>
        <w:rPr>
          <w:rFonts w:ascii="Times New Roman" w:hAnsi="Times New Roman" w:eastAsia="仿宋"/>
          <w:b w:val="0"/>
          <w:sz w:val="24"/>
        </w:rPr>
        <w:t>[6] 国家市场监督管理总局、国家标准化管理委员会：GB 45438-2025《网络安全技术 人工智能生成合成内容标识方法》（国家标准全文公开系统检索号：GB 45438-2025）。</w:t>
        <w:br/>
        <w:t>链接：https://openstd.samr.gov.cn/</w:t>
      </w:r>
    </w:p>
    <w:p>
      <w:pPr>
        <w:spacing w:line="400" w:lineRule="exact" w:after="120"/>
        <w:jc w:val="left"/>
      </w:pPr>
      <w:r>
        <w:rPr>
          <w:rFonts w:ascii="Times New Roman" w:hAnsi="Times New Roman" w:eastAsia="仿宋"/>
          <w:b w:val="0"/>
          <w:sz w:val="24"/>
        </w:rPr>
        <w:t>[7] 国家互联网信息办公室等：《人工智能拟人化互动服务管理暂行办法》，2026年7月15日起施行。</w:t>
        <w:br/>
        <w:t>链接：https://www.cac.gov.cn/2026-04/10/c_1777558395078289.htm</w:t>
      </w:r>
    </w:p>
    <w:p>
      <w:pPr>
        <w:spacing w:line="400" w:lineRule="exact" w:after="120"/>
        <w:jc w:val="left"/>
      </w:pPr>
      <w:r>
        <w:rPr>
          <w:rFonts w:ascii="Times New Roman" w:hAnsi="Times New Roman" w:eastAsia="仿宋"/>
          <w:b w:val="0"/>
          <w:sz w:val="24"/>
        </w:rPr>
        <w:t>[8] Regulation (EU) 2024/1689 of the European Parliament and of the Council（AI Act），2024。</w:t>
        <w:br/>
        <w:t>链接：https://eur-lex.europa.eu/eli/reg/2024/1689/oj/eng</w:t>
      </w:r>
    </w:p>
    <w:p>
      <w:pPr>
        <w:spacing w:line="400" w:lineRule="exact" w:after="120"/>
        <w:jc w:val="left"/>
      </w:pPr>
      <w:r>
        <w:rPr>
          <w:rFonts w:ascii="Times New Roman" w:hAnsi="Times New Roman" w:eastAsia="仿宋"/>
          <w:b w:val="0"/>
          <w:sz w:val="24"/>
        </w:rPr>
        <w:t>[9] U.S. Copyright Office, Copyright and Artificial Intelligence, Part 2: Copyrightability, 2025.</w:t>
        <w:br/>
        <w:t>链接：https://www.copyright.gov/ai/Copyright-and-Artificial-Intelligence-Part-2-Copyrightability-Report.pdf</w:t>
      </w:r>
    </w:p>
    <w:p>
      <w:pPr>
        <w:spacing w:line="400" w:lineRule="exact" w:after="120"/>
        <w:jc w:val="left"/>
      </w:pPr>
      <w:r>
        <w:rPr>
          <w:rFonts w:ascii="Times New Roman" w:hAnsi="Times New Roman" w:eastAsia="仿宋"/>
          <w:b w:val="0"/>
          <w:sz w:val="24"/>
        </w:rPr>
        <w:t>[10] Floridi, L., &amp; Cowls, J. A Unified Framework of Five Principles for AI in Society, Harvard Data Science Review, 2019.</w:t>
        <w:br/>
        <w:t>链接：https://hdsr.mitpress.mit.edu/pub/l0jsh9d1</w:t>
      </w:r>
    </w:p>
    <w:p>
      <w:pPr>
        <w:spacing w:line="400" w:lineRule="exact" w:after="120"/>
        <w:jc w:val="left"/>
      </w:pPr>
      <w:r>
        <w:rPr>
          <w:rFonts w:ascii="Times New Roman" w:hAnsi="Times New Roman" w:eastAsia="仿宋"/>
          <w:b w:val="0"/>
          <w:sz w:val="24"/>
        </w:rPr>
        <w:t>[11] 国家互联网信息办公室等：《互联网信息服务算法推荐管理规定》，2022年3月1日起施行。</w:t>
        <w:br/>
        <w:t>链接：https://www.gov.cn/zhengce/zhengceku/2022-01/04/content_5666429.htm</w:t>
      </w:r>
    </w:p>
    <w:p>
      <w:pPr>
        <w:spacing w:line="400" w:lineRule="exact" w:after="120"/>
        <w:jc w:val="left"/>
      </w:pPr>
      <w:r>
        <w:rPr>
          <w:rFonts w:ascii="Times New Roman" w:hAnsi="Times New Roman" w:eastAsia="仿宋"/>
          <w:b w:val="0"/>
          <w:sz w:val="24"/>
        </w:rPr>
        <w:t>[12] 《中华人民共和国民法典》第四编人格权，2021年1月1日起施行。</w:t>
        <w:br/>
        <w:t>链接：https://www.xinhuanet.com/politics/2020-06/01/c_1126061072_4.htm</w:t>
      </w:r>
    </w:p>
    <w:p>
      <w:pPr>
        <w:spacing w:line="400" w:lineRule="exact" w:after="120"/>
        <w:jc w:val="left"/>
      </w:pPr>
      <w:r>
        <w:rPr>
          <w:rFonts w:ascii="Times New Roman" w:hAnsi="Times New Roman" w:eastAsia="仿宋"/>
          <w:b w:val="0"/>
          <w:sz w:val="24"/>
        </w:rPr>
        <w:t>[13] 全国人大常委会：《中华人民共和国未成年人保护法》，2021年6月1日起施行，2024年修正。</w:t>
        <w:br/>
        <w:t>链接：https://www.gov.cn/guoqing/2021-10/29/content_5647617.htm</w:t>
      </w:r>
    </w:p>
    <w:p>
      <w:pPr>
        <w:spacing w:line="400" w:lineRule="exact" w:after="120"/>
        <w:jc w:val="left"/>
      </w:pPr>
      <w:r>
        <w:rPr>
          <w:rFonts w:ascii="Times New Roman" w:hAnsi="Times New Roman" w:eastAsia="仿宋"/>
          <w:b w:val="0"/>
          <w:sz w:val="24"/>
        </w:rPr>
        <w:t>[14] 全国人大常委会：《中华人民共和国消费者权益保护法》，2014年3月15日起施行，2013年修正文本。</w:t>
        <w:br/>
        <w:t>链接：https://www.gov.cn/jrzg/2013-10/25/content_2515601.htm</w:t>
      </w:r>
    </w:p>
    <w:p>
      <w:pPr>
        <w:spacing w:line="400" w:lineRule="exact" w:after="120"/>
        <w:jc w:val="left"/>
      </w:pPr>
      <w:r>
        <w:rPr>
          <w:rFonts w:ascii="Times New Roman" w:hAnsi="Times New Roman" w:eastAsia="仿宋"/>
          <w:b w:val="0"/>
          <w:sz w:val="24"/>
        </w:rPr>
        <w:t>[15] Coalition for Content Provenance and Authenticity: C2PA Technical Specification, current public specification page.</w:t>
        <w:br/>
        <w:t>链接：https://c2pa.org/specifications/specifications/</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