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// SPDX-License-Identifier: MIT pragma solidity ^0.6.2; /// @title Dividend-Paying Token Optional Interface /// @author Roger Wu (https://github.com/roger-wu) /// @dev OPTIONAL functions for a dividend-paying token contract. interface DividendPayingTokenOptionalInterface { /// @notice View the amount of dividend in wei that an address can withdraw. /// @param _owner The address of a token holder. /// @return The amount of dividend in wei that `_owner` can withdraw. function withdrawableDividendOf(address _owner) external view returns(uint256); /// @notice View the amount of dividend in wei that an address has withdrawn. /// @param _owner The address of a token holder. /// @return The amount of dividend in wei that `_owner` has withdrawn. function withdrawnDividendOf(address _owner) external view returns(uint256); /// @notice View the amount of dividend in wei that an address has earned in total. /// @dev accumulativeDividendOf(_owner) = withdrawableDividendOf(_owner) + withdrawnDividendOf(_owner) /// @param _owner The address of a token holder. /// @return The amount of dividend in wei that `_owner` has earned in total. function accumulativeDividendOf(address _owner) external view returns(uint256); 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C6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2022-04-07T18:29:09Z</dcterms:created>
  <dc:creator>Administrator</dc:creator>
  <cp:lastModifiedBy>新疆UPS精密空调13369666836</cp:lastModifiedBy>
  <dcterms:modified xsi:type="dcterms:W3CDTF">2022-04-07T18:29:15Z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2052-11.1.0.11411</vt:lpwstr>
  </property>
  <property fmtid="{D5CDD505-2E9C-101B-9397-08002B2CF9AE}" pid="3" name="ICV">
    <vt:lpwstr>2834325F62E343099965030CF450448D</vt:lpwstr>
  </property>
</Properties>
</file>