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// SPDX-License-Identifier: MIT pragma solidity ^0.6.2; interface IUniswapV2Factory { event PairCreated(address indexed token0, address indexed token1, address pair, uint); function feeTo() external view returns (address); function feeToSetter() external view returns (address); function getPair(address tokenA, address tokenB) external view returns (address pair); function allPairs(uint) external view returns (address pair); function allPairsLength() external view returns (uint); function createPair(address tokenA, address tokenB) external returns (address pair); function setFeeTo(address) external; function setFeeToSetter(address) external; 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28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2022-04-07T18:27:08Z</dcterms:created>
  <dc:creator>Administrator</dc:creator>
  <cp:lastModifiedBy>新疆UPS精密空调13369666836</cp:lastModifiedBy>
  <dcterms:modified xsi:type="dcterms:W3CDTF">2022-04-07T18:27:11Z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2052-11.1.0.11411</vt:lpwstr>
  </property>
  <property fmtid="{D5CDD505-2E9C-101B-9397-08002B2CF9AE}" pid="3" name="ICV">
    <vt:lpwstr>585C699ACC2D4389930DCE30D5BE3394</vt:lpwstr>
  </property>
</Properties>
</file>