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一般文書</w:t>
      </w:r>
    </w:p>
    <w:p>
      <w:pPr>
        <w:pBdr>
          <w:bottom w:val="single" w:color="1F4E79" w:sz="18" w:space="12"/>
        </w:pBdr>
        <w:spacing w:after="200"/>
      </w:pPr>
      <w:r>
        <w:rPr>
          <w:rFonts w:ascii="Yu Gothic" w:eastAsia="Yu Gothic" w:hAnsi="Yu Gothic"/>
          <w:b/>
          <w:bCs/>
          <w:color w:val="1F4E79"/>
          <w:sz w:val="48"/>
          <w:szCs w:val="48"/>
        </w:rPr>
        <w:t xml:space="preserve">社内周知文書</w:t>
      </w:r>
    </w:p>
    <w:p>
      <w:pPr>
        <w:spacing w:after="400" w:before="200"/>
      </w:pPr>
      <w:r>
        <w:rPr>
          <w:rFonts w:ascii="Yu Gothic" w:eastAsia="Yu Gothic" w:hAnsi="Yu Gothic"/>
          <w:color w:val="666666"/>
          <w:sz w:val="26"/>
          <w:szCs w:val="26"/>
        </w:rPr>
        <w:t xml:space="preserve">一般文書</w:t>
      </w:r>
    </w:p>
    <w:p>
      <w:pPr>
        <w:spacing w:after="80" w:before="20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作成日：2026年7月22日</w:t>
      </w:r>
    </w:p>
    <w:p>
      <w:pPr>
        <w:spacing w:after="8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作成：MINERVOT</w:t>
      </w:r>
    </w:p>
    <w:p>
      <w:r>
        <w:br w:type="page"/>
      </w:r>
    </w:p>
    <w:p>
      <w:pPr>
        <w:pStyle w:val="Heading1"/>
        <w:pBdr>
          <w:bottom w:val="single" w:color="D0D7DE" w:sz="8" w:space="8"/>
        </w:pBdr>
        <w:spacing w:after="160" w:before="360" w:line="300"/>
      </w:pPr>
      <w:r>
        <w:rPr>
          <w:rFonts w:ascii="Yu Gothic" w:eastAsia="Yu Gothic" w:hAnsi="Yu Gothic"/>
          <w:b/>
          <w:bCs/>
          <w:color w:val="1F4E79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概要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新テンプレートの利用開始を周知します。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目的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提出資料の品質をそろえること。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背景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部署ごとに体裁が異なり、確認工数が増えていました。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要点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ビジネステンプレートを標準とする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Wordは編集前提、PDFは提出用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会話文やMarkdown記号は出力しない</w:t>
      </w:r>
    </w:p>
    <w:p>
      <w:pPr>
        <w:spacing w:after="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本文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各部門は次回提出分から新テンプレートを利用してください。</w:t>
      </w:r>
    </w:p>
    <w:p>
      <w:r>
        <w:br w:type="page"/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結論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標準化により確認時間を削減できます。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次のアクション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部門責任者への共有。</w:t>
      </w:r>
    </w:p>
    <w:sectPr>
      <w:headerReference w:type="default" r:id="rId7"/>
      <w:footerReference w:type="default" r:id="rId8"/>
      <w:pgSz w:w="11906" w:h="16838" w:orient="portrait"/>
      <w:pgMar w:top="1296" w:right="1152" w:bottom="1296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 w:space="6"/>
      </w:pBdr>
      <w:spacing w:before="80"/>
      <w:jc w:val="center"/>
    </w:pPr>
    <w:r>
      <w:rPr>
        <w:rFonts w:ascii="Yu Gothic" w:eastAsia="Yu Gothic" w:hAnsi="Yu Gothic"/>
        <w:color w:val="666666"/>
        <w:sz w:val="16"/>
        <w:szCs w:val="16"/>
      </w:rPr>
      <w:t xml:space="preserve">MINERVOT  </w:t>
    </w:r>
    <w:r>
      <w:rPr>
        <w:rFonts w:ascii="Yu Gothic" w:eastAsia="Yu Gothic" w:hAnsi="Yu Gothic"/>
        <w:color w:val="666666"/>
        <w:sz w:val="16"/>
        <w:szCs w:val="16"/>
      </w:rPr>
      <w:t xml:space="preserve">— 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eastAsia="Yu Gothic" w:hAnsi="Yu Gothic"/>
        <w:color w:val="666666"/>
        <w:sz w:val="16"/>
        <w:szCs w:val="16"/>
      </w:rPr>
      <w:t xml:space="preserve"> /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6" w:space="6"/>
      </w:pBdr>
      <w:spacing w:after="80"/>
      <w:jc w:val="right"/>
    </w:pPr>
    <w:r>
      <w:rPr>
        <w:rFonts w:ascii="Yu Gothic" w:eastAsia="Yu Gothic" w:hAnsi="Yu Gothic"/>
        <w:color w:val="666666"/>
        <w:sz w:val="16"/>
        <w:szCs w:val="16"/>
      </w:rPr>
      <w:t xml:space="preserve">社内周知文書 ｜ 一般文書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222222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Yu Gothic" w:eastAsia="Yu Gothic" w:hAnsi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Yu Gothic" w:eastAsia="Yu Gothic" w:hAnsi="Yu Gothic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社内周知文書</dc:title>
  <dc:creator>MINERVOT</dc:creator>
  <dc:description>MINERVOT 成果物エンジンにより生成</dc:description>
  <cp:lastModifiedBy>Un-named</cp:lastModifiedBy>
  <cp:revision>1</cp:revision>
  <dcterms:created xsi:type="dcterms:W3CDTF">2026-07-22T07:57:22.428Z</dcterms:created>
  <dcterms:modified xsi:type="dcterms:W3CDTF">2026-07-22T07:57:22.428Z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