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before="200" w:after="140" w:line="340" w:lineRule="auto"/>
        <w:jc w:val="both"/>
        <w:rPr>
          <w:rFonts w:hint="eastAsia"/>
          <w:b/>
          <w:bCs/>
          <w:color w:val="auto"/>
          <w:sz w:val="36"/>
          <w:szCs w:val="36"/>
        </w:rPr>
      </w:pPr>
      <w:r>
        <w:rPr>
          <w:rFonts w:hint="eastAsia" w:ascii="Noto Sans CJK SC" w:hAnsi="Noto Sans CJK SC" w:cs="Noto Sans CJK SC"/>
          <w:b/>
          <w:bCs/>
          <w:color w:val="auto"/>
          <w:sz w:val="28"/>
          <w:szCs w:val="28"/>
        </w:rPr>
        <w:t>附件</w:t>
      </w:r>
      <w:r>
        <w:rPr>
          <w:rFonts w:hint="eastAsia" w:ascii="Noto Sans CJK SC" w:hAnsi="Noto Sans CJK SC" w:cs="Noto Sans CJK SC"/>
          <w:b/>
          <w:bCs/>
          <w:color w:val="auto"/>
          <w:sz w:val="28"/>
          <w:szCs w:val="28"/>
          <w:lang w:val="en-US" w:eastAsia="zh-CN"/>
        </w:rPr>
        <w:t>4</w:t>
      </w:r>
    </w:p>
    <w:p>
      <w:pPr>
        <w:widowControl/>
        <w:kinsoku w:val="0"/>
        <w:autoSpaceDE w:val="0"/>
        <w:autoSpaceDN w:val="0"/>
        <w:adjustRightInd w:val="0"/>
        <w:snapToGrid w:val="0"/>
        <w:spacing w:before="297" w:after="0" w:line="373" w:lineRule="auto"/>
        <w:ind w:left="4460" w:leftChars="917" w:right="343" w:hanging="2259" w:hangingChars="689"/>
        <w:jc w:val="left"/>
        <w:textAlignment w:val="baseline"/>
        <w:rPr>
          <w:rFonts w:hint="eastAsia" w:ascii="SimHei" w:hAnsi="SimHei" w:eastAsia="SimHei" w:cs="SimHei"/>
          <w:b w:val="0"/>
          <w:bCs w:val="0"/>
          <w:snapToGrid w:val="0"/>
          <w:color w:val="000000"/>
          <w:spacing w:val="9"/>
          <w:sz w:val="31"/>
          <w:szCs w:val="31"/>
          <w:lang w:eastAsia="en-US"/>
        </w:rPr>
      </w:pPr>
      <w:r>
        <w:rPr>
          <w:rFonts w:hint="eastAsia" w:ascii="SimHei" w:hAnsi="SimHei" w:eastAsia="SimHei" w:cs="SimHei"/>
          <w:snapToGrid w:val="0"/>
          <w:spacing w:val="9"/>
          <w:sz w:val="31"/>
          <w:szCs w:val="31"/>
          <w:lang w:val="en-US" w:eastAsia="en-US"/>
        </w:rPr>
        <w:t>第一届</w:t>
      </w:r>
      <w:r>
        <w:rPr>
          <w:rFonts w:hint="eastAsia" w:ascii="SimHei" w:hAnsi="SimHei" w:eastAsia="SimHei" w:cs="SimHei"/>
          <w:snapToGrid w:val="0"/>
          <w:spacing w:val="9"/>
          <w:sz w:val="31"/>
          <w:szCs w:val="31"/>
          <w:lang w:eastAsia="en-US"/>
        </w:rPr>
        <w:t>全球大学生生命科学挑战赛</w:t>
      </w:r>
      <w:r>
        <w:rPr>
          <w:rFonts w:hint="eastAsia" w:ascii="SimHei" w:hAnsi="SimHei" w:eastAsia="SimHei" w:cs="SimHei"/>
          <w:snapToGrid w:val="0"/>
          <w:spacing w:val="9"/>
          <w:sz w:val="31"/>
          <w:szCs w:val="31"/>
          <w:lang w:val="en-US" w:eastAsia="en-US"/>
        </w:rPr>
        <w:t xml:space="preserve">     </w:t>
      </w:r>
    </w:p>
    <w:p>
      <w:pPr>
        <w:widowControl/>
        <w:kinsoku w:val="0"/>
        <w:autoSpaceDE w:val="0"/>
        <w:autoSpaceDN w:val="0"/>
        <w:adjustRightInd w:val="0"/>
        <w:snapToGrid w:val="0"/>
        <w:spacing w:before="297" w:after="0" w:line="373" w:lineRule="auto"/>
        <w:ind w:left="4386" w:leftChars="1433" w:right="343" w:hanging="947" w:hangingChars="289"/>
        <w:jc w:val="left"/>
        <w:textAlignment w:val="baseline"/>
        <w:rPr>
          <w:rFonts w:hint="eastAsia" w:ascii="SimHei" w:hAnsi="SimHei" w:eastAsia="SimHei" w:cs="SimHei"/>
          <w:snapToGrid w:val="0"/>
          <w:spacing w:val="9"/>
          <w:sz w:val="31"/>
          <w:szCs w:val="31"/>
          <w:lang w:val="en-US" w:eastAsia="zh-CN"/>
        </w:rPr>
      </w:pPr>
      <w:r>
        <w:rPr>
          <w:rFonts w:hint="eastAsia" w:ascii="SimHei" w:hAnsi="SimHei" w:eastAsia="SimHei" w:cs="SimHei"/>
          <w:b w:val="0"/>
          <w:bCs w:val="0"/>
          <w:snapToGrid w:val="0"/>
          <w:color w:val="000000"/>
          <w:spacing w:val="9"/>
          <w:sz w:val="31"/>
          <w:szCs w:val="31"/>
          <w:lang w:eastAsia="en-US"/>
        </w:rPr>
        <w:t>代码提交</w:t>
      </w:r>
      <w:r>
        <w:rPr>
          <w:rFonts w:hint="eastAsia" w:ascii="SimHei" w:hAnsi="SimHei" w:eastAsia="SimHei" w:cs="SimHei"/>
          <w:b w:val="0"/>
          <w:bCs w:val="0"/>
          <w:snapToGrid w:val="0"/>
          <w:color w:val="000000"/>
          <w:spacing w:val="9"/>
          <w:sz w:val="31"/>
          <w:szCs w:val="31"/>
          <w:lang w:val="en-US" w:eastAsia="zh-CN"/>
        </w:rPr>
        <w:t>要求</w:t>
      </w:r>
      <w:bookmarkStart w:id="0" w:name="_GoBack"/>
      <w:bookmarkEnd w:id="0"/>
    </w:p>
    <w:p>
      <w:pPr>
        <w:spacing w:after="60"/>
        <w:jc w:val="center"/>
        <w:rPr>
          <w:rFonts w:hint="eastAsia"/>
        </w:rPr>
      </w:pPr>
      <w:r>
        <w:rPr>
          <w:rFonts w:eastAsia="Noto Serif CJK SC"/>
          <w:color w:val="404040"/>
          <w:sz w:val="21"/>
          <w:szCs w:val="21"/>
        </w:rPr>
        <w:t>AI 模型与代码 · 提交规范与可复现性要求</w:t>
      </w:r>
    </w:p>
    <w:p>
      <w:pPr>
        <w:spacing w:after="60"/>
        <w:ind w:firstLine="480" w:firstLineChars="200"/>
        <w:jc w:val="both"/>
        <w:rPr>
          <w:rFonts w:hint="eastAsia"/>
        </w:rPr>
      </w:pPr>
      <w:r>
        <w:rPr>
          <w:rFonts w:eastAsia="Noto Serif CJK SC"/>
        </w:rPr>
        <w:t>为保障 AI 模型与代码评测的规范性、公平性与可复现性，便于大赛评测与展示平台对参赛作品进行标准化复核，特制定本代码提交说明。凡涉及人工智能模型或计算方法的参赛队伍，均应按本说明提交代码、模型与运行文档。本说明为通用要求，各赛道可有补充规定；文件命名、字段格式等细节以大赛官网发布的赛道实施细则、《提交模板》与《知识产权说明》为准。</w:t>
      </w:r>
    </w:p>
    <w:p>
      <w:pPr>
        <w:keepNext/>
        <w:pBdr>
          <w:bottom w:val="single" w:color="AEC1D8" w:sz="8" w:space="4"/>
        </w:pBdr>
        <w:spacing w:before="300" w:after="150" w:line="340" w:lineRule="auto"/>
        <w:rPr>
          <w:rFonts w:hint="eastAsia"/>
          <w:color w:val="auto"/>
        </w:rPr>
      </w:pPr>
      <w:r>
        <w:rPr>
          <w:rFonts w:ascii="Noto Sans CJK SC" w:hAnsi="Noto Sans CJK SC" w:eastAsia="Noto Sans CJK SC" w:cs="Noto Sans CJK SC"/>
          <w:b/>
          <w:bCs/>
          <w:color w:val="auto"/>
          <w:sz w:val="28"/>
          <w:szCs w:val="28"/>
        </w:rPr>
        <w:t>一、代码运行环境</w:t>
      </w:r>
    </w:p>
    <w:p>
      <w:pPr>
        <w:spacing w:after="120"/>
        <w:ind w:firstLine="0"/>
        <w:rPr>
          <w:rFonts w:hint="eastAsia"/>
        </w:rPr>
      </w:pPr>
      <w:r>
        <w:rPr>
          <w:rFonts w:eastAsia="Noto Serif CJK SC"/>
        </w:rPr>
        <w:t>参赛者应在赛事提供的计算平台（或本地环境并说明配置）上，构建可完整运行的算法训练与设计/推理环境，并提交以下内容：</w:t>
      </w:r>
    </w:p>
    <w:p>
      <w:pPr>
        <w:spacing w:after="90"/>
        <w:ind w:left="480" w:hanging="220"/>
        <w:rPr>
          <w:rFonts w:hint="eastAsia"/>
        </w:rPr>
      </w:pPr>
      <w:r>
        <w:rPr>
          <w:rFonts w:eastAsia="Noto Serif CJK SC"/>
          <w:b/>
          <w:bCs/>
          <w:color w:val="1F3864"/>
        </w:rPr>
        <w:t xml:space="preserve">— </w:t>
      </w:r>
      <w:r>
        <w:rPr>
          <w:rFonts w:eastAsia="Noto Serif CJK SC"/>
          <w:b/>
          <w:bCs/>
        </w:rPr>
        <w:t>算法代码：</w:t>
      </w:r>
      <w:r>
        <w:rPr>
          <w:rFonts w:eastAsia="Noto Serif CJK SC"/>
        </w:rPr>
        <w:t>规范代码编程，对核心代码进行注释；在 README 文档中提供环境配置所需的完整依赖库版本信息清单与程序运行命令行；提交算法源代码，可在配置环境中正常运行。</w:t>
      </w:r>
    </w:p>
    <w:p>
      <w:pPr>
        <w:spacing w:after="90"/>
        <w:ind w:left="480" w:hanging="220"/>
        <w:rPr>
          <w:rFonts w:hint="eastAsia"/>
        </w:rPr>
      </w:pPr>
      <w:r>
        <w:rPr>
          <w:rFonts w:eastAsia="Noto Serif CJK SC"/>
          <w:b/>
          <w:bCs/>
          <w:color w:val="1F3864"/>
        </w:rPr>
        <w:t xml:space="preserve">— </w:t>
      </w:r>
      <w:r>
        <w:rPr>
          <w:rFonts w:eastAsia="Noto Serif CJK SC"/>
          <w:b/>
          <w:bCs/>
        </w:rPr>
        <w:t>算法模型：</w:t>
      </w:r>
      <w:r>
        <w:rPr>
          <w:rFonts w:eastAsia="Noto Serif CJK SC"/>
        </w:rPr>
        <w:t>提供算法训练的最终模型版本（模型权重或调用方式）。</w:t>
      </w:r>
      <w:r>
        <w:rPr>
          <w:rFonts w:hint="eastAsia" w:ascii="宋体" w:hAnsi="宋体" w:eastAsia="宋体" w:cs="宋体"/>
        </w:rPr>
        <w:t>仅使用开源预训练模型、第三方模型或未开展训练</w:t>
      </w:r>
      <w:r>
        <w:rPr>
          <w:rFonts w:eastAsia="Noto Serif CJK SC"/>
        </w:rPr>
        <w:t>/</w:t>
      </w:r>
      <w:r>
        <w:rPr>
          <w:rFonts w:hint="eastAsia" w:ascii="宋体" w:hAnsi="宋体" w:eastAsia="宋体" w:cs="宋体"/>
        </w:rPr>
        <w:t>微调的，应如实说明所采用的模型与版本、调用参数、技术路线及本项目的实际创新贡献，不以</w:t>
      </w:r>
      <w:r>
        <w:rPr>
          <w:rFonts w:eastAsia="Noto Serif CJK SC"/>
        </w:rPr>
        <w:t>“</w:t>
      </w:r>
      <w:r>
        <w:rPr>
          <w:rFonts w:hint="eastAsia" w:ascii="宋体" w:hAnsi="宋体" w:eastAsia="宋体" w:cs="宋体"/>
        </w:rPr>
        <w:t>是否自行训练</w:t>
      </w:r>
      <w:r>
        <w:rPr>
          <w:rFonts w:eastAsia="Noto Serif CJK SC"/>
        </w:rPr>
        <w:t>”</w:t>
      </w:r>
      <w:r>
        <w:rPr>
          <w:rFonts w:hint="eastAsia" w:ascii="宋体" w:hAnsi="宋体" w:eastAsia="宋体" w:cs="宋体"/>
        </w:rPr>
        <w:t>作为单独的合规判断标准</w:t>
      </w:r>
      <w:r>
        <w:rPr>
          <w:rFonts w:eastAsia="Noto Serif CJK SC"/>
        </w:rPr>
        <w:t>。</w:t>
      </w:r>
    </w:p>
    <w:p>
      <w:pPr>
        <w:spacing w:after="60"/>
        <w:ind w:left="480" w:hanging="220"/>
        <w:rPr>
          <w:rFonts w:hint="eastAsia"/>
        </w:rPr>
      </w:pPr>
      <w:r>
        <w:rPr>
          <w:rFonts w:eastAsia="Noto Serif CJK SC"/>
          <w:b/>
          <w:bCs/>
          <w:color w:val="1F3864"/>
        </w:rPr>
        <w:t xml:space="preserve">— </w:t>
      </w:r>
      <w:r>
        <w:rPr>
          <w:rFonts w:eastAsia="Noto Serif CJK SC"/>
          <w:b/>
          <w:bCs/>
        </w:rPr>
        <w:t>演示案例：</w:t>
      </w:r>
      <w:r>
        <w:rPr>
          <w:rFonts w:eastAsia="Noto Serif CJK SC"/>
        </w:rPr>
        <w:t>在代码运行环境中提供一个完整的“训练/设计 → 优化 → 推理/筛选”可运行示例，含小规模示例数据或数据获取说明。</w:t>
      </w:r>
    </w:p>
    <w:p>
      <w:pPr>
        <w:keepNext/>
        <w:pBdr>
          <w:bottom w:val="single" w:color="AEC1D8" w:sz="8" w:space="4"/>
        </w:pBdr>
        <w:spacing w:before="300" w:after="150" w:line="340" w:lineRule="auto"/>
        <w:rPr>
          <w:rFonts w:hint="eastAsia"/>
          <w:color w:val="auto"/>
        </w:rPr>
      </w:pPr>
      <w:r>
        <w:rPr>
          <w:rFonts w:ascii="Noto Sans CJK SC" w:hAnsi="Noto Sans CJK SC" w:eastAsia="Noto Sans CJK SC" w:cs="Noto Sans CJK SC"/>
          <w:b/>
          <w:bCs/>
          <w:color w:val="auto"/>
          <w:sz w:val="28"/>
          <w:szCs w:val="28"/>
        </w:rPr>
        <w:t>二、目录结构与必备文件</w:t>
      </w:r>
    </w:p>
    <w:p>
      <w:pPr>
        <w:spacing w:after="120"/>
        <w:ind w:firstLine="480"/>
        <w:rPr>
          <w:rFonts w:hint="eastAsia"/>
        </w:rPr>
      </w:pPr>
      <w:r>
        <w:rPr>
          <w:rFonts w:eastAsia="Noto Serif CJK SC"/>
        </w:rPr>
        <w:t>为方便大赛筹办方测试与复核，请参赛者确保代码（代码仓库或压缩包）包括但不限于以下板块，建议目录结构如下：</w:t>
      </w:r>
    </w:p>
    <w:tbl>
      <w:tblPr>
        <w:tblStyle w:val="13"/>
        <w:tblW w:w="9026" w:type="dxa"/>
        <w:tblInd w:w="0" w:type="dxa"/>
        <w:tblBorders>
          <w:top w:val="single" w:color="C7D0DC" w:sz="4" w:space="0"/>
          <w:left w:val="single" w:color="C7D0DC" w:sz="4" w:space="0"/>
          <w:bottom w:val="single" w:color="C7D0DC" w:sz="4" w:space="0"/>
          <w:right w:val="single" w:color="C7D0DC" w:sz="4" w:space="0"/>
          <w:insideH w:val="none" w:color="auto" w:sz="0" w:space="0"/>
          <w:insideV w:val="none" w:color="auto" w:sz="0" w:space="0"/>
        </w:tblBorders>
        <w:tblLayout w:type="autofit"/>
        <w:tblCellMar>
          <w:top w:w="0" w:type="dxa"/>
          <w:left w:w="10" w:type="dxa"/>
          <w:bottom w:w="0" w:type="dxa"/>
          <w:right w:w="10" w:type="dxa"/>
        </w:tblCellMar>
      </w:tblPr>
      <w:tblGrid>
        <w:gridCol w:w="9026"/>
      </w:tblGrid>
      <w:tr>
        <w:tc>
          <w:tcPr>
            <w:tcW w:w="9026" w:type="dxa"/>
            <w:shd w:val="clear" w:color="auto" w:fill="F2F4F7"/>
            <w:tcMar>
              <w:top w:w="120" w:type="dxa"/>
              <w:left w:w="220" w:type="dxa"/>
              <w:bottom w:w="120" w:type="dxa"/>
              <w:right w:w="160" w:type="dxa"/>
            </w:tcMar>
          </w:tcPr>
          <w:p>
            <w:pPr>
              <w:spacing w:before="40" w:line="260" w:lineRule="auto"/>
              <w:rPr>
                <w:rFonts w:hint="eastAsia"/>
              </w:rPr>
            </w:pPr>
            <w:r>
              <w:rPr>
                <w:rFonts w:ascii="Noto Sans Mono CJK SC" w:hAnsi="Noto Sans Mono CJK SC" w:eastAsia="Noto Sans Mono CJK SC" w:cs="Noto Sans Mono CJK SC"/>
                <w:color w:val="1A1A1A"/>
                <w:sz w:val="19"/>
                <w:szCs w:val="19"/>
              </w:rPr>
              <w:t>project/</w:t>
            </w:r>
          </w:p>
          <w:p>
            <w:pPr>
              <w:spacing w:line="260" w:lineRule="auto"/>
              <w:rPr>
                <w:rFonts w:hint="eastAsia"/>
              </w:rPr>
            </w:pPr>
            <w:r>
              <w:rPr>
                <w:rFonts w:ascii="Noto Sans Mono CJK SC" w:hAnsi="Noto Sans Mono CJK SC" w:eastAsia="Noto Sans Mono CJK SC" w:cs="Noto Sans Mono CJK SC"/>
                <w:color w:val="1A1A1A"/>
                <w:sz w:val="19"/>
                <w:szCs w:val="19"/>
              </w:rPr>
              <w:t>├── README.md            # 项目说明、环境配置、运行命令、</w:t>
            </w:r>
            <w:r>
              <w:rPr>
                <w:rFonts w:hint="eastAsia" w:ascii="宋体" w:hAnsi="宋体" w:eastAsia="宋体" w:cs="宋体"/>
                <w:color w:val="1A1A1A"/>
                <w:sz w:val="19"/>
                <w:szCs w:val="19"/>
              </w:rPr>
              <w:t>输入输出与</w:t>
            </w:r>
            <w:r>
              <w:rPr>
                <w:rFonts w:ascii="Noto Sans Mono CJK SC" w:hAnsi="Noto Sans Mono CJK SC" w:eastAsia="Noto Sans Mono CJK SC" w:cs="Noto Sans Mono CJK SC"/>
                <w:color w:val="1A1A1A"/>
                <w:sz w:val="19"/>
                <w:szCs w:val="19"/>
              </w:rPr>
              <w:t>结果说明</w:t>
            </w:r>
          </w:p>
          <w:p>
            <w:pPr>
              <w:spacing w:line="260" w:lineRule="auto"/>
              <w:rPr>
                <w:rFonts w:hint="eastAsia"/>
              </w:rPr>
            </w:pPr>
            <w:r>
              <w:rPr>
                <w:rFonts w:ascii="Noto Sans Mono CJK SC" w:hAnsi="Noto Sans Mono CJK SC" w:eastAsia="Noto Sans Mono CJK SC" w:cs="Noto Sans Mono CJK SC"/>
                <w:color w:val="1A1A1A"/>
                <w:sz w:val="19"/>
                <w:szCs w:val="19"/>
              </w:rPr>
              <w:t>├── requirements.txt     # 依赖库及必要版本（或 environment.yml / Dockerfile）</w:t>
            </w:r>
          </w:p>
          <w:p>
            <w:pPr>
              <w:spacing w:line="260" w:lineRule="auto"/>
              <w:rPr>
                <w:rFonts w:hint="eastAsia"/>
              </w:rPr>
            </w:pPr>
            <w:r>
              <w:rPr>
                <w:rFonts w:ascii="Noto Sans Mono CJK SC" w:hAnsi="Noto Sans Mono CJK SC" w:eastAsia="Noto Sans Mono CJK SC" w:cs="Noto Sans Mono CJK SC"/>
                <w:color w:val="1A1A1A"/>
                <w:sz w:val="19"/>
                <w:szCs w:val="19"/>
              </w:rPr>
              <w:t>├── data/                # 数据说明与获取方式（不上传受限数据，注明来源与许可）</w:t>
            </w:r>
          </w:p>
          <w:p>
            <w:pPr>
              <w:spacing w:line="260" w:lineRule="auto"/>
              <w:rPr>
                <w:rFonts w:hint="eastAsia"/>
              </w:rPr>
            </w:pPr>
            <w:r>
              <w:rPr>
                <w:rFonts w:ascii="Noto Sans Mono CJK SC" w:hAnsi="Noto Sans Mono CJK SC" w:eastAsia="Noto Sans Mono CJK SC" w:cs="Noto Sans Mono CJK SC"/>
                <w:color w:val="1A1A1A"/>
                <w:sz w:val="19"/>
                <w:szCs w:val="19"/>
              </w:rPr>
              <w:t>├── src/                 # 核心源代码（规范编程、核心逻辑注释）</w:t>
            </w:r>
          </w:p>
          <w:p>
            <w:pPr>
              <w:spacing w:line="260" w:lineRule="auto"/>
              <w:rPr>
                <w:rFonts w:hint="eastAsia"/>
              </w:rPr>
            </w:pPr>
            <w:r>
              <w:rPr>
                <w:rFonts w:ascii="Noto Sans Mono CJK SC" w:hAnsi="Noto Sans Mono CJK SC" w:eastAsia="Noto Sans Mono CJK SC" w:cs="Noto Sans Mono CJK SC"/>
                <w:color w:val="1A1A1A"/>
                <w:sz w:val="19"/>
                <w:szCs w:val="19"/>
              </w:rPr>
              <w:t>├── models/              # 最终模型权重，或下载 / 调用说明</w:t>
            </w:r>
          </w:p>
          <w:p>
            <w:pPr>
              <w:spacing w:line="260" w:lineRule="auto"/>
              <w:rPr>
                <w:rFonts w:hint="eastAsia"/>
              </w:rPr>
            </w:pPr>
            <w:r>
              <w:rPr>
                <w:rFonts w:ascii="Noto Sans Mono CJK SC" w:hAnsi="Noto Sans Mono CJK SC" w:eastAsia="Noto Sans Mono CJK SC" w:cs="Noto Sans Mono CJK SC"/>
                <w:color w:val="1A1A1A"/>
                <w:sz w:val="19"/>
                <w:szCs w:val="19"/>
              </w:rPr>
              <w:t>├── notebooks/           # 可执行的 Jupyter Notebook（证明流程可复现）</w:t>
            </w:r>
          </w:p>
          <w:p>
            <w:pPr>
              <w:spacing w:line="260" w:lineRule="auto"/>
              <w:rPr>
                <w:rFonts w:hint="eastAsia"/>
              </w:rPr>
            </w:pPr>
            <w:r>
              <w:rPr>
                <w:rFonts w:ascii="Noto Sans Mono CJK SC" w:hAnsi="Noto Sans Mono CJK SC" w:eastAsia="Noto Sans Mono CJK SC" w:cs="Noto Sans Mono CJK SC"/>
                <w:color w:val="1A1A1A"/>
                <w:sz w:val="19"/>
                <w:szCs w:val="19"/>
              </w:rPr>
              <w:t>├── train.py             # 一键训练脚本（自训练模型）</w:t>
            </w:r>
          </w:p>
          <w:p>
            <w:pPr>
              <w:spacing w:line="260" w:lineRule="auto"/>
              <w:rPr>
                <w:rFonts w:hint="eastAsia"/>
              </w:rPr>
            </w:pPr>
            <w:r>
              <w:rPr>
                <w:rFonts w:ascii="Noto Sans Mono CJK SC" w:hAnsi="Noto Sans Mono CJK SC" w:eastAsia="Noto Sans Mono CJK SC" w:cs="Noto Sans Mono CJK SC"/>
                <w:color w:val="1A1A1A"/>
                <w:sz w:val="19"/>
                <w:szCs w:val="19"/>
              </w:rPr>
              <w:t>├── design.py / screen.py # 一键设计 / 生成 或 虚拟筛选脚本</w:t>
            </w:r>
          </w:p>
          <w:p>
            <w:pPr>
              <w:spacing w:line="260" w:lineRule="auto"/>
              <w:rPr>
                <w:rFonts w:hint="eastAsia"/>
              </w:rPr>
            </w:pPr>
            <w:r>
              <w:rPr>
                <w:rFonts w:ascii="Noto Sans Mono CJK SC" w:hAnsi="Noto Sans Mono CJK SC" w:eastAsia="Noto Sans Mono CJK SC" w:cs="Noto Sans Mono CJK SC"/>
                <w:color w:val="1A1A1A"/>
                <w:sz w:val="19"/>
                <w:szCs w:val="19"/>
              </w:rPr>
              <w:t>├── predict.py           # 一键生成最终结果文件（候选清单）</w:t>
            </w:r>
          </w:p>
          <w:p>
            <w:pPr>
              <w:spacing w:line="260" w:lineRule="auto"/>
              <w:rPr>
                <w:rFonts w:hint="eastAsia"/>
              </w:rPr>
            </w:pPr>
            <w:r>
              <w:rPr>
                <w:rFonts w:ascii="Noto Sans Mono CJK SC" w:hAnsi="Noto Sans Mono CJK SC" w:eastAsia="Noto Sans Mono CJK SC" w:cs="Noto Sans Mono CJK SC"/>
                <w:color w:val="1A1A1A"/>
                <w:sz w:val="19"/>
                <w:szCs w:val="19"/>
              </w:rPr>
              <w:t>├── results/             # 运行结果与候选清单示例</w:t>
            </w:r>
          </w:p>
          <w:p>
            <w:pPr>
              <w:spacing w:after="40" w:line="260" w:lineRule="auto"/>
              <w:rPr>
                <w:rFonts w:hint="eastAsia"/>
              </w:rPr>
            </w:pPr>
            <w:r>
              <w:rPr>
                <w:rFonts w:ascii="Noto Sans Mono CJK SC" w:hAnsi="Noto Sans Mono CJK SC" w:eastAsia="Noto Sans Mono CJK SC" w:cs="Noto Sans Mono CJK SC"/>
                <w:color w:val="1A1A1A"/>
                <w:sz w:val="19"/>
                <w:szCs w:val="19"/>
              </w:rPr>
              <w:t>└── logs/                # 训练 / 验证日志、随机种子记录</w:t>
            </w:r>
          </w:p>
        </w:tc>
      </w:tr>
    </w:tbl>
    <w:p>
      <w:pPr>
        <w:spacing w:before="120" w:after="80"/>
        <w:rPr>
          <w:rFonts w:hint="eastAsia"/>
        </w:rPr>
      </w:pPr>
      <w:r>
        <w:rPr>
          <w:rFonts w:eastAsia="Noto Serif CJK SC"/>
        </w:rPr>
        <w:t>必备文件与脚本要求：</w:t>
      </w:r>
    </w:p>
    <w:p>
      <w:pPr>
        <w:spacing w:after="90"/>
        <w:ind w:left="480" w:hanging="300"/>
        <w:rPr>
          <w:rFonts w:hint="eastAsia"/>
        </w:rPr>
      </w:pPr>
      <w:r>
        <w:rPr>
          <w:rFonts w:eastAsia="Noto Serif CJK SC"/>
        </w:rPr>
        <w:t>（1）</w:t>
      </w:r>
      <w:r>
        <w:rPr>
          <w:rFonts w:ascii="Noto Sans Mono CJK SC" w:hAnsi="Noto Sans Mono CJK SC" w:eastAsia="Noto Sans Mono CJK SC" w:cs="Noto Sans Mono CJK SC"/>
          <w:color w:val="1A1A1A"/>
          <w:sz w:val="21"/>
          <w:szCs w:val="21"/>
        </w:rPr>
        <w:t>requirements.txt</w:t>
      </w:r>
      <w:r>
        <w:rPr>
          <w:rFonts w:eastAsia="Noto Serif CJK SC"/>
        </w:rPr>
        <w:t xml:space="preserve">：Python </w:t>
      </w:r>
      <w:r>
        <w:rPr>
          <w:rFonts w:hint="eastAsia" w:ascii="宋体" w:hAnsi="宋体" w:eastAsia="宋体" w:cs="宋体"/>
        </w:rPr>
        <w:t>依赖包及版本应在</w:t>
      </w:r>
      <w:r>
        <w:rPr>
          <w:rFonts w:eastAsia="Noto Serif CJK SC"/>
        </w:rPr>
        <w:t xml:space="preserve"> requirements.txt</w:t>
      </w:r>
      <w:r>
        <w:rPr>
          <w:rFonts w:hint="eastAsia" w:ascii="宋体" w:hAnsi="宋体" w:eastAsia="宋体" w:cs="宋体"/>
        </w:rPr>
        <w:t>、</w:t>
      </w:r>
      <w:r>
        <w:rPr>
          <w:rFonts w:eastAsia="Noto Serif CJK SC"/>
        </w:rPr>
        <w:t xml:space="preserve">environment.yml </w:t>
      </w:r>
      <w:r>
        <w:rPr>
          <w:rFonts w:hint="eastAsia" w:ascii="宋体" w:hAnsi="宋体" w:eastAsia="宋体" w:cs="宋体"/>
        </w:rPr>
        <w:t>或依赖锁定文件中列明；</w:t>
      </w:r>
      <w:r>
        <w:rPr>
          <w:rFonts w:eastAsia="Noto Serif CJK SC"/>
        </w:rPr>
        <w:t xml:space="preserve">Python </w:t>
      </w:r>
      <w:r>
        <w:rPr>
          <w:rFonts w:hint="eastAsia" w:ascii="宋体" w:hAnsi="宋体" w:eastAsia="宋体" w:cs="宋体"/>
        </w:rPr>
        <w:t>解释器、操作系统、</w:t>
      </w:r>
      <w:r>
        <w:rPr>
          <w:rFonts w:eastAsia="Noto Serif CJK SC"/>
        </w:rPr>
        <w:t>CUDA</w:t>
      </w:r>
      <w:r>
        <w:rPr>
          <w:rFonts w:hint="eastAsia" w:ascii="宋体" w:hAnsi="宋体" w:eastAsia="宋体" w:cs="宋体"/>
        </w:rPr>
        <w:t>、驱动、系统库和硬件要求应在</w:t>
      </w:r>
      <w:r>
        <w:rPr>
          <w:rFonts w:eastAsia="Noto Serif CJK SC"/>
        </w:rPr>
        <w:t xml:space="preserve"> README</w:t>
      </w:r>
      <w:r>
        <w:rPr>
          <w:rFonts w:hint="eastAsia" w:ascii="宋体" w:hAnsi="宋体" w:eastAsia="宋体" w:cs="宋体"/>
        </w:rPr>
        <w:t>、</w:t>
      </w:r>
      <w:r>
        <w:rPr>
          <w:rFonts w:eastAsia="Noto Serif CJK SC"/>
        </w:rPr>
        <w:t xml:space="preserve">environment.yml </w:t>
      </w:r>
      <w:r>
        <w:rPr>
          <w:rFonts w:hint="eastAsia" w:ascii="宋体" w:hAnsi="宋体" w:eastAsia="宋体" w:cs="宋体"/>
        </w:rPr>
        <w:t>或</w:t>
      </w:r>
      <w:r>
        <w:rPr>
          <w:rFonts w:eastAsia="Noto Serif CJK SC"/>
        </w:rPr>
        <w:t xml:space="preserve"> Dockerfile </w:t>
      </w:r>
      <w:r>
        <w:rPr>
          <w:rFonts w:hint="eastAsia" w:ascii="宋体" w:hAnsi="宋体" w:eastAsia="宋体" w:cs="宋体"/>
        </w:rPr>
        <w:t>中说明。</w:t>
      </w:r>
    </w:p>
    <w:p>
      <w:pPr>
        <w:spacing w:after="90"/>
        <w:ind w:left="480" w:hanging="300"/>
        <w:rPr>
          <w:rFonts w:hint="eastAsia"/>
        </w:rPr>
      </w:pPr>
      <w:r>
        <w:rPr>
          <w:rFonts w:eastAsia="Noto Serif CJK SC"/>
        </w:rPr>
        <w:t>（2）</w:t>
      </w:r>
      <w:r>
        <w:rPr>
          <w:rFonts w:hint="eastAsia" w:ascii="宋体" w:hAnsi="宋体" w:eastAsia="宋体" w:cs="宋体"/>
        </w:rPr>
        <w:t>主运行入口：所有项目应提供一个能够读取规定输入并生成最终结果文件的主运行入口，例如</w:t>
      </w:r>
      <w:r>
        <w:rPr>
          <w:rFonts w:eastAsia="Noto Serif CJK SC"/>
        </w:rPr>
        <w:t xml:space="preserve"> run.sh</w:t>
      </w:r>
      <w:r>
        <w:rPr>
          <w:rFonts w:hint="eastAsia" w:ascii="宋体" w:hAnsi="宋体" w:eastAsia="宋体" w:cs="宋体"/>
        </w:rPr>
        <w:t>、</w:t>
      </w:r>
      <w:r>
        <w:rPr>
          <w:rFonts w:eastAsia="Noto Serif CJK SC"/>
        </w:rPr>
        <w:t>main.py</w:t>
      </w:r>
      <w:r>
        <w:rPr>
          <w:rFonts w:hint="eastAsia" w:ascii="宋体" w:hAnsi="宋体" w:eastAsia="宋体" w:cs="宋体"/>
        </w:rPr>
        <w:t>、</w:t>
      </w:r>
      <w:r>
        <w:rPr>
          <w:rFonts w:eastAsia="Noto Serif CJK SC"/>
        </w:rPr>
        <w:t>predict.py</w:t>
      </w:r>
      <w:r>
        <w:rPr>
          <w:rFonts w:hint="eastAsia" w:ascii="宋体" w:hAnsi="宋体" w:eastAsia="宋体" w:cs="宋体"/>
        </w:rPr>
        <w:t>、</w:t>
      </w:r>
      <w:r>
        <w:rPr>
          <w:rFonts w:eastAsia="Noto Serif CJK SC"/>
        </w:rPr>
        <w:t xml:space="preserve">design.py </w:t>
      </w:r>
      <w:r>
        <w:rPr>
          <w:rFonts w:hint="eastAsia" w:ascii="宋体" w:hAnsi="宋体" w:eastAsia="宋体" w:cs="宋体"/>
        </w:rPr>
        <w:t>或功能等效的运行方式。文件名称不作统一限制，但须在</w:t>
      </w:r>
      <w:r>
        <w:rPr>
          <w:rFonts w:eastAsia="Noto Serif CJK SC"/>
        </w:rPr>
        <w:t xml:space="preserve"> README </w:t>
      </w:r>
      <w:r>
        <w:rPr>
          <w:rFonts w:hint="eastAsia" w:ascii="宋体" w:hAnsi="宋体" w:eastAsia="宋体" w:cs="宋体"/>
        </w:rPr>
        <w:t>中写明完整命令。</w:t>
      </w:r>
    </w:p>
    <w:p>
      <w:pPr>
        <w:spacing w:after="90"/>
        <w:ind w:left="480" w:hanging="300"/>
        <w:rPr>
          <w:rFonts w:hint="eastAsia"/>
        </w:rPr>
      </w:pPr>
      <w:r>
        <w:rPr>
          <w:rFonts w:eastAsia="Noto Serif CJK SC"/>
        </w:rPr>
        <w:t>（3）</w:t>
      </w:r>
      <w:r>
        <w:rPr>
          <w:rFonts w:hint="eastAsia" w:ascii="宋体" w:hAnsi="宋体" w:eastAsia="宋体" w:cs="宋体"/>
        </w:rPr>
        <w:t>训练入口：自行训练或微调模型的项目，应提供训练入口、配置文件、数据划分说明、训练日志和拟用于评测的模型权重；未开展训练或微调的项目不强制提交训练脚本。</w:t>
      </w:r>
    </w:p>
    <w:p>
      <w:pPr>
        <w:spacing w:after="60"/>
        <w:ind w:left="480" w:hanging="300"/>
        <w:rPr>
          <w:rFonts w:hint="eastAsia"/>
        </w:rPr>
      </w:pPr>
      <w:r>
        <w:rPr>
          <w:rFonts w:eastAsia="Noto Serif CJK SC"/>
        </w:rPr>
        <w:t>（4）</w:t>
      </w:r>
      <w:r>
        <w:rPr>
          <w:rFonts w:eastAsia="Noto Serif CJK SC"/>
          <w:b/>
          <w:bCs/>
        </w:rPr>
        <w:t>J</w:t>
      </w:r>
      <w:r>
        <w:rPr>
          <w:rFonts w:eastAsia="Noto Serif CJK SC"/>
          <w:b w:val="0"/>
          <w:bCs w:val="0"/>
        </w:rPr>
        <w:t>upyter Notebook</w:t>
      </w:r>
      <w:r>
        <w:rPr>
          <w:rFonts w:eastAsia="Noto Serif CJK SC"/>
        </w:rPr>
        <w:t>：至少提供一个可执行的 Notebook，</w:t>
      </w:r>
      <w:r>
        <w:rPr>
          <w:rFonts w:hint="eastAsia" w:ascii="宋体" w:hAnsi="宋体" w:eastAsia="宋体" w:cs="宋体"/>
        </w:rPr>
        <w:t>用于展示关键流程；如主运行入口已经能够完整复现流程，</w:t>
      </w:r>
      <w:r>
        <w:rPr>
          <w:rFonts w:eastAsia="Noto Serif CJK SC"/>
        </w:rPr>
        <w:t xml:space="preserve">Notebook </w:t>
      </w:r>
      <w:r>
        <w:rPr>
          <w:rFonts w:hint="eastAsia" w:ascii="宋体" w:hAnsi="宋体" w:eastAsia="宋体" w:cs="宋体"/>
        </w:rPr>
        <w:t>不作为所有项目的强制文件。</w:t>
      </w:r>
      <w:r>
        <w:rPr>
          <w:rFonts w:ascii="Noto Sans CJK SC" w:hAnsi="Noto Sans CJK SC" w:eastAsia="Noto Sans CJK SC" w:cs="Noto Sans CJK SC"/>
          <w:b/>
          <w:bCs/>
          <w:color w:val="auto"/>
          <w:sz w:val="28"/>
          <w:szCs w:val="28"/>
        </w:rPr>
        <w:t>三、可复现性与溯源要求</w:t>
      </w:r>
    </w:p>
    <w:p>
      <w:pPr>
        <w:spacing w:after="120"/>
        <w:ind w:firstLine="480"/>
        <w:rPr>
          <w:rFonts w:hint="eastAsia"/>
        </w:rPr>
      </w:pPr>
      <w:r>
        <w:rPr>
          <w:rFonts w:eastAsia="Noto Serif CJK SC"/>
        </w:rPr>
        <w:t>为保障结果真实、可复现，代码与模型附件应包含用于核验原创性与可复现性的信息：</w:t>
      </w:r>
    </w:p>
    <w:p>
      <w:pPr>
        <w:spacing w:after="90"/>
        <w:ind w:left="480" w:hanging="220"/>
        <w:rPr>
          <w:rFonts w:hint="eastAsia"/>
        </w:rPr>
      </w:pPr>
      <w:r>
        <w:rPr>
          <w:rFonts w:eastAsia="Noto Serif CJK SC"/>
          <w:b/>
          <w:bCs/>
          <w:color w:val="1F3864"/>
        </w:rPr>
        <w:t xml:space="preserve">— </w:t>
      </w:r>
      <w:r>
        <w:rPr>
          <w:rFonts w:eastAsia="Noto Serif CJK SC"/>
          <w:b/>
          <w:bCs/>
        </w:rPr>
        <w:t>数据：</w:t>
      </w:r>
      <w:r>
        <w:rPr>
          <w:rFonts w:eastAsia="Noto Serif CJK SC"/>
        </w:rPr>
        <w:t>数据集来源与使用许可、数据清洗与预处理记录、训练集/验证集/测试集划分方式；</w:t>
      </w:r>
      <w:r>
        <w:rPr>
          <w:rFonts w:hint="eastAsia" w:ascii="宋体" w:hAnsi="宋体" w:eastAsia="宋体" w:cs="宋体"/>
        </w:rPr>
        <w:t>应完整披露预训练、训练、验证、测试、微调及外部数据的名称、版本、获取时间和用途，并说明去重与数据泄漏防控措施。对于未公开的隐藏评测集，参赛队伍承担如实披露和合理防控义务，赛事组织方负责隐藏评测集的构建、保密和重叠核验</w:t>
      </w:r>
      <w:r>
        <w:rPr>
          <w:rFonts w:eastAsia="Noto Serif CJK SC"/>
        </w:rPr>
        <w:t>。</w:t>
      </w:r>
    </w:p>
    <w:p>
      <w:pPr>
        <w:spacing w:after="90"/>
        <w:ind w:left="480" w:hanging="220"/>
        <w:rPr>
          <w:rFonts w:hint="eastAsia"/>
        </w:rPr>
      </w:pPr>
      <w:r>
        <w:rPr>
          <w:rFonts w:eastAsia="Noto Serif CJK SC"/>
          <w:b/>
          <w:bCs/>
          <w:color w:val="1F3864"/>
        </w:rPr>
        <w:t xml:space="preserve">— </w:t>
      </w:r>
      <w:r>
        <w:rPr>
          <w:rFonts w:eastAsia="Noto Serif CJK SC"/>
          <w:b/>
          <w:bCs/>
        </w:rPr>
        <w:t>训练：</w:t>
      </w:r>
      <w:r>
        <w:rPr>
          <w:rFonts w:eastAsia="Noto Serif CJK SC"/>
        </w:rPr>
        <w:t>模型结构与关键参数、训练与验证日志、随机种子设置、运行硬件与耗时。</w:t>
      </w:r>
    </w:p>
    <w:p>
      <w:pPr>
        <w:spacing w:after="90"/>
        <w:ind w:left="480" w:hanging="220"/>
        <w:rPr>
          <w:rFonts w:hint="eastAsia"/>
        </w:rPr>
      </w:pPr>
      <w:r>
        <w:rPr>
          <w:rFonts w:eastAsia="Noto Serif CJK SC"/>
          <w:b/>
          <w:bCs/>
          <w:color w:val="1F3864"/>
        </w:rPr>
        <w:t xml:space="preserve">— </w:t>
      </w:r>
      <w:r>
        <w:rPr>
          <w:rFonts w:eastAsia="Noto Serif CJK SC"/>
          <w:b/>
          <w:bCs/>
        </w:rPr>
        <w:t>模型：</w:t>
      </w:r>
      <w:r>
        <w:rPr>
          <w:rFonts w:eastAsia="Noto Serif CJK SC"/>
        </w:rPr>
        <w:t>最终模型权重或平台操作记录，并提供模型说明文件（Model Card），说明适用范围、输入输出与已知局限。</w:t>
      </w:r>
    </w:p>
    <w:p>
      <w:pPr>
        <w:spacing w:after="90"/>
        <w:ind w:left="480" w:hanging="220"/>
        <w:rPr>
          <w:rFonts w:hint="eastAsia"/>
        </w:rPr>
      </w:pPr>
      <w:r>
        <w:rPr>
          <w:rFonts w:eastAsia="Noto Serif CJK SC"/>
          <w:b/>
          <w:bCs/>
          <w:color w:val="1F3864"/>
        </w:rPr>
        <w:t xml:space="preserve">— </w:t>
      </w:r>
      <w:r>
        <w:rPr>
          <w:rFonts w:eastAsia="Noto Serif CJK SC"/>
          <w:b/>
          <w:bCs/>
        </w:rPr>
        <w:t>结果：</w:t>
      </w:r>
      <w:r>
        <w:rPr>
          <w:rFonts w:eastAsia="Noto Serif CJK SC"/>
        </w:rPr>
        <w:t>候选分子/工具/载体的预测结果、排序逻辑与必要的不确定性分析。</w:t>
      </w:r>
    </w:p>
    <w:p>
      <w:pPr>
        <w:spacing w:after="60"/>
        <w:ind w:left="480" w:hanging="220"/>
        <w:rPr>
          <w:rFonts w:hint="eastAsia"/>
        </w:rPr>
      </w:pPr>
      <w:r>
        <w:rPr>
          <w:rFonts w:eastAsia="Noto Serif CJK SC"/>
          <w:b/>
          <w:bCs/>
          <w:color w:val="1F3864"/>
        </w:rPr>
        <w:t xml:space="preserve">— </w:t>
      </w:r>
      <w:r>
        <w:rPr>
          <w:rFonts w:eastAsia="Noto Serif CJK SC"/>
          <w:b/>
          <w:bCs/>
        </w:rPr>
        <w:t>第三方模型/平台：</w:t>
      </w:r>
      <w:r>
        <w:rPr>
          <w:rFonts w:eastAsia="Noto Serif CJK SC"/>
        </w:rPr>
        <w:t>使用开源模型、第三方软件或商业平台的，应说明其名称、版本、调用时间、输入信息与关键参数，并标注来源与使用许可。</w:t>
      </w:r>
      <w:r>
        <w:rPr>
          <w:rFonts w:hint="eastAsia" w:ascii="宋体" w:hAnsi="宋体" w:eastAsia="宋体" w:cs="宋体"/>
        </w:rPr>
        <w:t>使用</w:t>
      </w:r>
      <w:r>
        <w:rPr>
          <w:rFonts w:eastAsia="Noto Serif CJK SC"/>
        </w:rPr>
        <w:t xml:space="preserve"> API </w:t>
      </w:r>
      <w:r>
        <w:rPr>
          <w:rFonts w:hint="eastAsia" w:ascii="宋体" w:hAnsi="宋体" w:eastAsia="宋体" w:cs="宋体"/>
        </w:rPr>
        <w:t>或商业平台的，还应保存必要的提示词、调用参数、输入输出和调用日志。</w:t>
      </w:r>
    </w:p>
    <w:p>
      <w:pPr>
        <w:keepNext/>
        <w:pBdr>
          <w:bottom w:val="single" w:color="AEC1D8" w:sz="8" w:space="4"/>
        </w:pBdr>
        <w:spacing w:before="300" w:after="150" w:line="340" w:lineRule="auto"/>
        <w:rPr>
          <w:rFonts w:hint="eastAsia"/>
          <w:color w:val="auto"/>
        </w:rPr>
      </w:pPr>
      <w:r>
        <w:rPr>
          <w:rFonts w:ascii="Noto Sans CJK SC" w:hAnsi="Noto Sans CJK SC" w:eastAsia="Noto Sans CJK SC" w:cs="Noto Sans CJK SC"/>
          <w:b/>
          <w:bCs/>
          <w:color w:val="auto"/>
          <w:sz w:val="28"/>
          <w:szCs w:val="28"/>
        </w:rPr>
        <w:t>四、最终结果文件</w:t>
      </w:r>
    </w:p>
    <w:p>
      <w:pPr>
        <w:spacing w:after="120"/>
        <w:ind w:firstLine="480"/>
        <w:rPr>
          <w:rFonts w:hint="eastAsia"/>
        </w:rPr>
      </w:pPr>
      <w:r>
        <w:rPr>
          <w:rFonts w:hint="eastAsia" w:eastAsia="Noto Serif CJK SC"/>
        </w:rPr>
        <w:t>主运行入口应能一键生成标准化的最终结果文件</w:t>
      </w:r>
      <w:r>
        <w:rPr>
          <w:rFonts w:eastAsia="Noto Serif CJK SC"/>
        </w:rPr>
        <w:t>，作为候选分子/工具/载体清单，供筹办方复核：</w:t>
      </w:r>
    </w:p>
    <w:p>
      <w:pPr>
        <w:spacing w:after="90"/>
        <w:ind w:left="480" w:hanging="220"/>
        <w:rPr>
          <w:rFonts w:hint="eastAsia"/>
        </w:rPr>
      </w:pPr>
      <w:r>
        <w:rPr>
          <w:rFonts w:eastAsia="Noto Serif CJK SC"/>
          <w:b/>
          <w:bCs/>
          <w:color w:val="1F3864"/>
        </w:rPr>
        <w:t xml:space="preserve">— </w:t>
      </w:r>
      <w:r>
        <w:rPr>
          <w:rFonts w:eastAsia="Noto Serif CJK SC"/>
          <w:b/>
          <w:bCs/>
        </w:rPr>
        <w:t>命名与格式：</w:t>
      </w:r>
      <w:r>
        <w:rPr>
          <w:rFonts w:eastAsia="Noto Serif CJK SC"/>
        </w:rPr>
        <w:t>以大赛官网发布的《候选清单/提交模板》为准；未另行规定时，</w:t>
      </w:r>
      <w:r>
        <w:rPr>
          <w:rFonts w:hint="eastAsia" w:ascii="宋体" w:hAnsi="宋体" w:eastAsia="宋体" w:cs="宋体"/>
        </w:rPr>
        <w:t>默认输出为符合模板要求的</w:t>
      </w:r>
      <w:r>
        <w:rPr>
          <w:rFonts w:eastAsia="Noto Serif CJK SC"/>
        </w:rPr>
        <w:t xml:space="preserve"> results.xlsx</w:t>
      </w:r>
      <w:r>
        <w:rPr>
          <w:rFonts w:hint="eastAsia" w:ascii="宋体" w:hAnsi="宋体" w:eastAsia="宋体" w:cs="宋体"/>
        </w:rPr>
        <w:t>，或采用</w:t>
      </w:r>
      <w:r>
        <w:rPr>
          <w:rFonts w:eastAsia="Noto Serif CJK SC"/>
        </w:rPr>
        <w:t xml:space="preserve"> UTF-8 </w:t>
      </w:r>
      <w:r>
        <w:rPr>
          <w:rFonts w:hint="eastAsia" w:ascii="宋体" w:hAnsi="宋体" w:eastAsia="宋体" w:cs="宋体"/>
        </w:rPr>
        <w:t>编码的</w:t>
      </w:r>
      <w:r>
        <w:rPr>
          <w:rFonts w:eastAsia="Noto Serif CJK SC"/>
        </w:rPr>
        <w:t xml:space="preserve"> results.csv。</w:t>
      </w:r>
    </w:p>
    <w:p>
      <w:pPr>
        <w:spacing w:after="90"/>
        <w:ind w:left="480" w:hanging="220"/>
        <w:rPr>
          <w:rFonts w:hint="eastAsia"/>
        </w:rPr>
      </w:pPr>
      <w:r>
        <w:rPr>
          <w:rFonts w:eastAsia="Noto Serif CJK SC"/>
          <w:b/>
          <w:bCs/>
          <w:color w:val="1F3864"/>
        </w:rPr>
        <w:t xml:space="preserve">— </w:t>
      </w:r>
      <w:r>
        <w:rPr>
          <w:rFonts w:hint="eastAsia" w:ascii="宋体" w:hAnsi="宋体" w:eastAsia="宋体" w:cs="宋体"/>
          <w:b/>
          <w:bCs/>
        </w:rPr>
        <w:t>必填</w:t>
      </w:r>
      <w:r>
        <w:rPr>
          <w:rFonts w:eastAsia="Noto Serif CJK SC"/>
          <w:b/>
          <w:bCs/>
        </w:rPr>
        <w:t>字段：</w:t>
      </w:r>
      <w:r>
        <w:rPr>
          <w:rFonts w:eastAsia="Noto Serif CJK SC"/>
        </w:rPr>
        <w:t>至少包含候选编号、所属赛道、候选序列/SMILES/结构或组分信息、关键预测指标（如结合亲和力、活性、编辑效率、递送效率等）、对应模型与运行版本、备注。</w:t>
      </w:r>
      <w:r>
        <w:rPr>
          <w:rFonts w:hint="eastAsia" w:ascii="宋体" w:hAnsi="宋体" w:eastAsia="宋体" w:cs="宋体"/>
        </w:rPr>
        <w:t>各赛道提交模板应进一步规定字段名称、数据类型、单位、缺失值规则、候选数量、排序方式和数值精度。</w:t>
      </w:r>
    </w:p>
    <w:p>
      <w:pPr>
        <w:spacing w:after="60"/>
        <w:ind w:left="480" w:hanging="220"/>
        <w:rPr>
          <w:rFonts w:hint="eastAsia"/>
        </w:rPr>
      </w:pPr>
      <w:r>
        <w:rPr>
          <w:rFonts w:eastAsia="Noto Serif CJK SC"/>
          <w:b/>
          <w:bCs/>
          <w:color w:val="1F3864"/>
        </w:rPr>
        <w:t xml:space="preserve">— </w:t>
      </w:r>
      <w:r>
        <w:rPr>
          <w:rFonts w:eastAsia="Noto Serif CJK SC"/>
          <w:b/>
          <w:bCs/>
        </w:rPr>
        <w:t>结构文件：</w:t>
      </w:r>
      <w:r>
        <w:rPr>
          <w:rFonts w:eastAsia="Noto Serif CJK SC"/>
        </w:rPr>
        <w:t>涉及三维结构的，随附结构文件（如 PDB/CIF），并在清单中标注对应文件名。</w:t>
      </w:r>
      <w:r>
        <w:rPr>
          <w:rFonts w:hint="eastAsia" w:ascii="宋体" w:hAnsi="宋体" w:eastAsia="宋体" w:cs="宋体"/>
        </w:rPr>
        <w:t>各赛道应明确结构文件的命名规则、坐标单位、链编号、质子化状态及其他必要规范。</w:t>
      </w:r>
    </w:p>
    <w:p>
      <w:pPr>
        <w:keepNext/>
        <w:pBdr>
          <w:bottom w:val="single" w:color="AEC1D8" w:sz="8" w:space="4"/>
        </w:pBdr>
        <w:spacing w:before="300" w:after="150" w:line="340" w:lineRule="auto"/>
        <w:rPr>
          <w:rFonts w:hint="eastAsia"/>
          <w:color w:val="auto"/>
        </w:rPr>
      </w:pPr>
      <w:r>
        <w:rPr>
          <w:rFonts w:ascii="Noto Sans CJK SC" w:hAnsi="Noto Sans CJK SC" w:eastAsia="Noto Sans CJK SC" w:cs="Noto Sans CJK SC"/>
          <w:b/>
          <w:bCs/>
          <w:color w:val="auto"/>
          <w:sz w:val="28"/>
          <w:szCs w:val="28"/>
        </w:rPr>
        <w:t>五、特殊情形说明</w:t>
      </w:r>
    </w:p>
    <w:p>
      <w:pPr>
        <w:spacing w:after="90"/>
        <w:ind w:left="480" w:hanging="220"/>
        <w:rPr>
          <w:rFonts w:hint="eastAsia"/>
        </w:rPr>
      </w:pPr>
      <w:r>
        <w:rPr>
          <w:rFonts w:eastAsia="Noto Serif CJK SC"/>
          <w:b/>
          <w:bCs/>
          <w:color w:val="1F3864"/>
        </w:rPr>
        <w:t xml:space="preserve">— </w:t>
      </w:r>
      <w:r>
        <w:rPr>
          <w:rFonts w:eastAsia="Noto Serif CJK SC"/>
          <w:b/>
          <w:bCs/>
        </w:rPr>
        <w:t>仅用开源预训练模型：</w:t>
      </w:r>
      <w:r>
        <w:rPr>
          <w:rFonts w:hint="eastAsia" w:ascii="宋体" w:hAnsi="宋体" w:eastAsia="宋体" w:cs="宋体"/>
        </w:rPr>
        <w:t>未开展训练或微调的，应在报告与</w:t>
      </w:r>
      <w:r>
        <w:rPr>
          <w:rFonts w:eastAsia="Noto Serif CJK SC"/>
        </w:rPr>
        <w:t xml:space="preserve"> README </w:t>
      </w:r>
      <w:r>
        <w:rPr>
          <w:rFonts w:hint="eastAsia" w:ascii="宋体" w:hAnsi="宋体" w:eastAsia="宋体" w:cs="宋体"/>
        </w:rPr>
        <w:t>中说明模型名称、版本、调用方式、参数设置、结果生成流程及本项目的创新贡献，并提供能够生成最终结果文件的主运行入口。</w:t>
      </w:r>
    </w:p>
    <w:p>
      <w:pPr>
        <w:spacing w:after="90"/>
        <w:ind w:left="480" w:hanging="220"/>
        <w:rPr>
          <w:rFonts w:hint="eastAsia"/>
        </w:rPr>
      </w:pPr>
      <w:r>
        <w:rPr>
          <w:rFonts w:eastAsia="Noto Serif CJK SC"/>
          <w:b/>
          <w:bCs/>
          <w:color w:val="1F3864"/>
        </w:rPr>
        <w:t xml:space="preserve">— </w:t>
      </w:r>
      <w:r>
        <w:rPr>
          <w:rFonts w:eastAsia="Noto Serif CJK SC"/>
          <w:b/>
          <w:bCs/>
        </w:rPr>
        <w:t>非自训练或传统方案：</w:t>
      </w:r>
      <w:r>
        <w:rPr>
          <w:rFonts w:eastAsia="Noto Serif CJK SC"/>
        </w:rPr>
        <w:t>使用非自训练模型或传统（非深度学习）方案的，应在报告中进行说明，</w:t>
      </w:r>
      <w:r>
        <w:rPr>
          <w:rFonts w:hint="eastAsia" w:ascii="宋体" w:hAnsi="宋体" w:eastAsia="宋体" w:cs="宋体"/>
        </w:rPr>
        <w:t>并提供能够复核核心计算流程和生成最终结果的代码、脚本、工作流或其他功能等效材料</w:t>
      </w:r>
      <w:r>
        <w:rPr>
          <w:rFonts w:eastAsia="Noto Serif CJK SC"/>
        </w:rPr>
        <w:t>。</w:t>
      </w:r>
    </w:p>
    <w:p>
      <w:pPr>
        <w:spacing w:after="60"/>
        <w:ind w:left="480" w:hanging="220"/>
        <w:rPr>
          <w:rFonts w:hint="eastAsia"/>
        </w:rPr>
      </w:pPr>
      <w:r>
        <w:rPr>
          <w:rFonts w:eastAsia="Noto Serif CJK SC"/>
          <w:b/>
          <w:bCs/>
          <w:color w:val="1F3864"/>
        </w:rPr>
        <w:t xml:space="preserve">— </w:t>
      </w:r>
      <w:r>
        <w:rPr>
          <w:rFonts w:eastAsia="Noto Serif CJK SC"/>
          <w:b/>
          <w:bCs/>
        </w:rPr>
        <w:t>数据或资源受限：</w:t>
      </w:r>
      <w:r>
        <w:rPr>
          <w:rFonts w:eastAsia="Noto Serif CJK SC"/>
        </w:rPr>
        <w:t>不上传原始受限数据，但须提供数据来源、获取方式与许可说明，以及可复现的完整流程。</w:t>
      </w:r>
    </w:p>
    <w:p>
      <w:pPr>
        <w:keepNext/>
        <w:pBdr>
          <w:bottom w:val="single" w:color="AEC1D8" w:sz="8" w:space="4"/>
        </w:pBdr>
        <w:spacing w:before="300" w:after="150" w:line="340" w:lineRule="auto"/>
        <w:rPr>
          <w:rFonts w:hint="eastAsia"/>
          <w:color w:val="auto"/>
        </w:rPr>
      </w:pPr>
      <w:r>
        <w:rPr>
          <w:rFonts w:ascii="Noto Sans CJK SC" w:hAnsi="Noto Sans CJK SC" w:eastAsia="Noto Sans CJK SC" w:cs="Noto Sans CJK SC"/>
          <w:b/>
          <w:bCs/>
          <w:color w:val="auto"/>
          <w:sz w:val="28"/>
          <w:szCs w:val="28"/>
        </w:rPr>
        <w:t>六、代码规范与知识产权</w:t>
      </w:r>
    </w:p>
    <w:p>
      <w:pPr>
        <w:spacing w:after="90"/>
        <w:ind w:left="480" w:hanging="220"/>
        <w:rPr>
          <w:rFonts w:hint="eastAsia"/>
        </w:rPr>
      </w:pPr>
      <w:r>
        <w:rPr>
          <w:rFonts w:eastAsia="Noto Serif CJK SC"/>
          <w:b/>
          <w:bCs/>
          <w:color w:val="1F3864"/>
        </w:rPr>
        <w:t xml:space="preserve">— </w:t>
      </w:r>
      <w:r>
        <w:rPr>
          <w:rFonts w:eastAsia="Noto Serif CJK SC"/>
          <w:b/>
          <w:bCs/>
        </w:rPr>
        <w:t>规范与稳健：</w:t>
      </w:r>
      <w:r>
        <w:rPr>
          <w:rFonts w:eastAsia="Noto Serif CJK SC"/>
        </w:rPr>
        <w:t>代码结构清晰、命名规范、核心逻辑有注释；避免硬编码绝对路径，使用相对路径或配置文件；固定随机种子以尽量保证结果可复现，并说明预期运行时间与资源需求。</w:t>
      </w:r>
    </w:p>
    <w:p>
      <w:pPr>
        <w:spacing w:after="90"/>
        <w:ind w:left="480" w:hanging="220"/>
        <w:rPr>
          <w:rFonts w:hint="eastAsia"/>
        </w:rPr>
      </w:pPr>
      <w:r>
        <w:rPr>
          <w:rFonts w:eastAsia="Noto Serif CJK SC"/>
          <w:b/>
          <w:bCs/>
          <w:color w:val="1F3864"/>
        </w:rPr>
        <w:t xml:space="preserve">— </w:t>
      </w:r>
      <w:r>
        <w:rPr>
          <w:rFonts w:eastAsia="Noto Serif CJK SC"/>
          <w:b/>
          <w:bCs/>
        </w:rPr>
        <w:t>原创与合规：</w:t>
      </w:r>
      <w:r>
        <w:rPr>
          <w:rFonts w:eastAsia="Noto Serif CJK SC"/>
        </w:rPr>
        <w:t>保证作品原创性，不侵犯他人知识产权、数据权益或商业秘密；使用公共数据集、开源模型或第三方平台的，应准确标注来源、版本与使用方式。</w:t>
      </w:r>
    </w:p>
    <w:p>
      <w:pPr>
        <w:spacing w:after="60"/>
        <w:ind w:left="480" w:hanging="220"/>
        <w:rPr>
          <w:rFonts w:hint="eastAsia"/>
        </w:rPr>
      </w:pPr>
      <w:r>
        <w:rPr>
          <w:rFonts w:eastAsia="Noto Serif CJK SC"/>
          <w:b/>
          <w:bCs/>
          <w:color w:val="1F3864"/>
        </w:rPr>
        <w:t xml:space="preserve">— </w:t>
      </w:r>
      <w:r>
        <w:rPr>
          <w:rFonts w:eastAsia="Noto Serif CJK SC"/>
          <w:b/>
          <w:bCs/>
        </w:rPr>
        <w:t>开源共享：</w:t>
      </w:r>
      <w:r>
        <w:rPr>
          <w:rFonts w:eastAsia="Noto Serif CJK SC"/>
        </w:rPr>
        <w:t>鼓励在保护必要知识产权、遵守数据许可的前提下，将模型、代码、设计流程与数据提交至大赛公共平台；对具有知识产权保护价值的成果，可在完成专利申请或成果登记后再公开共享。</w:t>
      </w:r>
    </w:p>
    <w:p>
      <w:pPr>
        <w:keepNext/>
        <w:pBdr>
          <w:bottom w:val="single" w:color="AEC1D8" w:sz="8" w:space="4"/>
        </w:pBdr>
        <w:spacing w:before="300" w:after="150" w:line="340" w:lineRule="auto"/>
        <w:rPr>
          <w:rFonts w:hint="eastAsia"/>
          <w:color w:val="auto"/>
        </w:rPr>
      </w:pPr>
      <w:r>
        <w:rPr>
          <w:rFonts w:ascii="Noto Sans CJK SC" w:hAnsi="Noto Sans CJK SC" w:eastAsia="Noto Sans CJK SC" w:cs="Noto Sans CJK SC"/>
          <w:b/>
          <w:bCs/>
          <w:color w:val="auto"/>
          <w:sz w:val="28"/>
          <w:szCs w:val="28"/>
        </w:rPr>
        <w:t>七、真实性核验</w:t>
      </w:r>
    </w:p>
    <w:p>
      <w:pPr>
        <w:spacing w:after="120"/>
        <w:ind w:firstLine="480"/>
        <w:rPr>
          <w:rFonts w:hint="eastAsia"/>
        </w:rPr>
      </w:pPr>
      <w:r>
        <w:rPr>
          <w:rFonts w:eastAsia="Noto Serif CJK SC"/>
        </w:rPr>
        <w:t>大赛保留对代码与模型进行运行复核的权利：评测与展示平台将依据 README 与 requirements.txt 配置环境并运行 predict.py 等脚本，核对运行结果与提交清单的一致性；答辩环节可就代码逻辑、数据来源、数据泄漏防控与参数设置进行质询。发现数据造假、结果无法复现或无法合理溯源的，取消参赛或获奖资格。</w:t>
      </w:r>
    </w:p>
    <w:p>
      <w:pPr>
        <w:pBdr>
          <w:top w:val="single" w:color="AEC1D8" w:sz="6" w:space="6"/>
        </w:pBdr>
        <w:spacing w:before="60" w:after="40"/>
        <w:rPr>
          <w:rFonts w:hint="eastAsia"/>
        </w:rPr>
      </w:pPr>
    </w:p>
    <w:p>
      <w:pPr>
        <w:spacing w:after="40"/>
        <w:jc w:val="center"/>
        <w:rPr>
          <w:rFonts w:hint="eastAsia"/>
        </w:rPr>
      </w:pPr>
      <w:r>
        <w:rPr>
          <w:rFonts w:eastAsia="Noto Serif CJK SC"/>
          <w:color w:val="404040"/>
        </w:rPr>
        <w:t>本说明与</w:t>
      </w:r>
      <w:commentRangeStart w:id="0"/>
      <w:r>
        <w:rPr>
          <w:rFonts w:eastAsia="Noto Serif CJK SC"/>
          <w:color w:val="404040"/>
        </w:rPr>
        <w:t>各赛道实施细则、《提交模板》</w:t>
      </w:r>
      <w:commentRangeEnd w:id="0"/>
      <w:r>
        <w:commentReference w:id="0"/>
      </w:r>
      <w:r>
        <w:rPr>
          <w:rFonts w:hint="eastAsia"/>
          <w:lang w:val="en-US" w:eastAsia="zh-CN"/>
        </w:rPr>
        <w:t>及</w:t>
      </w:r>
      <w:r>
        <w:rPr>
          <w:rFonts w:eastAsia="Noto Serif CJK SC"/>
          <w:color w:val="404040"/>
        </w:rPr>
        <w:t>《知识产权说明》配套使用，如有不一致，以大赛官网发布的最新版本为准。</w:t>
      </w:r>
    </w:p>
    <w:sectPr>
      <w:footerReference r:id="rId7" w:type="default"/>
      <w:pgSz w:w="11906" w:h="16838"/>
      <w:pgMar w:top="1440" w:right="1440" w:bottom="1440" w:left="1440" w:header="708" w:footer="708"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ack LV" w:date="2026-07-22T00:19:40Z" w:initials="">
    <w:p w14:paraId="53FDE222">
      <w:pPr>
        <w:pStyle w:val="8"/>
        <w:rPr>
          <w:rFonts w:hint="default" w:eastAsiaTheme="minorEastAsia"/>
          <w:lang w:val="en-US" w:eastAsia="zh-CN"/>
        </w:rPr>
      </w:pPr>
      <w:r>
        <w:rPr>
          <w:rFonts w:hint="eastAsia"/>
          <w:lang w:val="en-US" w:eastAsia="zh-CN"/>
        </w:rPr>
        <w:t>是否有这两份材料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3FDE22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Noto Serif CJK SC">
    <w:altName w:val="苹方-简"/>
    <w:panose1 w:val="00000000000000000000"/>
    <w:charset w:val="00"/>
    <w:family w:val="roman"/>
    <w:pitch w:val="default"/>
    <w:sig w:usb0="00000000" w:usb1="00000000" w:usb2="00000000" w:usb3="00000000" w:csb0="00000000" w:csb1="00000000"/>
  </w:font>
  <w:font w:name="Noto Sans CJK SC">
    <w:altName w:val="苹方-简"/>
    <w:panose1 w:val="00000000000000000000"/>
    <w:charset w:val="00"/>
    <w:family w:val="roman"/>
    <w:pitch w:val="default"/>
    <w:sig w:usb0="00000000" w:usb1="00000000" w:usb2="00000000" w:usb3="00000000" w:csb0="00000000" w:csb1="00000000"/>
  </w:font>
  <w:font w:name="SimHei">
    <w:altName w:val="汉仪中黑KW"/>
    <w:panose1 w:val="02010609060101010101"/>
    <w:charset w:val="86"/>
    <w:family w:val="auto"/>
    <w:pitch w:val="default"/>
    <w:sig w:usb0="00000000" w:usb1="00000000" w:usb2="00000016" w:usb3="00000000" w:csb0="00040001" w:csb1="00000000"/>
  </w:font>
  <w:font w:name="Noto Sans Mono CJK SC">
    <w:altName w:val="苹方-简"/>
    <w:panose1 w:val="00000000000000000000"/>
    <w:charset w:val="00"/>
    <w:family w:val="roman"/>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hint="eastAsia"/>
      </w:rPr>
    </w:pPr>
    <w:r>
      <w:rPr>
        <w:sz w:val="20"/>
        <w:szCs w:val="20"/>
      </w:rPr>
      <w:fldChar w:fldCharType="begin"/>
    </w:r>
    <w:r>
      <w:rPr>
        <w:rFonts w:eastAsia="Noto Serif CJK SC"/>
        <w:sz w:val="20"/>
        <w:szCs w:val="20"/>
      </w:rPr>
      <w:instrText xml:space="preserve">PAGE</w:instrText>
    </w:r>
    <w:r>
      <w:rPr>
        <w:sz w:val="20"/>
        <w:szCs w:val="20"/>
      </w:rPr>
      <w:fldChar w:fldCharType="separate"/>
    </w:r>
    <w:r>
      <w:rPr>
        <w:rFonts w:eastAsia="Noto Serif CJK SC"/>
        <w:sz w:val="20"/>
        <w:szCs w:val="20"/>
      </w:rPr>
      <w:t>1</w:t>
    </w:r>
    <w:r>
      <w:rPr>
        <w:sz w:val="20"/>
        <w:szCs w:val="20"/>
      </w:rPr>
      <w:fldChar w:fldCharType="end"/>
    </w:r>
    <w:r>
      <w:rPr>
        <w:rFonts w:eastAsia="Noto Serif CJK SC"/>
        <w:sz w:val="20"/>
        <w:szCs w:val="20"/>
      </w:rPr>
      <w:t xml:space="preserve"> / </w:t>
    </w:r>
    <w:r>
      <w:rPr>
        <w:sz w:val="20"/>
        <w:szCs w:val="20"/>
      </w:rPr>
      <w:fldChar w:fldCharType="begin"/>
    </w:r>
    <w:r>
      <w:rPr>
        <w:rFonts w:eastAsia="Noto Serif CJK SC"/>
        <w:sz w:val="20"/>
        <w:szCs w:val="20"/>
      </w:rPr>
      <w:instrText xml:space="preserve">NUMPAGES</w:instrText>
    </w:r>
    <w:r>
      <w:rPr>
        <w:sz w:val="20"/>
        <w:szCs w:val="20"/>
      </w:rPr>
      <w:fldChar w:fldCharType="separate"/>
    </w:r>
    <w:r>
      <w:rPr>
        <w:rFonts w:eastAsia="Noto Serif CJK SC"/>
        <w:sz w:val="20"/>
        <w:szCs w:val="20"/>
      </w:rPr>
      <w:t>2</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ack LV">
    <w15:presenceInfo w15:providerId="WPS Office" w15:userId="28881897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BF3"/>
    <w:rsid w:val="00032E69"/>
    <w:rsid w:val="000F3D69"/>
    <w:rsid w:val="00240D49"/>
    <w:rsid w:val="00355E29"/>
    <w:rsid w:val="00830408"/>
    <w:rsid w:val="00911BF3"/>
    <w:rsid w:val="009133F3"/>
    <w:rsid w:val="009710FC"/>
    <w:rsid w:val="00AB1B6C"/>
    <w:rsid w:val="00CA2F02"/>
    <w:rsid w:val="00D43D0E"/>
    <w:rsid w:val="00F02200"/>
    <w:rsid w:val="00F3091E"/>
    <w:rsid w:val="CF9FC403"/>
    <w:rsid w:val="EFCF4B69"/>
    <w:rsid w:val="F7F385EE"/>
    <w:rsid w:val="FDFCA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Noto Serif CJK SC" w:hAnsi="Noto Serif CJK SC" w:eastAsiaTheme="minorEastAsia" w:cs="Noto Serif CJK S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pPr>
    <w:rPr>
      <w:rFonts w:ascii="Noto Serif CJK SC" w:hAnsi="Noto Serif CJK SC" w:cs="Noto Serif CJK SC" w:eastAsiaTheme="minorEastAsia"/>
      <w:color w:val="000000"/>
      <w:sz w:val="24"/>
      <w:szCs w:val="24"/>
      <w:lang w:val="en-US" w:eastAsia="zh-CN" w:bidi="ar-SA"/>
    </w:rPr>
  </w:style>
  <w:style w:type="paragraph" w:styleId="2">
    <w:name w:val="heading 1"/>
    <w:qFormat/>
    <w:uiPriority w:val="9"/>
    <w:pPr>
      <w:spacing w:line="360" w:lineRule="auto"/>
      <w:outlineLvl w:val="0"/>
    </w:pPr>
    <w:rPr>
      <w:rFonts w:ascii="Noto Serif CJK SC" w:hAnsi="Noto Serif CJK SC" w:cs="Noto Serif CJK SC" w:eastAsiaTheme="minorEastAsia"/>
      <w:color w:val="2E74B5"/>
      <w:sz w:val="32"/>
      <w:szCs w:val="32"/>
      <w:lang w:val="en-US" w:eastAsia="zh-CN" w:bidi="ar-SA"/>
    </w:rPr>
  </w:style>
  <w:style w:type="paragraph" w:styleId="3">
    <w:name w:val="heading 2"/>
    <w:semiHidden/>
    <w:unhideWhenUsed/>
    <w:qFormat/>
    <w:uiPriority w:val="9"/>
    <w:pPr>
      <w:spacing w:line="360" w:lineRule="auto"/>
      <w:outlineLvl w:val="1"/>
    </w:pPr>
    <w:rPr>
      <w:rFonts w:ascii="Noto Serif CJK SC" w:hAnsi="Noto Serif CJK SC" w:cs="Noto Serif CJK SC" w:eastAsiaTheme="minorEastAsia"/>
      <w:color w:val="2E74B5"/>
      <w:sz w:val="26"/>
      <w:szCs w:val="26"/>
      <w:lang w:val="en-US" w:eastAsia="zh-CN" w:bidi="ar-SA"/>
    </w:rPr>
  </w:style>
  <w:style w:type="paragraph" w:styleId="4">
    <w:name w:val="heading 3"/>
    <w:semiHidden/>
    <w:unhideWhenUsed/>
    <w:qFormat/>
    <w:uiPriority w:val="9"/>
    <w:pPr>
      <w:spacing w:line="360" w:lineRule="auto"/>
      <w:outlineLvl w:val="2"/>
    </w:pPr>
    <w:rPr>
      <w:rFonts w:ascii="Noto Serif CJK SC" w:hAnsi="Noto Serif CJK SC" w:cs="Noto Serif CJK SC" w:eastAsiaTheme="minorEastAsia"/>
      <w:color w:val="1F4D78"/>
      <w:sz w:val="24"/>
      <w:szCs w:val="24"/>
      <w:lang w:val="en-US" w:eastAsia="zh-CN" w:bidi="ar-SA"/>
    </w:rPr>
  </w:style>
  <w:style w:type="paragraph" w:styleId="5">
    <w:name w:val="heading 4"/>
    <w:semiHidden/>
    <w:unhideWhenUsed/>
    <w:qFormat/>
    <w:uiPriority w:val="9"/>
    <w:pPr>
      <w:spacing w:line="360" w:lineRule="auto"/>
      <w:outlineLvl w:val="3"/>
    </w:pPr>
    <w:rPr>
      <w:rFonts w:ascii="Noto Serif CJK SC" w:hAnsi="Noto Serif CJK SC" w:cs="Noto Serif CJK SC" w:eastAsiaTheme="minorEastAsia"/>
      <w:i/>
      <w:iCs/>
      <w:color w:val="2E74B5"/>
      <w:sz w:val="24"/>
      <w:szCs w:val="24"/>
      <w:lang w:val="en-US" w:eastAsia="zh-CN" w:bidi="ar-SA"/>
    </w:rPr>
  </w:style>
  <w:style w:type="paragraph" w:styleId="6">
    <w:name w:val="heading 5"/>
    <w:semiHidden/>
    <w:unhideWhenUsed/>
    <w:qFormat/>
    <w:uiPriority w:val="9"/>
    <w:pPr>
      <w:spacing w:line="360" w:lineRule="auto"/>
      <w:outlineLvl w:val="4"/>
    </w:pPr>
    <w:rPr>
      <w:rFonts w:ascii="Noto Serif CJK SC" w:hAnsi="Noto Serif CJK SC" w:cs="Noto Serif CJK SC" w:eastAsiaTheme="minorEastAsia"/>
      <w:color w:val="2E74B5"/>
      <w:sz w:val="24"/>
      <w:szCs w:val="24"/>
      <w:lang w:val="en-US" w:eastAsia="zh-CN" w:bidi="ar-SA"/>
    </w:rPr>
  </w:style>
  <w:style w:type="paragraph" w:styleId="7">
    <w:name w:val="heading 6"/>
    <w:semiHidden/>
    <w:unhideWhenUsed/>
    <w:qFormat/>
    <w:uiPriority w:val="9"/>
    <w:pPr>
      <w:spacing w:line="360" w:lineRule="auto"/>
      <w:outlineLvl w:val="5"/>
    </w:pPr>
    <w:rPr>
      <w:rFonts w:ascii="Noto Serif CJK SC" w:hAnsi="Noto Serif CJK SC" w:cs="Noto Serif CJK SC" w:eastAsiaTheme="minorEastAsia"/>
      <w:color w:val="1F4D78"/>
      <w:sz w:val="24"/>
      <w:szCs w:val="24"/>
      <w:lang w:val="en-US" w:eastAsia="zh-CN" w:bidi="ar-SA"/>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annotation text"/>
    <w:basedOn w:val="1"/>
    <w:link w:val="24"/>
    <w:unhideWhenUsed/>
    <w:uiPriority w:val="99"/>
  </w:style>
  <w:style w:type="paragraph" w:styleId="9">
    <w:name w:val="endnote text"/>
    <w:link w:val="22"/>
    <w:semiHidden/>
    <w:unhideWhenUsed/>
    <w:uiPriority w:val="99"/>
    <w:pPr>
      <w:spacing w:line="240" w:lineRule="auto"/>
    </w:pPr>
    <w:rPr>
      <w:rFonts w:ascii="Noto Serif CJK SC" w:hAnsi="Noto Serif CJK SC" w:cs="Noto Serif CJK SC" w:eastAsiaTheme="minorEastAsia"/>
      <w:color w:val="000000"/>
      <w:sz w:val="20"/>
      <w:szCs w:val="20"/>
      <w:lang w:val="en-US" w:eastAsia="zh-CN" w:bidi="ar-SA"/>
    </w:rPr>
  </w:style>
  <w:style w:type="paragraph" w:styleId="10">
    <w:name w:val="footnote text"/>
    <w:link w:val="21"/>
    <w:semiHidden/>
    <w:unhideWhenUsed/>
    <w:uiPriority w:val="99"/>
    <w:pPr>
      <w:spacing w:line="240" w:lineRule="auto"/>
    </w:pPr>
    <w:rPr>
      <w:rFonts w:ascii="Noto Serif CJK SC" w:hAnsi="Noto Serif CJK SC" w:cs="Noto Serif CJK SC" w:eastAsiaTheme="minorEastAsia"/>
      <w:color w:val="000000"/>
      <w:sz w:val="20"/>
      <w:szCs w:val="20"/>
      <w:lang w:val="en-US" w:eastAsia="zh-CN" w:bidi="ar-SA"/>
    </w:rPr>
  </w:style>
  <w:style w:type="paragraph" w:styleId="11">
    <w:name w:val="Title"/>
    <w:qFormat/>
    <w:uiPriority w:val="10"/>
    <w:pPr>
      <w:spacing w:line="360" w:lineRule="auto"/>
    </w:pPr>
    <w:rPr>
      <w:rFonts w:ascii="Noto Serif CJK SC" w:hAnsi="Noto Serif CJK SC" w:cs="Noto Serif CJK SC" w:eastAsiaTheme="minorEastAsia"/>
      <w:color w:val="000000"/>
      <w:sz w:val="56"/>
      <w:szCs w:val="56"/>
      <w:lang w:val="en-US" w:eastAsia="zh-CN" w:bidi="ar-SA"/>
    </w:rPr>
  </w:style>
  <w:style w:type="paragraph" w:styleId="12">
    <w:name w:val="annotation subject"/>
    <w:basedOn w:val="8"/>
    <w:next w:val="8"/>
    <w:link w:val="25"/>
    <w:semiHidden/>
    <w:unhideWhenUsed/>
    <w:uiPriority w:val="99"/>
    <w:rPr>
      <w:b/>
      <w:bCs/>
    </w:rPr>
  </w:style>
  <w:style w:type="character" w:styleId="15">
    <w:name w:val="endnote reference"/>
    <w:semiHidden/>
    <w:unhideWhenUsed/>
    <w:uiPriority w:val="99"/>
    <w:rPr>
      <w:vertAlign w:val="superscript"/>
    </w:rPr>
  </w:style>
  <w:style w:type="character" w:styleId="16">
    <w:name w:val="Hyperlink"/>
    <w:unhideWhenUsed/>
    <w:uiPriority w:val="99"/>
    <w:rPr>
      <w:color w:val="0563C1"/>
      <w:u w:val="single"/>
    </w:rPr>
  </w:style>
  <w:style w:type="character" w:styleId="17">
    <w:name w:val="annotation reference"/>
    <w:basedOn w:val="14"/>
    <w:semiHidden/>
    <w:unhideWhenUsed/>
    <w:uiPriority w:val="99"/>
    <w:rPr>
      <w:sz w:val="21"/>
      <w:szCs w:val="21"/>
    </w:rPr>
  </w:style>
  <w:style w:type="character" w:styleId="18">
    <w:name w:val="footnote reference"/>
    <w:semiHidden/>
    <w:unhideWhenUsed/>
    <w:uiPriority w:val="99"/>
    <w:rPr>
      <w:vertAlign w:val="superscript"/>
    </w:rPr>
  </w:style>
  <w:style w:type="paragraph" w:customStyle="1" w:styleId="19">
    <w:name w:val="要点1"/>
    <w:qFormat/>
    <w:uiPriority w:val="0"/>
    <w:pPr>
      <w:spacing w:line="360" w:lineRule="auto"/>
    </w:pPr>
    <w:rPr>
      <w:rFonts w:ascii="Noto Serif CJK SC" w:hAnsi="Noto Serif CJK SC" w:cs="Noto Serif CJK SC" w:eastAsiaTheme="minorEastAsia"/>
      <w:b/>
      <w:bCs/>
      <w:color w:val="000000"/>
      <w:sz w:val="24"/>
      <w:szCs w:val="24"/>
      <w:lang w:val="en-US" w:eastAsia="zh-CN" w:bidi="ar-SA"/>
    </w:rPr>
  </w:style>
  <w:style w:type="paragraph" w:styleId="20">
    <w:name w:val="List Paragraph"/>
    <w:qFormat/>
    <w:uiPriority w:val="0"/>
    <w:pPr>
      <w:spacing w:line="360" w:lineRule="auto"/>
    </w:pPr>
    <w:rPr>
      <w:rFonts w:ascii="Noto Serif CJK SC" w:hAnsi="Noto Serif CJK SC" w:cs="Noto Serif CJK SC" w:eastAsiaTheme="minorEastAsia"/>
      <w:color w:val="000000"/>
      <w:sz w:val="24"/>
      <w:szCs w:val="24"/>
      <w:lang w:val="en-US" w:eastAsia="zh-CN" w:bidi="ar-SA"/>
    </w:rPr>
  </w:style>
  <w:style w:type="character" w:customStyle="1" w:styleId="21">
    <w:name w:val="脚注文本 字符"/>
    <w:link w:val="10"/>
    <w:semiHidden/>
    <w:unhideWhenUsed/>
    <w:uiPriority w:val="99"/>
    <w:rPr>
      <w:sz w:val="20"/>
      <w:szCs w:val="20"/>
    </w:rPr>
  </w:style>
  <w:style w:type="character" w:customStyle="1" w:styleId="22">
    <w:name w:val="尾注文本 字符"/>
    <w:link w:val="9"/>
    <w:semiHidden/>
    <w:unhideWhenUsed/>
    <w:uiPriority w:val="99"/>
    <w:rPr>
      <w:sz w:val="20"/>
      <w:szCs w:val="20"/>
    </w:rPr>
  </w:style>
  <w:style w:type="paragraph" w:customStyle="1" w:styleId="23">
    <w:name w:val="Revision"/>
    <w:hidden/>
    <w:semiHidden/>
    <w:uiPriority w:val="99"/>
    <w:pPr>
      <w:spacing w:line="240" w:lineRule="auto"/>
    </w:pPr>
    <w:rPr>
      <w:rFonts w:ascii="Noto Serif CJK SC" w:hAnsi="Noto Serif CJK SC" w:cs="Noto Serif CJK SC" w:eastAsiaTheme="minorEastAsia"/>
      <w:color w:val="000000"/>
      <w:sz w:val="24"/>
      <w:szCs w:val="24"/>
      <w:lang w:val="en-US" w:eastAsia="zh-CN" w:bidi="ar-SA"/>
    </w:rPr>
  </w:style>
  <w:style w:type="character" w:customStyle="1" w:styleId="24">
    <w:name w:val="批注文字 字符"/>
    <w:basedOn w:val="14"/>
    <w:link w:val="8"/>
    <w:uiPriority w:val="99"/>
  </w:style>
  <w:style w:type="character" w:customStyle="1" w:styleId="25">
    <w:name w:val="批注主题 字符"/>
    <w:basedOn w:val="24"/>
    <w:link w:val="12"/>
    <w:semiHidden/>
    <w:uiPriority w:val="99"/>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Pages>
  <Words>1783</Words>
  <Characters>1874</Characters>
  <Lines>133</Lines>
  <Paragraphs>182</Paragraphs>
  <TotalTime>6</TotalTime>
  <ScaleCrop>false</ScaleCrop>
  <LinksUpToDate>false</LinksUpToDate>
  <CharactersWithSpaces>3475</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2026-07-21T00:56:00Z</dcterms:created>
  <dc:creator>生命科学开放联盟</dc:creator>
  <cp:lastModifiedBy>Jack LV</cp:lastModifiedBy>
  <dcterms:modified xsi:type="dcterms:W3CDTF">2026-07-22T00:31:54Z</dcterms:modified>
  <dc:title>全球大学生生命科学挑战赛 · 代码提交说明</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64FDC39E9EC1DCF362605F6A26F3EFBE_42</vt:lpwstr>
  </property>
</Properties>
</file>