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1D4D" w14:textId="284BBE22" w:rsidR="00AD6EB3" w:rsidRPr="00AD6EB3" w:rsidRDefault="00AD6EB3" w:rsidP="00135AC2">
      <w:pPr>
        <w:bidi w:val="0"/>
        <w:ind w:left="360"/>
        <w:jc w:val="both"/>
        <w:rPr>
          <w:b/>
          <w:bCs/>
          <w:sz w:val="48"/>
          <w:szCs w:val="48"/>
          <w:lang w:bidi="ar-EG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AD6EB3">
        <w:rPr>
          <w:b/>
          <w:bCs/>
          <w:sz w:val="48"/>
          <w:szCs w:val="48"/>
          <w:lang w:bidi="ar-EG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Dimensionality Reduction Techniques: A Comparative Study of PCA, t-SNE, and MDA</w:t>
      </w:r>
    </w:p>
    <w:p w14:paraId="691B5A4D" w14:textId="77777777" w:rsidR="00AD6EB3" w:rsidRPr="00AD6EB3" w:rsidRDefault="00AD6EB3" w:rsidP="00135AC2">
      <w:pPr>
        <w:bidi w:val="0"/>
        <w:ind w:left="360"/>
        <w:jc w:val="both"/>
        <w:rPr>
          <w:b/>
          <w:bCs/>
          <w:sz w:val="48"/>
          <w:szCs w:val="48"/>
          <w:lang w:bidi="ar-EG"/>
        </w:rPr>
      </w:pPr>
    </w:p>
    <w:p w14:paraId="60E2D865" w14:textId="0C9A7D93" w:rsidR="00AD6EB3" w:rsidRPr="00AD6EB3" w:rsidRDefault="00AD6EB3" w:rsidP="00135AC2">
      <w:pPr>
        <w:bidi w:val="0"/>
        <w:ind w:left="360"/>
        <w:jc w:val="both"/>
        <w:rPr>
          <w:sz w:val="28"/>
          <w:szCs w:val="28"/>
          <w:rtl/>
          <w:lang w:bidi="ar-EG"/>
        </w:rPr>
      </w:pPr>
      <w:r w:rsidRPr="00AD6EB3">
        <w:rPr>
          <w:b/>
          <w:bCs/>
          <w:sz w:val="28"/>
          <w:szCs w:val="28"/>
          <w:lang w:bidi="ar-EG"/>
        </w:rPr>
        <w:t>Prepared by:</w:t>
      </w:r>
      <w:r>
        <w:rPr>
          <w:sz w:val="28"/>
          <w:szCs w:val="28"/>
          <w:lang w:bidi="ar-EG"/>
        </w:rPr>
        <w:t xml:space="preserve"> Shenouda Safwat </w:t>
      </w:r>
    </w:p>
    <w:p w14:paraId="79947953" w14:textId="56F3D0B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b/>
          <w:bCs/>
          <w:sz w:val="28"/>
          <w:szCs w:val="28"/>
          <w:lang w:bidi="ar-EG"/>
        </w:rPr>
        <w:t xml:space="preserve">Subject: </w:t>
      </w:r>
      <w:r w:rsidR="002919BE">
        <w:rPr>
          <w:sz w:val="28"/>
          <w:szCs w:val="28"/>
          <w:lang w:bidi="ar-EG"/>
        </w:rPr>
        <w:t>Dimensionality Reduction</w:t>
      </w:r>
      <w:r w:rsidRPr="00AD6EB3">
        <w:rPr>
          <w:sz w:val="28"/>
          <w:szCs w:val="28"/>
          <w:lang w:bidi="ar-EG"/>
        </w:rPr>
        <w:t xml:space="preserve"> Machine Learning</w:t>
      </w:r>
    </w:p>
    <w:p w14:paraId="4FFF4ECD" w14:textId="2A05EFC3" w:rsid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b/>
          <w:bCs/>
          <w:sz w:val="28"/>
          <w:szCs w:val="28"/>
          <w:lang w:bidi="ar-EG"/>
        </w:rPr>
        <w:t>Date:</w:t>
      </w:r>
      <w:r w:rsidRPr="00AD6EB3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03/</w:t>
      </w:r>
      <w:r w:rsidRPr="00AD6EB3">
        <w:rPr>
          <w:sz w:val="28"/>
          <w:szCs w:val="28"/>
          <w:lang w:bidi="ar-EG"/>
        </w:rPr>
        <w:t xml:space="preserve"> 20</w:t>
      </w:r>
      <w:r>
        <w:rPr>
          <w:sz w:val="28"/>
          <w:szCs w:val="28"/>
          <w:lang w:bidi="ar-EG"/>
        </w:rPr>
        <w:t>26</w:t>
      </w:r>
    </w:p>
    <w:p w14:paraId="65AD9E9E" w14:textId="77777777" w:rsid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</w:p>
    <w:p w14:paraId="66D546FF" w14:textId="77777777" w:rsidR="00AD6EB3" w:rsidRPr="00AD6EB3" w:rsidRDefault="00AD6EB3" w:rsidP="00135AC2">
      <w:pPr>
        <w:bidi w:val="0"/>
        <w:ind w:left="360"/>
        <w:jc w:val="both"/>
        <w:rPr>
          <w:b/>
          <w:bCs/>
          <w:sz w:val="32"/>
          <w:szCs w:val="32"/>
          <w:rtl/>
          <w:lang w:bidi="ar-EG"/>
        </w:rPr>
      </w:pPr>
      <w:r w:rsidRPr="00AD6EB3">
        <w:rPr>
          <w:b/>
          <w:bCs/>
          <w:sz w:val="32"/>
          <w:szCs w:val="32"/>
          <w:lang w:bidi="ar-EG"/>
        </w:rPr>
        <w:t xml:space="preserve">1-Abstract </w:t>
      </w:r>
    </w:p>
    <w:p w14:paraId="107EECD0" w14:textId="4BFA928F" w:rsid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>Dimensionality reduction is a critical preprocessing step in modern data science. As datasets grow in complexity, the "curse of dimensionality" makes visualization and model training increasingly difficult. This research explores three foundational techniques: Principal Component Analysis (PCA), t-Distributed Stochastic Neighbor Embedding (t-SNE), and Multiple Discriminant Analysis (MDA). We discuss their mathematical logic, strengths, and ideal use cases.</w:t>
      </w:r>
    </w:p>
    <w:p w14:paraId="1656B6C8" w14:textId="77777777" w:rsidR="00AD6EB3" w:rsidRPr="00AD6EB3" w:rsidRDefault="00AD6EB3" w:rsidP="00135AC2">
      <w:pPr>
        <w:bidi w:val="0"/>
        <w:ind w:left="360"/>
        <w:jc w:val="both"/>
        <w:rPr>
          <w:b/>
          <w:bCs/>
          <w:sz w:val="32"/>
          <w:szCs w:val="32"/>
          <w:lang w:bidi="ar-EG"/>
        </w:rPr>
      </w:pPr>
      <w:r w:rsidRPr="00AD6EB3">
        <w:rPr>
          <w:b/>
          <w:bCs/>
          <w:sz w:val="32"/>
          <w:szCs w:val="32"/>
          <w:lang w:bidi="ar-EG"/>
        </w:rPr>
        <w:t>2-Introduction</w:t>
      </w:r>
    </w:p>
    <w:p w14:paraId="704F8EF9" w14:textId="0525CDD9" w:rsid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 In high-dimensional datasets, many features are often redundant or represent noise. Dimensionality reduction aims to project this data into a lower-dimensional space (2D or 3D) while preserving as much significant information as possible. This process is essential for data compression, noise filtering, and human-interpretable visualization.</w:t>
      </w:r>
    </w:p>
    <w:p w14:paraId="27D248EC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</w:p>
    <w:p w14:paraId="7550543C" w14:textId="77777777" w:rsidR="00AD6EB3" w:rsidRPr="00AD6EB3" w:rsidRDefault="00AD6EB3" w:rsidP="00135AC2">
      <w:pPr>
        <w:bidi w:val="0"/>
        <w:ind w:left="360"/>
        <w:jc w:val="both"/>
        <w:rPr>
          <w:b/>
          <w:bCs/>
          <w:sz w:val="32"/>
          <w:szCs w:val="32"/>
          <w:rtl/>
          <w:lang w:bidi="ar-EG"/>
        </w:rPr>
      </w:pPr>
      <w:r w:rsidRPr="00AD6EB3">
        <w:rPr>
          <w:b/>
          <w:bCs/>
          <w:sz w:val="32"/>
          <w:szCs w:val="32"/>
          <w:lang w:bidi="ar-EG"/>
        </w:rPr>
        <w:t>3-Principal Component Analysis (PCA)</w:t>
      </w:r>
    </w:p>
    <w:p w14:paraId="39747C73" w14:textId="77777777" w:rsidR="00AD6EB3" w:rsidRDefault="00AD6EB3" w:rsidP="00135AC2">
      <w:pPr>
        <w:bidi w:val="0"/>
        <w:ind w:left="360"/>
        <w:jc w:val="both"/>
        <w:rPr>
          <w:b/>
          <w:bCs/>
          <w:sz w:val="28"/>
          <w:szCs w:val="28"/>
          <w:rtl/>
          <w:lang w:bidi="ar-EG"/>
        </w:rPr>
      </w:pPr>
      <w:r w:rsidRPr="00AD6EB3">
        <w:rPr>
          <w:b/>
          <w:bCs/>
          <w:sz w:val="28"/>
          <w:szCs w:val="28"/>
          <w:lang w:bidi="ar-EG"/>
        </w:rPr>
        <w:t>3.1 Definition</w:t>
      </w:r>
    </w:p>
    <w:p w14:paraId="372CD521" w14:textId="096D3AEC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b/>
          <w:bCs/>
          <w:sz w:val="28"/>
          <w:szCs w:val="28"/>
          <w:lang w:bidi="ar-EG"/>
        </w:rPr>
        <w:t xml:space="preserve">PCA </w:t>
      </w:r>
      <w:r w:rsidRPr="00AD6EB3">
        <w:rPr>
          <w:sz w:val="28"/>
          <w:szCs w:val="28"/>
          <w:lang w:bidi="ar-EG"/>
        </w:rPr>
        <w:t>is a linear, unsupervised transformation technique. It was introduced by Karl Pearson in 1901 and remains the standard for variance-based reduction.</w:t>
      </w:r>
    </w:p>
    <w:p w14:paraId="0899A575" w14:textId="77777777" w:rsidR="00AD6EB3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AD6EB3">
        <w:rPr>
          <w:b/>
          <w:bCs/>
          <w:sz w:val="28"/>
          <w:szCs w:val="28"/>
          <w:lang w:bidi="ar-EG"/>
        </w:rPr>
        <w:t>3.2 Methodology</w:t>
      </w:r>
    </w:p>
    <w:p w14:paraId="4DF91167" w14:textId="1EC2E2E2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121409">
        <w:rPr>
          <w:sz w:val="28"/>
          <w:szCs w:val="28"/>
          <w:lang w:bidi="ar-EG"/>
        </w:rPr>
        <w:lastRenderedPageBreak/>
        <w:t>PCA</w:t>
      </w:r>
      <w:r w:rsidRPr="00AD6EB3">
        <w:rPr>
          <w:b/>
          <w:bCs/>
          <w:sz w:val="28"/>
          <w:szCs w:val="28"/>
          <w:lang w:bidi="ar-EG"/>
        </w:rPr>
        <w:t xml:space="preserve"> </w:t>
      </w:r>
      <w:r w:rsidRPr="00AD6EB3">
        <w:rPr>
          <w:sz w:val="28"/>
          <w:szCs w:val="28"/>
          <w:lang w:bidi="ar-EG"/>
        </w:rPr>
        <w:t xml:space="preserve">works by identifying the "Principal </w:t>
      </w:r>
      <w:proofErr w:type="gramStart"/>
      <w:r w:rsidRPr="00AD6EB3">
        <w:rPr>
          <w:sz w:val="28"/>
          <w:szCs w:val="28"/>
          <w:lang w:bidi="ar-EG"/>
        </w:rPr>
        <w:t>Components"—</w:t>
      </w:r>
      <w:proofErr w:type="gramEnd"/>
      <w:r w:rsidRPr="00AD6EB3">
        <w:rPr>
          <w:sz w:val="28"/>
          <w:szCs w:val="28"/>
          <w:lang w:bidi="ar-EG"/>
        </w:rPr>
        <w:t>new orthogonal axes that capture the maximum variance in the data.</w:t>
      </w:r>
    </w:p>
    <w:p w14:paraId="671D8205" w14:textId="77777777" w:rsidR="00AD6EB3" w:rsidRPr="00121409" w:rsidRDefault="00AD6EB3" w:rsidP="00135AC2">
      <w:pPr>
        <w:pStyle w:val="ListParagraph"/>
        <w:numPr>
          <w:ilvl w:val="0"/>
          <w:numId w:val="20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Step 1:</w:t>
      </w:r>
      <w:r w:rsidRPr="00121409">
        <w:rPr>
          <w:sz w:val="28"/>
          <w:szCs w:val="28"/>
          <w:lang w:bidi="ar-EG"/>
        </w:rPr>
        <w:t xml:space="preserve"> Standardize the dataset.</w:t>
      </w:r>
    </w:p>
    <w:p w14:paraId="7211DF57" w14:textId="77777777" w:rsidR="00AD6EB3" w:rsidRPr="00121409" w:rsidRDefault="00AD6EB3" w:rsidP="00135AC2">
      <w:pPr>
        <w:pStyle w:val="ListParagraph"/>
        <w:numPr>
          <w:ilvl w:val="0"/>
          <w:numId w:val="20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Step 2</w:t>
      </w:r>
      <w:r w:rsidRPr="00121409">
        <w:rPr>
          <w:sz w:val="28"/>
          <w:szCs w:val="28"/>
          <w:lang w:bidi="ar-EG"/>
        </w:rPr>
        <w:t>: Compute the Covariance Matrix.</w:t>
      </w:r>
    </w:p>
    <w:p w14:paraId="32B21188" w14:textId="77777777" w:rsidR="00AD6EB3" w:rsidRPr="00121409" w:rsidRDefault="00AD6EB3" w:rsidP="00135AC2">
      <w:pPr>
        <w:pStyle w:val="ListParagraph"/>
        <w:numPr>
          <w:ilvl w:val="0"/>
          <w:numId w:val="20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 xml:space="preserve">Step 3: </w:t>
      </w:r>
      <w:r w:rsidRPr="00121409">
        <w:rPr>
          <w:sz w:val="28"/>
          <w:szCs w:val="28"/>
          <w:lang w:bidi="ar-EG"/>
        </w:rPr>
        <w:t>Calculate Eigenvectors and Eigenvalues.</w:t>
      </w:r>
    </w:p>
    <w:p w14:paraId="74574ADF" w14:textId="77777777" w:rsidR="00AD6EB3" w:rsidRPr="00121409" w:rsidRDefault="00AD6EB3" w:rsidP="00135AC2">
      <w:pPr>
        <w:pStyle w:val="ListParagraph"/>
        <w:numPr>
          <w:ilvl w:val="0"/>
          <w:numId w:val="20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Step 4</w:t>
      </w:r>
      <w:r w:rsidRPr="00121409">
        <w:rPr>
          <w:sz w:val="28"/>
          <w:szCs w:val="28"/>
          <w:lang w:bidi="ar-EG"/>
        </w:rPr>
        <w:t>: Project the data onto the top-ranking Eigenvectors.</w:t>
      </w:r>
    </w:p>
    <w:p w14:paraId="31F725A2" w14:textId="77777777" w:rsidR="00AD6EB3" w:rsidRPr="00AD6EB3" w:rsidRDefault="00AD6EB3" w:rsidP="00135AC2">
      <w:pPr>
        <w:bidi w:val="0"/>
        <w:jc w:val="both"/>
        <w:rPr>
          <w:sz w:val="28"/>
          <w:szCs w:val="28"/>
          <w:lang w:bidi="ar-EG"/>
        </w:rPr>
      </w:pPr>
    </w:p>
    <w:p w14:paraId="44769F5B" w14:textId="0CE25B00" w:rsidR="00AD6EB3" w:rsidRPr="00AD6EB3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AD6EB3">
        <w:rPr>
          <w:b/>
          <w:bCs/>
          <w:sz w:val="28"/>
          <w:szCs w:val="28"/>
          <w:lang w:bidi="ar-EG"/>
        </w:rPr>
        <w:t>3.3 Key Characteristics:</w:t>
      </w:r>
    </w:p>
    <w:p w14:paraId="5F98B438" w14:textId="77777777" w:rsidR="00121409" w:rsidRPr="00121409" w:rsidRDefault="00121409" w:rsidP="00135AC2">
      <w:pPr>
        <w:pStyle w:val="ListParagraph"/>
        <w:numPr>
          <w:ilvl w:val="0"/>
          <w:numId w:val="21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Efficiency:</w:t>
      </w:r>
      <w:r w:rsidRPr="00121409">
        <w:rPr>
          <w:sz w:val="28"/>
          <w:szCs w:val="28"/>
          <w:lang w:bidi="ar-EG"/>
        </w:rPr>
        <w:t xml:space="preserve"> Extremely fast and scalable. </w:t>
      </w:r>
    </w:p>
    <w:p w14:paraId="0186A99B" w14:textId="6370BF18" w:rsidR="00121409" w:rsidRPr="00121409" w:rsidRDefault="00121409" w:rsidP="00135AC2">
      <w:pPr>
        <w:pStyle w:val="ListParagraph"/>
        <w:numPr>
          <w:ilvl w:val="0"/>
          <w:numId w:val="21"/>
        </w:numPr>
        <w:bidi w:val="0"/>
        <w:jc w:val="both"/>
        <w:rPr>
          <w:sz w:val="28"/>
          <w:szCs w:val="28"/>
          <w:rtl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Global Structure:</w:t>
      </w:r>
      <w:r w:rsidRPr="00121409">
        <w:rPr>
          <w:sz w:val="28"/>
          <w:szCs w:val="28"/>
          <w:lang w:bidi="ar-EG"/>
        </w:rPr>
        <w:t xml:space="preserve"> It preserves the global arrangement of data points.</w:t>
      </w:r>
    </w:p>
    <w:p w14:paraId="35D7FADC" w14:textId="1AA4A139" w:rsidR="00121409" w:rsidRDefault="00121409" w:rsidP="00135AC2">
      <w:pPr>
        <w:pStyle w:val="ListParagraph"/>
        <w:numPr>
          <w:ilvl w:val="0"/>
          <w:numId w:val="21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Limitation:</w:t>
      </w:r>
      <w:r w:rsidRPr="00121409">
        <w:rPr>
          <w:sz w:val="28"/>
          <w:szCs w:val="28"/>
          <w:lang w:bidi="ar-EG"/>
        </w:rPr>
        <w:t xml:space="preserve"> Since it is a linear method, it cannot capture complex non-linear relationships (e.g., a "Swiss roll" dataset).</w:t>
      </w:r>
    </w:p>
    <w:p w14:paraId="31DC00AF" w14:textId="77777777" w:rsidR="00135AC2" w:rsidRPr="00135AC2" w:rsidRDefault="00135AC2" w:rsidP="00135AC2">
      <w:pPr>
        <w:pStyle w:val="ListParagraph"/>
        <w:bidi w:val="0"/>
        <w:ind w:left="1080"/>
        <w:jc w:val="both"/>
        <w:rPr>
          <w:sz w:val="28"/>
          <w:szCs w:val="28"/>
          <w:lang w:bidi="ar-EG"/>
        </w:rPr>
      </w:pPr>
    </w:p>
    <w:p w14:paraId="5ACD376B" w14:textId="77777777" w:rsidR="00121409" w:rsidRPr="00121409" w:rsidRDefault="00121409" w:rsidP="00135AC2">
      <w:pPr>
        <w:bidi w:val="0"/>
        <w:ind w:left="360"/>
        <w:jc w:val="both"/>
        <w:rPr>
          <w:b/>
          <w:bCs/>
          <w:sz w:val="32"/>
          <w:szCs w:val="32"/>
          <w:lang w:bidi="ar-EG"/>
        </w:rPr>
      </w:pPr>
      <w:r w:rsidRPr="00121409">
        <w:rPr>
          <w:b/>
          <w:bCs/>
          <w:sz w:val="32"/>
          <w:szCs w:val="32"/>
          <w:lang w:bidi="ar-EG"/>
        </w:rPr>
        <w:t>4-</w:t>
      </w:r>
      <w:r w:rsidR="00AD6EB3" w:rsidRPr="00121409">
        <w:rPr>
          <w:b/>
          <w:bCs/>
          <w:sz w:val="32"/>
          <w:szCs w:val="32"/>
          <w:lang w:bidi="ar-EG"/>
        </w:rPr>
        <w:t>t-Distributed Stochastic Neighbor Embedding (t-SNE)</w:t>
      </w:r>
    </w:p>
    <w:p w14:paraId="14C4F718" w14:textId="77777777" w:rsidR="00121409" w:rsidRPr="00121409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 xml:space="preserve"> 4.1 Definition</w:t>
      </w:r>
    </w:p>
    <w:p w14:paraId="0C44CE45" w14:textId="0DD3E355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 Introduced by </w:t>
      </w:r>
      <w:proofErr w:type="spellStart"/>
      <w:r w:rsidRPr="00AD6EB3">
        <w:rPr>
          <w:sz w:val="28"/>
          <w:szCs w:val="28"/>
          <w:lang w:bidi="ar-EG"/>
        </w:rPr>
        <w:t>Maaten</w:t>
      </w:r>
      <w:proofErr w:type="spellEnd"/>
      <w:r w:rsidRPr="00AD6EB3">
        <w:rPr>
          <w:sz w:val="28"/>
          <w:szCs w:val="28"/>
          <w:lang w:bidi="ar-EG"/>
        </w:rPr>
        <w:t xml:space="preserve"> and Hinton (2008), t-SNE is a non-linear, unsupervised algorithm primarily used for high-dimensional data visualization.</w:t>
      </w:r>
    </w:p>
    <w:p w14:paraId="5CE43F5C" w14:textId="77777777" w:rsidR="00121409" w:rsidRPr="00121409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4.2 Methodology</w:t>
      </w:r>
    </w:p>
    <w:p w14:paraId="46A9E869" w14:textId="63480492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 Unlike PCA, t-SNE focuses on maintaining the local structure of the data.</w:t>
      </w:r>
    </w:p>
    <w:p w14:paraId="7F45D896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>It calculates the probability that pairs of points are neighbors in high-dimensional space.</w:t>
      </w:r>
    </w:p>
    <w:p w14:paraId="3592E788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It then recreates these probabilities in a low-dimensional space using a </w:t>
      </w:r>
      <w:proofErr w:type="gramStart"/>
      <w:r w:rsidRPr="00AD6EB3">
        <w:rPr>
          <w:sz w:val="28"/>
          <w:szCs w:val="28"/>
          <w:lang w:bidi="ar-EG"/>
        </w:rPr>
        <w:t>Student’s</w:t>
      </w:r>
      <w:proofErr w:type="gramEnd"/>
      <w:r w:rsidRPr="00AD6EB3">
        <w:rPr>
          <w:sz w:val="28"/>
          <w:szCs w:val="28"/>
          <w:lang w:bidi="ar-EG"/>
        </w:rPr>
        <w:t xml:space="preserve"> t-distribution to ensure that nearby points stay together and distant points remain separated.</w:t>
      </w:r>
    </w:p>
    <w:p w14:paraId="5EFB787A" w14:textId="77777777" w:rsidR="00121409" w:rsidRPr="00121409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4.3 Key Characteristics</w:t>
      </w:r>
    </w:p>
    <w:p w14:paraId="5FC91BC1" w14:textId="3B5FA2F6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 </w:t>
      </w:r>
      <w:r w:rsidRPr="00121409">
        <w:rPr>
          <w:b/>
          <w:bCs/>
          <w:sz w:val="28"/>
          <w:szCs w:val="28"/>
          <w:lang w:bidi="ar-EG"/>
        </w:rPr>
        <w:t>Visualization</w:t>
      </w:r>
      <w:r w:rsidRPr="00AD6EB3">
        <w:rPr>
          <w:sz w:val="28"/>
          <w:szCs w:val="28"/>
          <w:lang w:bidi="ar-EG"/>
        </w:rPr>
        <w:t>: Superior at revealing clusters and sub-groups.</w:t>
      </w:r>
    </w:p>
    <w:p w14:paraId="413AA2AA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Computation</w:t>
      </w:r>
      <w:r w:rsidRPr="00AD6EB3">
        <w:rPr>
          <w:sz w:val="28"/>
          <w:szCs w:val="28"/>
          <w:lang w:bidi="ar-EG"/>
        </w:rPr>
        <w:t>: Computationally intensive (slow for very large datasets).</w:t>
      </w:r>
    </w:p>
    <w:p w14:paraId="017F2EA6" w14:textId="77777777" w:rsid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Limitation</w:t>
      </w:r>
      <w:r w:rsidRPr="00AD6EB3">
        <w:rPr>
          <w:sz w:val="28"/>
          <w:szCs w:val="28"/>
          <w:lang w:bidi="ar-EG"/>
        </w:rPr>
        <w:t>: The results (distances) are not always preserved globally; it is strictly for exploration, not for feature engineering in predictive models.</w:t>
      </w:r>
    </w:p>
    <w:p w14:paraId="10EF6E13" w14:textId="5F74E3A7" w:rsidR="00121409" w:rsidRPr="00121409" w:rsidRDefault="00121409" w:rsidP="00135AC2">
      <w:pPr>
        <w:bidi w:val="0"/>
        <w:ind w:left="360"/>
        <w:jc w:val="both"/>
        <w:rPr>
          <w:b/>
          <w:bCs/>
          <w:sz w:val="32"/>
          <w:szCs w:val="32"/>
          <w:lang w:bidi="ar-EG"/>
        </w:rPr>
      </w:pPr>
      <w:r w:rsidRPr="00121409">
        <w:rPr>
          <w:b/>
          <w:bCs/>
          <w:sz w:val="32"/>
          <w:szCs w:val="32"/>
          <w:lang w:bidi="ar-EG"/>
        </w:rPr>
        <w:t>5-</w:t>
      </w:r>
      <w:r w:rsidR="00AD6EB3" w:rsidRPr="00121409">
        <w:rPr>
          <w:b/>
          <w:bCs/>
          <w:sz w:val="32"/>
          <w:szCs w:val="32"/>
          <w:lang w:bidi="ar-EG"/>
        </w:rPr>
        <w:t>Multiple Discriminant Analysis (MDA)</w:t>
      </w:r>
    </w:p>
    <w:p w14:paraId="33D8D861" w14:textId="77777777" w:rsidR="00121409" w:rsidRPr="00121409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lastRenderedPageBreak/>
        <w:t xml:space="preserve"> 5.1 Definition</w:t>
      </w:r>
    </w:p>
    <w:p w14:paraId="072D5672" w14:textId="224E6080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 MDA (often associated with Linear Discriminant Analysis - LDA) is a supervised linear technique. It requires class labels to function.</w:t>
      </w:r>
    </w:p>
    <w:p w14:paraId="79FE1978" w14:textId="77777777" w:rsidR="00121409" w:rsidRPr="00121409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5.2 Methodology</w:t>
      </w:r>
    </w:p>
    <w:p w14:paraId="715A1978" w14:textId="6CDA2658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>The goal of MDA is class separation. While PCA looks for maximum variance, MDA looks for the axes that:</w:t>
      </w:r>
    </w:p>
    <w:p w14:paraId="289015EE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>Maximize the distance between the means of different classes.</w:t>
      </w:r>
    </w:p>
    <w:p w14:paraId="3AA61AF6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>Minimize the variance within each class.</w:t>
      </w:r>
    </w:p>
    <w:p w14:paraId="1471CD35" w14:textId="77777777" w:rsidR="00121409" w:rsidRPr="00121409" w:rsidRDefault="00AD6EB3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5.3 Key Characteristics</w:t>
      </w:r>
    </w:p>
    <w:p w14:paraId="11651E7F" w14:textId="2424021D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 xml:space="preserve"> </w:t>
      </w:r>
      <w:r w:rsidRPr="00121409">
        <w:rPr>
          <w:b/>
          <w:bCs/>
          <w:sz w:val="28"/>
          <w:szCs w:val="28"/>
          <w:lang w:bidi="ar-EG"/>
        </w:rPr>
        <w:t>Supervised</w:t>
      </w:r>
      <w:r w:rsidRPr="00AD6EB3">
        <w:rPr>
          <w:sz w:val="28"/>
          <w:szCs w:val="28"/>
          <w:lang w:bidi="ar-EG"/>
        </w:rPr>
        <w:t>: Uses category information to improve the projection.</w:t>
      </w:r>
    </w:p>
    <w:p w14:paraId="6F4F9A6B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Classification</w:t>
      </w:r>
      <w:r w:rsidRPr="00AD6EB3">
        <w:rPr>
          <w:sz w:val="28"/>
          <w:szCs w:val="28"/>
          <w:lang w:bidi="ar-EG"/>
        </w:rPr>
        <w:t>: Ideal as a preprocessing step before running a classifier (like SVM or Random Forest).</w:t>
      </w:r>
    </w:p>
    <w:p w14:paraId="5BE3E21F" w14:textId="77777777" w:rsidR="00AD6EB3" w:rsidRPr="00AD6EB3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121409">
        <w:rPr>
          <w:b/>
          <w:bCs/>
          <w:sz w:val="28"/>
          <w:szCs w:val="28"/>
          <w:lang w:bidi="ar-EG"/>
        </w:rPr>
        <w:t>Assumption</w:t>
      </w:r>
      <w:r w:rsidRPr="00AD6EB3">
        <w:rPr>
          <w:sz w:val="28"/>
          <w:szCs w:val="28"/>
          <w:lang w:bidi="ar-EG"/>
        </w:rPr>
        <w:t>: Assumes the data follows a normal (Gaussian) distribution.</w:t>
      </w:r>
    </w:p>
    <w:p w14:paraId="342F8533" w14:textId="77777777" w:rsidR="00121409" w:rsidRDefault="00121409" w:rsidP="00135AC2">
      <w:pPr>
        <w:bidi w:val="0"/>
        <w:ind w:left="360"/>
        <w:jc w:val="both"/>
        <w:rPr>
          <w:sz w:val="28"/>
          <w:szCs w:val="28"/>
          <w:rtl/>
          <w:lang w:bidi="ar-EG"/>
        </w:rPr>
      </w:pPr>
    </w:p>
    <w:p w14:paraId="2A4939C1" w14:textId="074D5C1F" w:rsidR="00CA42E7" w:rsidRPr="00CA42E7" w:rsidRDefault="00135AC2" w:rsidP="00135AC2">
      <w:pPr>
        <w:bidi w:val="0"/>
        <w:jc w:val="both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6-</w:t>
      </w:r>
      <w:r w:rsidR="00CA42E7" w:rsidRPr="00CA42E7">
        <w:rPr>
          <w:b/>
          <w:bCs/>
          <w:sz w:val="32"/>
          <w:szCs w:val="32"/>
          <w:lang w:bidi="ar-EG"/>
        </w:rPr>
        <w:t xml:space="preserve">Advanced Technical Nuances (The "Deep" Insights) </w:t>
      </w:r>
    </w:p>
    <w:p w14:paraId="7AEC0C90" w14:textId="77777777" w:rsidR="00CA42E7" w:rsidRDefault="00CA42E7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CA42E7">
        <w:rPr>
          <w:b/>
          <w:bCs/>
          <w:sz w:val="30"/>
          <w:szCs w:val="30"/>
          <w:lang w:bidi="ar-EG"/>
        </w:rPr>
        <w:t>PCA:</w:t>
      </w:r>
      <w:r w:rsidRPr="00CA42E7">
        <w:rPr>
          <w:sz w:val="28"/>
          <w:szCs w:val="28"/>
          <w:lang w:bidi="ar-EG"/>
        </w:rPr>
        <w:t xml:space="preserve"> </w:t>
      </w:r>
      <w:r w:rsidRPr="00CA42E7">
        <w:rPr>
          <w:b/>
          <w:bCs/>
          <w:sz w:val="28"/>
          <w:szCs w:val="28"/>
          <w:lang w:bidi="ar-EG"/>
        </w:rPr>
        <w:t>The Dominance of SVD over Covariance</w:t>
      </w:r>
    </w:p>
    <w:p w14:paraId="1CD1285E" w14:textId="516DC359" w:rsidR="00CA42E7" w:rsidRPr="00CA42E7" w:rsidRDefault="00CA42E7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CA42E7">
        <w:rPr>
          <w:sz w:val="28"/>
          <w:szCs w:val="28"/>
          <w:lang w:bidi="ar-EG"/>
        </w:rPr>
        <w:t xml:space="preserve"> While textbooks often define PCA through the </w:t>
      </w:r>
      <w:proofErr w:type="spellStart"/>
      <w:r w:rsidRPr="00CA42E7">
        <w:rPr>
          <w:sz w:val="28"/>
          <w:szCs w:val="28"/>
          <w:lang w:bidi="ar-EG"/>
        </w:rPr>
        <w:t>Eigendecomposition</w:t>
      </w:r>
      <w:proofErr w:type="spellEnd"/>
      <w:r w:rsidRPr="00CA42E7">
        <w:rPr>
          <w:sz w:val="28"/>
          <w:szCs w:val="28"/>
          <w:lang w:bidi="ar-EG"/>
        </w:rPr>
        <w:t xml:space="preserve"> of the Covariance Matrix, modern computational implementations (like Scikit-Learn) rarely use this approach. Instead, they employ </w:t>
      </w:r>
      <w:r w:rsidRPr="00CA42E7">
        <w:rPr>
          <w:b/>
          <w:bCs/>
          <w:sz w:val="28"/>
          <w:szCs w:val="28"/>
          <w:lang w:bidi="ar-EG"/>
        </w:rPr>
        <w:t>Singular Value Decomposition (SVD)</w:t>
      </w:r>
      <w:r w:rsidRPr="00CA42E7">
        <w:rPr>
          <w:sz w:val="28"/>
          <w:szCs w:val="28"/>
          <w:lang w:bidi="ar-EG"/>
        </w:rPr>
        <w:t xml:space="preserve"> directly on the centered data matrix.</w:t>
      </w:r>
    </w:p>
    <w:p w14:paraId="1F066C4D" w14:textId="78C964F3" w:rsidR="00CA42E7" w:rsidRDefault="00CA42E7" w:rsidP="00135AC2">
      <w:pPr>
        <w:pStyle w:val="ListParagraph"/>
        <w:numPr>
          <w:ilvl w:val="0"/>
          <w:numId w:val="28"/>
        </w:numPr>
        <w:bidi w:val="0"/>
        <w:jc w:val="both"/>
        <w:rPr>
          <w:sz w:val="28"/>
          <w:szCs w:val="28"/>
          <w:lang w:bidi="ar-EG"/>
        </w:rPr>
      </w:pPr>
      <w:r w:rsidRPr="00CA42E7">
        <w:rPr>
          <w:b/>
          <w:bCs/>
          <w:sz w:val="28"/>
          <w:szCs w:val="28"/>
          <w:lang w:bidi="ar-EG"/>
        </w:rPr>
        <w:t>The Depth:</w:t>
      </w:r>
      <w:r w:rsidRPr="00CA42E7">
        <w:rPr>
          <w:sz w:val="28"/>
          <w:szCs w:val="28"/>
          <w:lang w:bidi="ar-EG"/>
        </w:rPr>
        <w:t xml:space="preserve"> Computing the covariance matrix is computationally expensive (O(p^2n)) and can lead to numerical instability. SVD bypasses the covariance matrix entirely, providing better numerical precision and handling sparse datasets more efficiently.</w:t>
      </w:r>
    </w:p>
    <w:p w14:paraId="473243F8" w14:textId="77777777" w:rsidR="00CA42E7" w:rsidRPr="00CA42E7" w:rsidRDefault="00CA42E7" w:rsidP="00135AC2">
      <w:pPr>
        <w:pStyle w:val="ListParagraph"/>
        <w:bidi w:val="0"/>
        <w:ind w:left="1080"/>
        <w:jc w:val="both"/>
        <w:rPr>
          <w:sz w:val="28"/>
          <w:szCs w:val="28"/>
          <w:lang w:bidi="ar-EG"/>
        </w:rPr>
      </w:pPr>
    </w:p>
    <w:p w14:paraId="541372B3" w14:textId="77777777" w:rsidR="00CA42E7" w:rsidRPr="00CA42E7" w:rsidRDefault="00CA42E7" w:rsidP="00135AC2">
      <w:pPr>
        <w:bidi w:val="0"/>
        <w:ind w:left="360"/>
        <w:jc w:val="both"/>
        <w:rPr>
          <w:b/>
          <w:bCs/>
          <w:sz w:val="28"/>
          <w:szCs w:val="28"/>
          <w:lang w:bidi="ar-EG"/>
        </w:rPr>
      </w:pPr>
      <w:r w:rsidRPr="00CA42E7">
        <w:rPr>
          <w:b/>
          <w:bCs/>
          <w:sz w:val="30"/>
          <w:szCs w:val="30"/>
          <w:lang w:bidi="ar-EG"/>
        </w:rPr>
        <w:t>t-SNE:</w:t>
      </w:r>
      <w:r w:rsidRPr="00CA42E7">
        <w:rPr>
          <w:b/>
          <w:bCs/>
          <w:sz w:val="28"/>
          <w:szCs w:val="28"/>
          <w:lang w:bidi="ar-EG"/>
        </w:rPr>
        <w:t xml:space="preserve"> The Illusion of Global Distance</w:t>
      </w:r>
    </w:p>
    <w:p w14:paraId="54758AC2" w14:textId="4CAAEB58" w:rsidR="00CA42E7" w:rsidRPr="00CA42E7" w:rsidRDefault="00CA42E7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CA42E7">
        <w:rPr>
          <w:sz w:val="28"/>
          <w:szCs w:val="28"/>
          <w:lang w:bidi="ar-EG"/>
        </w:rPr>
        <w:t xml:space="preserve"> A common misconception in t-SNE visualization is that the distance between separated clusters represents their actual dissimilarity in the high-dimensional space.</w:t>
      </w:r>
    </w:p>
    <w:p w14:paraId="3C590493" w14:textId="77777777" w:rsidR="00CA42E7" w:rsidRPr="00CA42E7" w:rsidRDefault="00CA42E7" w:rsidP="00135AC2">
      <w:pPr>
        <w:pStyle w:val="ListParagraph"/>
        <w:numPr>
          <w:ilvl w:val="0"/>
          <w:numId w:val="27"/>
        </w:numPr>
        <w:bidi w:val="0"/>
        <w:jc w:val="both"/>
        <w:rPr>
          <w:sz w:val="28"/>
          <w:szCs w:val="28"/>
          <w:lang w:bidi="ar-EG"/>
        </w:rPr>
      </w:pPr>
      <w:r w:rsidRPr="00CA42E7">
        <w:rPr>
          <w:b/>
          <w:bCs/>
          <w:sz w:val="28"/>
          <w:szCs w:val="28"/>
          <w:lang w:bidi="ar-EG"/>
        </w:rPr>
        <w:lastRenderedPageBreak/>
        <w:t>The Depth:</w:t>
      </w:r>
      <w:r w:rsidRPr="00CA42E7">
        <w:rPr>
          <w:sz w:val="28"/>
          <w:szCs w:val="28"/>
          <w:lang w:bidi="ar-EG"/>
        </w:rPr>
        <w:t xml:space="preserve"> t-SNE is designed to preserve </w:t>
      </w:r>
      <w:r w:rsidRPr="00CA42E7">
        <w:rPr>
          <w:b/>
          <w:bCs/>
          <w:sz w:val="28"/>
          <w:szCs w:val="28"/>
          <w:lang w:bidi="ar-EG"/>
        </w:rPr>
        <w:t>local topology</w:t>
      </w:r>
      <w:r w:rsidRPr="00CA42E7">
        <w:rPr>
          <w:sz w:val="28"/>
          <w:szCs w:val="28"/>
          <w:lang w:bidi="ar-EG"/>
        </w:rPr>
        <w:t>, meaning it only ensures that points that were close together remain close. Because the algorithm uses a "Perplexity" hyperparameter to balance local and global attention, the "empty space" or distance between clusters in a 2D plot is essentially arbitrary and should not be used to infer global relationships between different groups.</w:t>
      </w:r>
    </w:p>
    <w:p w14:paraId="0C466ACA" w14:textId="77777777" w:rsidR="00CA42E7" w:rsidRPr="00CA42E7" w:rsidRDefault="00CA42E7" w:rsidP="00135AC2">
      <w:pPr>
        <w:bidi w:val="0"/>
        <w:ind w:left="360"/>
        <w:jc w:val="both"/>
        <w:rPr>
          <w:sz w:val="28"/>
          <w:szCs w:val="28"/>
          <w:lang w:bidi="ar-EG"/>
        </w:rPr>
      </w:pPr>
    </w:p>
    <w:p w14:paraId="65404A7A" w14:textId="77777777" w:rsidR="00CA42E7" w:rsidRDefault="00CA42E7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CA42E7">
        <w:rPr>
          <w:b/>
          <w:bCs/>
          <w:sz w:val="30"/>
          <w:szCs w:val="30"/>
          <w:lang w:bidi="ar-EG"/>
        </w:rPr>
        <w:t>MDA:</w:t>
      </w:r>
      <w:r w:rsidRPr="00CA42E7">
        <w:rPr>
          <w:sz w:val="28"/>
          <w:szCs w:val="28"/>
          <w:lang w:bidi="ar-EG"/>
        </w:rPr>
        <w:t xml:space="preserve"> </w:t>
      </w:r>
      <w:r w:rsidRPr="00CA42E7">
        <w:rPr>
          <w:b/>
          <w:bCs/>
          <w:sz w:val="28"/>
          <w:szCs w:val="28"/>
          <w:lang w:bidi="ar-EG"/>
        </w:rPr>
        <w:t>The Hard Dimensionality Constraint</w:t>
      </w:r>
    </w:p>
    <w:p w14:paraId="3E115BE9" w14:textId="2EEB1503" w:rsidR="00CA42E7" w:rsidRPr="00CA42E7" w:rsidRDefault="00CA42E7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CA42E7">
        <w:rPr>
          <w:sz w:val="28"/>
          <w:szCs w:val="28"/>
          <w:lang w:bidi="ar-EG"/>
        </w:rPr>
        <w:t xml:space="preserve">Researchers often attempt to reduce data to a specific number of components using MDA, only to find the algorithm </w:t>
      </w:r>
      <w:r w:rsidR="00135AC2" w:rsidRPr="00CA42E7">
        <w:rPr>
          <w:sz w:val="28"/>
          <w:szCs w:val="28"/>
          <w:lang w:bidi="ar-EG"/>
        </w:rPr>
        <w:t>capable</w:t>
      </w:r>
      <w:r w:rsidRPr="00CA42E7">
        <w:rPr>
          <w:sz w:val="28"/>
          <w:szCs w:val="28"/>
          <w:lang w:bidi="ar-EG"/>
        </w:rPr>
        <w:t>.</w:t>
      </w:r>
    </w:p>
    <w:p w14:paraId="3AFFD1B0" w14:textId="02E1394C" w:rsidR="00CA42E7" w:rsidRDefault="00CA42E7" w:rsidP="00135AC2">
      <w:pPr>
        <w:pStyle w:val="ListParagraph"/>
        <w:numPr>
          <w:ilvl w:val="0"/>
          <w:numId w:val="27"/>
        </w:numPr>
        <w:bidi w:val="0"/>
        <w:jc w:val="both"/>
        <w:rPr>
          <w:sz w:val="28"/>
          <w:szCs w:val="28"/>
          <w:lang w:bidi="ar-EG"/>
        </w:rPr>
      </w:pPr>
      <w:r w:rsidRPr="00CA42E7">
        <w:rPr>
          <w:b/>
          <w:bCs/>
          <w:sz w:val="28"/>
          <w:szCs w:val="28"/>
          <w:lang w:bidi="ar-EG"/>
        </w:rPr>
        <w:t>The Depth:</w:t>
      </w:r>
      <w:r w:rsidRPr="00CA42E7">
        <w:rPr>
          <w:sz w:val="28"/>
          <w:szCs w:val="28"/>
          <w:lang w:bidi="ar-EG"/>
        </w:rPr>
        <w:t xml:space="preserve"> The rank of the "Between-Class Scatter Matrix" in MDA is mathematically limited to </w:t>
      </w:r>
      <w:r w:rsidRPr="00135AC2">
        <w:rPr>
          <w:rFonts w:cs="Italic Outline Art"/>
          <w:sz w:val="30"/>
          <w:szCs w:val="30"/>
          <w:lang w:bidi="ar-EG"/>
        </w:rPr>
        <w:t>C</w:t>
      </w:r>
      <w:r w:rsidR="00135AC2">
        <w:rPr>
          <w:sz w:val="28"/>
          <w:szCs w:val="28"/>
          <w:lang w:bidi="ar-EG"/>
        </w:rPr>
        <w:t xml:space="preserve"> </w:t>
      </w:r>
      <w:r w:rsidRPr="00CA42E7">
        <w:rPr>
          <w:sz w:val="28"/>
          <w:szCs w:val="28"/>
          <w:lang w:bidi="ar-EG"/>
        </w:rPr>
        <w:t>−</w:t>
      </w:r>
      <w:r w:rsidR="00135AC2">
        <w:rPr>
          <w:sz w:val="28"/>
          <w:szCs w:val="28"/>
          <w:lang w:bidi="ar-EG"/>
        </w:rPr>
        <w:t xml:space="preserve"> </w:t>
      </w:r>
      <w:r w:rsidRPr="00CA42E7">
        <w:rPr>
          <w:sz w:val="28"/>
          <w:szCs w:val="28"/>
          <w:lang w:bidi="ar-EG"/>
        </w:rPr>
        <w:t xml:space="preserve">1, where C is the number of unique classes. For example, in a binary classification (2 classes), MDA can only project the data onto </w:t>
      </w:r>
      <w:r w:rsidRPr="00CA42E7">
        <w:rPr>
          <w:b/>
          <w:bCs/>
          <w:sz w:val="28"/>
          <w:szCs w:val="28"/>
          <w:lang w:bidi="ar-EG"/>
        </w:rPr>
        <w:t>one single dimension</w:t>
      </w:r>
      <w:r w:rsidRPr="00CA42E7">
        <w:rPr>
          <w:sz w:val="28"/>
          <w:szCs w:val="28"/>
          <w:lang w:bidi="ar-EG"/>
        </w:rPr>
        <w:t>, regardless of how many thousands of input features you started with. This makes MDA a "bottleneck" technique when the number of categories is small.</w:t>
      </w:r>
    </w:p>
    <w:p w14:paraId="19E10AA5" w14:textId="44FD15B9" w:rsidR="002916B0" w:rsidRPr="002916B0" w:rsidRDefault="002916B0" w:rsidP="002916B0">
      <w:pPr>
        <w:jc w:val="right"/>
        <w:rPr>
          <w:b/>
          <w:bCs/>
          <w:sz w:val="28"/>
          <w:szCs w:val="28"/>
          <w:lang w:bidi="ar-EG"/>
        </w:rPr>
      </w:pPr>
      <w:r w:rsidRPr="002916B0">
        <w:rPr>
          <w:b/>
          <w:bCs/>
          <w:sz w:val="28"/>
          <w:szCs w:val="28"/>
          <w:lang w:bidi="ar-EG"/>
        </w:rPr>
        <w:t>8-</w:t>
      </w:r>
      <w:r w:rsidRPr="002916B0">
        <w:rPr>
          <w:b/>
          <w:bCs/>
          <w:sz w:val="28"/>
          <w:szCs w:val="28"/>
          <w:lang w:bidi="ar-EG"/>
        </w:rPr>
        <w:t>"The following figures provide a comparative visual analysis of PCA, t-SNE, and MDA methodologies."</w:t>
      </w:r>
    </w:p>
    <w:p w14:paraId="588B3307" w14:textId="6012F55E" w:rsidR="00CA42E7" w:rsidRPr="00CA42E7" w:rsidRDefault="00135AC2" w:rsidP="002916B0">
      <w:pPr>
        <w:bidi w:val="0"/>
        <w:ind w:left="360"/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drawing>
          <wp:inline distT="0" distB="0" distL="0" distR="0" wp14:anchorId="525BEF0A" wp14:editId="66211CDE">
            <wp:extent cx="5416062" cy="3071338"/>
            <wp:effectExtent l="152400" t="152400" r="356235" b="358140"/>
            <wp:docPr id="858237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37091" name="Picture 85823709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821" cy="30921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AA879" w14:textId="77777777" w:rsidR="002916B0" w:rsidRDefault="002916B0" w:rsidP="00135AC2">
      <w:pPr>
        <w:bidi w:val="0"/>
        <w:ind w:left="360"/>
        <w:jc w:val="both"/>
        <w:rPr>
          <w:b/>
          <w:bCs/>
          <w:sz w:val="32"/>
          <w:szCs w:val="32"/>
          <w:lang w:bidi="ar-EG"/>
        </w:rPr>
      </w:pPr>
    </w:p>
    <w:p w14:paraId="542039EF" w14:textId="5DF452D5" w:rsidR="00121409" w:rsidRPr="00121409" w:rsidRDefault="00135AC2" w:rsidP="002916B0">
      <w:pPr>
        <w:bidi w:val="0"/>
        <w:ind w:left="360"/>
        <w:jc w:val="both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7</w:t>
      </w:r>
      <w:r w:rsidR="00121409" w:rsidRPr="00121409">
        <w:rPr>
          <w:b/>
          <w:bCs/>
          <w:sz w:val="32"/>
          <w:szCs w:val="32"/>
          <w:lang w:bidi="ar-EG"/>
        </w:rPr>
        <w:t>-</w:t>
      </w:r>
      <w:r w:rsidR="00AD6EB3" w:rsidRPr="00121409">
        <w:rPr>
          <w:b/>
          <w:bCs/>
          <w:sz w:val="32"/>
          <w:szCs w:val="32"/>
          <w:lang w:bidi="ar-EG"/>
        </w:rPr>
        <w:t>Conclusion</w:t>
      </w:r>
    </w:p>
    <w:p w14:paraId="7AF28E07" w14:textId="590049C0" w:rsidR="00121409" w:rsidRDefault="00AD6EB3" w:rsidP="00135AC2">
      <w:pPr>
        <w:bidi w:val="0"/>
        <w:ind w:left="360"/>
        <w:jc w:val="both"/>
        <w:rPr>
          <w:sz w:val="28"/>
          <w:szCs w:val="28"/>
          <w:lang w:bidi="ar-EG"/>
        </w:rPr>
      </w:pPr>
      <w:r w:rsidRPr="00AD6EB3">
        <w:rPr>
          <w:sz w:val="28"/>
          <w:szCs w:val="28"/>
          <w:lang w:bidi="ar-EG"/>
        </w:rPr>
        <w:t>Choosing the right technique depends on the objective. PCA is best for general noise reduction and compression. t-SNE is the gold standard for visual data exploration and finding clusters. MDA is the most powerful when class labels are known and the goal is to optimize a classification model.</w:t>
      </w:r>
    </w:p>
    <w:p w14:paraId="10CF3C85" w14:textId="77777777" w:rsidR="00121409" w:rsidRDefault="00121409" w:rsidP="00135AC2">
      <w:pPr>
        <w:bidi w:val="0"/>
        <w:ind w:left="360"/>
        <w:jc w:val="both"/>
        <w:rPr>
          <w:sz w:val="28"/>
          <w:szCs w:val="28"/>
          <w:lang w:bidi="ar-EG"/>
        </w:rPr>
      </w:pPr>
    </w:p>
    <w:p w14:paraId="4EB5554A" w14:textId="3782AD60" w:rsidR="00121409" w:rsidRPr="00121409" w:rsidRDefault="00135AC2" w:rsidP="00135AC2">
      <w:pPr>
        <w:bidi w:val="0"/>
        <w:ind w:left="360"/>
        <w:jc w:val="both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8</w:t>
      </w:r>
      <w:r w:rsidR="00121409" w:rsidRPr="00121409">
        <w:rPr>
          <w:b/>
          <w:bCs/>
          <w:sz w:val="32"/>
          <w:szCs w:val="32"/>
          <w:lang w:bidi="ar-EG"/>
        </w:rPr>
        <w:t>-</w:t>
      </w:r>
      <w:r w:rsidR="00AD6EB3" w:rsidRPr="00121409">
        <w:rPr>
          <w:b/>
          <w:bCs/>
          <w:sz w:val="32"/>
          <w:szCs w:val="32"/>
          <w:lang w:bidi="ar-EG"/>
        </w:rPr>
        <w:t>References</w:t>
      </w:r>
    </w:p>
    <w:p w14:paraId="24B97B3C" w14:textId="1868A458" w:rsidR="00AD6EB3" w:rsidRPr="00121409" w:rsidRDefault="00AD6EB3" w:rsidP="00135AC2">
      <w:pPr>
        <w:pStyle w:val="ListParagraph"/>
        <w:numPr>
          <w:ilvl w:val="0"/>
          <w:numId w:val="22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sz w:val="28"/>
          <w:szCs w:val="28"/>
          <w:lang w:bidi="ar-EG"/>
        </w:rPr>
        <w:t>Jolliffe, I. T. (2002). Principal Component Analysis. Springer Series in Statistics.</w:t>
      </w:r>
    </w:p>
    <w:p w14:paraId="355172E5" w14:textId="77777777" w:rsidR="00121409" w:rsidRPr="00121409" w:rsidRDefault="00AD6EB3" w:rsidP="00135AC2">
      <w:pPr>
        <w:pStyle w:val="ListParagraph"/>
        <w:numPr>
          <w:ilvl w:val="0"/>
          <w:numId w:val="22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sz w:val="28"/>
          <w:szCs w:val="28"/>
          <w:lang w:bidi="ar-EG"/>
        </w:rPr>
        <w:t xml:space="preserve">Van der </w:t>
      </w:r>
      <w:proofErr w:type="spellStart"/>
      <w:r w:rsidRPr="00121409">
        <w:rPr>
          <w:sz w:val="28"/>
          <w:szCs w:val="28"/>
          <w:lang w:bidi="ar-EG"/>
        </w:rPr>
        <w:t>Maaten</w:t>
      </w:r>
      <w:proofErr w:type="spellEnd"/>
      <w:r w:rsidRPr="00121409">
        <w:rPr>
          <w:sz w:val="28"/>
          <w:szCs w:val="28"/>
          <w:lang w:bidi="ar-EG"/>
        </w:rPr>
        <w:t>, L., &amp; Hinton, G. (2008). "Visualizing data using t-SNE." Journal of Machine Learning Research.</w:t>
      </w:r>
    </w:p>
    <w:p w14:paraId="35F4007D" w14:textId="46BF55F5" w:rsidR="00AD6EB3" w:rsidRPr="00121409" w:rsidRDefault="00AD6EB3" w:rsidP="00135AC2">
      <w:pPr>
        <w:pStyle w:val="ListParagraph"/>
        <w:numPr>
          <w:ilvl w:val="0"/>
          <w:numId w:val="22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sz w:val="28"/>
          <w:szCs w:val="28"/>
          <w:lang w:bidi="ar-EG"/>
        </w:rPr>
        <w:t>McLachlan, G. J. (2004). Discriminant Analysis and Statistical Pattern Recognition. Wiley-</w:t>
      </w:r>
      <w:proofErr w:type="spellStart"/>
      <w:r w:rsidRPr="00121409">
        <w:rPr>
          <w:sz w:val="28"/>
          <w:szCs w:val="28"/>
          <w:lang w:bidi="ar-EG"/>
        </w:rPr>
        <w:t>Interscience</w:t>
      </w:r>
      <w:proofErr w:type="spellEnd"/>
      <w:r w:rsidRPr="00121409">
        <w:rPr>
          <w:sz w:val="28"/>
          <w:szCs w:val="28"/>
          <w:lang w:bidi="ar-EG"/>
        </w:rPr>
        <w:t>.</w:t>
      </w:r>
    </w:p>
    <w:p w14:paraId="6CC38F8D" w14:textId="77777777" w:rsidR="00AD6EB3" w:rsidRPr="00121409" w:rsidRDefault="00AD6EB3" w:rsidP="00135AC2">
      <w:pPr>
        <w:pStyle w:val="ListParagraph"/>
        <w:numPr>
          <w:ilvl w:val="0"/>
          <w:numId w:val="22"/>
        </w:numPr>
        <w:bidi w:val="0"/>
        <w:jc w:val="both"/>
        <w:rPr>
          <w:sz w:val="28"/>
          <w:szCs w:val="28"/>
          <w:lang w:bidi="ar-EG"/>
        </w:rPr>
      </w:pPr>
      <w:r w:rsidRPr="00121409">
        <w:rPr>
          <w:sz w:val="28"/>
          <w:szCs w:val="28"/>
          <w:lang w:bidi="ar-EG"/>
        </w:rPr>
        <w:t>Bishop, C. M. (2006). Pattern Recognition and Machine Learning. Springer New York.</w:t>
      </w:r>
    </w:p>
    <w:sectPr w:rsidR="00AD6EB3" w:rsidRPr="00121409" w:rsidSect="009904B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talic Outline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48F"/>
    <w:multiLevelType w:val="hybridMultilevel"/>
    <w:tmpl w:val="E1C847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5624B1"/>
    <w:multiLevelType w:val="hybridMultilevel"/>
    <w:tmpl w:val="AE522F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8F381F"/>
    <w:multiLevelType w:val="hybridMultilevel"/>
    <w:tmpl w:val="53CC40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C61414"/>
    <w:multiLevelType w:val="hybridMultilevel"/>
    <w:tmpl w:val="DFCC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4438"/>
    <w:multiLevelType w:val="hybridMultilevel"/>
    <w:tmpl w:val="B8F07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4F3C40"/>
    <w:multiLevelType w:val="hybridMultilevel"/>
    <w:tmpl w:val="45F05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90A38"/>
    <w:multiLevelType w:val="hybridMultilevel"/>
    <w:tmpl w:val="89088E0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66287D"/>
    <w:multiLevelType w:val="multilevel"/>
    <w:tmpl w:val="13C6E7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710FE"/>
    <w:multiLevelType w:val="hybridMultilevel"/>
    <w:tmpl w:val="44BAF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77D4"/>
    <w:multiLevelType w:val="hybridMultilevel"/>
    <w:tmpl w:val="B826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B2542"/>
    <w:multiLevelType w:val="hybridMultilevel"/>
    <w:tmpl w:val="415CC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DD689B"/>
    <w:multiLevelType w:val="hybridMultilevel"/>
    <w:tmpl w:val="8F9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A0D6E"/>
    <w:multiLevelType w:val="hybridMultilevel"/>
    <w:tmpl w:val="AD481A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8A1483"/>
    <w:multiLevelType w:val="hybridMultilevel"/>
    <w:tmpl w:val="1AF2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4710D"/>
    <w:multiLevelType w:val="hybridMultilevel"/>
    <w:tmpl w:val="81E6B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9E7C00"/>
    <w:multiLevelType w:val="hybridMultilevel"/>
    <w:tmpl w:val="BB52E7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172605"/>
    <w:multiLevelType w:val="hybridMultilevel"/>
    <w:tmpl w:val="A82899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EC0128"/>
    <w:multiLevelType w:val="multilevel"/>
    <w:tmpl w:val="311C7D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70226"/>
    <w:multiLevelType w:val="hybridMultilevel"/>
    <w:tmpl w:val="2BEEC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247665"/>
    <w:multiLevelType w:val="hybridMultilevel"/>
    <w:tmpl w:val="880E1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F01FC"/>
    <w:multiLevelType w:val="hybridMultilevel"/>
    <w:tmpl w:val="8F4E0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C66F0"/>
    <w:multiLevelType w:val="multilevel"/>
    <w:tmpl w:val="C878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A3927"/>
    <w:multiLevelType w:val="hybridMultilevel"/>
    <w:tmpl w:val="94DE7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A15B18"/>
    <w:multiLevelType w:val="multilevel"/>
    <w:tmpl w:val="FFECA7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861982"/>
    <w:multiLevelType w:val="multilevel"/>
    <w:tmpl w:val="9E129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917DAE"/>
    <w:multiLevelType w:val="hybridMultilevel"/>
    <w:tmpl w:val="C29EE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34978"/>
    <w:multiLevelType w:val="hybridMultilevel"/>
    <w:tmpl w:val="9E3858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687F9E"/>
    <w:multiLevelType w:val="hybridMultilevel"/>
    <w:tmpl w:val="5184A8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3958575">
    <w:abstractNumId w:val="21"/>
  </w:num>
  <w:num w:numId="2" w16cid:durableId="1725253148">
    <w:abstractNumId w:val="7"/>
  </w:num>
  <w:num w:numId="3" w16cid:durableId="1884095112">
    <w:abstractNumId w:val="24"/>
  </w:num>
  <w:num w:numId="4" w16cid:durableId="1305037599">
    <w:abstractNumId w:val="17"/>
  </w:num>
  <w:num w:numId="5" w16cid:durableId="29840864">
    <w:abstractNumId w:val="19"/>
  </w:num>
  <w:num w:numId="6" w16cid:durableId="535892777">
    <w:abstractNumId w:val="20"/>
  </w:num>
  <w:num w:numId="7" w16cid:durableId="236944153">
    <w:abstractNumId w:val="12"/>
  </w:num>
  <w:num w:numId="8" w16cid:durableId="1098526424">
    <w:abstractNumId w:val="6"/>
  </w:num>
  <w:num w:numId="9" w16cid:durableId="1110323963">
    <w:abstractNumId w:val="0"/>
  </w:num>
  <w:num w:numId="10" w16cid:durableId="257446658">
    <w:abstractNumId w:val="15"/>
  </w:num>
  <w:num w:numId="11" w16cid:durableId="1715083211">
    <w:abstractNumId w:val="27"/>
  </w:num>
  <w:num w:numId="12" w16cid:durableId="528569428">
    <w:abstractNumId w:val="22"/>
  </w:num>
  <w:num w:numId="13" w16cid:durableId="502208767">
    <w:abstractNumId w:val="9"/>
  </w:num>
  <w:num w:numId="14" w16cid:durableId="1786851754">
    <w:abstractNumId w:val="25"/>
  </w:num>
  <w:num w:numId="15" w16cid:durableId="1139305490">
    <w:abstractNumId w:val="14"/>
  </w:num>
  <w:num w:numId="16" w16cid:durableId="690453485">
    <w:abstractNumId w:val="3"/>
  </w:num>
  <w:num w:numId="17" w16cid:durableId="1642346010">
    <w:abstractNumId w:val="11"/>
  </w:num>
  <w:num w:numId="18" w16cid:durableId="1600026202">
    <w:abstractNumId w:val="13"/>
  </w:num>
  <w:num w:numId="19" w16cid:durableId="2111274253">
    <w:abstractNumId w:val="8"/>
  </w:num>
  <w:num w:numId="20" w16cid:durableId="1691564356">
    <w:abstractNumId w:val="5"/>
  </w:num>
  <w:num w:numId="21" w16cid:durableId="1494494037">
    <w:abstractNumId w:val="4"/>
  </w:num>
  <w:num w:numId="22" w16cid:durableId="146021582">
    <w:abstractNumId w:val="10"/>
  </w:num>
  <w:num w:numId="23" w16cid:durableId="1789665823">
    <w:abstractNumId w:val="23"/>
  </w:num>
  <w:num w:numId="24" w16cid:durableId="1140195699">
    <w:abstractNumId w:val="16"/>
  </w:num>
  <w:num w:numId="25" w16cid:durableId="1739595962">
    <w:abstractNumId w:val="18"/>
  </w:num>
  <w:num w:numId="26" w16cid:durableId="297876520">
    <w:abstractNumId w:val="26"/>
  </w:num>
  <w:num w:numId="27" w16cid:durableId="436948480">
    <w:abstractNumId w:val="1"/>
  </w:num>
  <w:num w:numId="28" w16cid:durableId="1284387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B3"/>
    <w:rsid w:val="00121409"/>
    <w:rsid w:val="00135AC2"/>
    <w:rsid w:val="002916B0"/>
    <w:rsid w:val="002919BE"/>
    <w:rsid w:val="00323279"/>
    <w:rsid w:val="00526594"/>
    <w:rsid w:val="005D5D1D"/>
    <w:rsid w:val="00961517"/>
    <w:rsid w:val="009904B9"/>
    <w:rsid w:val="00AD6EB3"/>
    <w:rsid w:val="00CA42E7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05EA"/>
  <w15:chartTrackingRefBased/>
  <w15:docId w15:val="{C36D7B97-3BCE-457B-A033-6FCFF9C8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D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E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16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21D4F-DB41-44F3-B2DA-14603D60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shenoda safwat shenoda</dc:creator>
  <cp:keywords/>
  <dc:description/>
  <cp:lastModifiedBy>shenoda safwat shenoda</cp:lastModifiedBy>
  <cp:revision>4</cp:revision>
  <dcterms:created xsi:type="dcterms:W3CDTF">2026-03-18T09:52:00Z</dcterms:created>
  <dcterms:modified xsi:type="dcterms:W3CDTF">2026-03-18T10:50:00Z</dcterms:modified>
</cp:coreProperties>
</file>