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设计要求：尽量用图片展示，如地图、图标等（参考优财的设计）</w:t>
      </w:r>
    </w:p>
    <w:p/>
    <w:p/>
    <w:p>
      <w:r>
        <w:rPr>
          <w:rFonts w:hint="eastAsia"/>
        </w:rPr>
        <w:t>BANNER</w:t>
      </w:r>
    </w:p>
    <w:p/>
    <w:p>
      <w:r>
        <w:drawing>
          <wp:inline distT="0" distB="0" distL="0" distR="0">
            <wp:extent cx="5274310" cy="1463675"/>
            <wp:effectExtent l="0" t="0" r="2540" b="31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文案修改，最后两行改成：成为“未来CFO”需要几步？华领国际助力财务人向管理会计转型！</w:t>
      </w:r>
    </w:p>
    <w:p/>
    <w:p>
      <w:r>
        <w:t>1</w:t>
      </w:r>
      <w:r>
        <w:rPr>
          <w:rFonts w:hint="eastAsia"/>
        </w:rPr>
        <w:t>、</w:t>
      </w:r>
      <w:r>
        <w:t>CMA</w:t>
      </w:r>
      <w:r>
        <w:rPr>
          <w:rFonts w:hint="eastAsia"/>
        </w:rPr>
        <w:t>考试大全</w:t>
      </w:r>
    </w:p>
    <w:p/>
    <w:p>
      <w:r>
        <w:drawing>
          <wp:inline distT="0" distB="0" distL="0" distR="0">
            <wp:extent cx="4864100" cy="14478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（这部份和通用框架一致）</w:t>
      </w:r>
    </w:p>
    <w:p/>
    <w:p>
      <w:r>
        <w:t>2</w:t>
      </w:r>
      <w:r>
        <w:rPr>
          <w:rFonts w:hint="eastAsia"/>
        </w:rPr>
        <w:t>、</w:t>
      </w:r>
      <w:r>
        <w:t>2018</w:t>
      </w:r>
      <w:r>
        <w:rPr>
          <w:rFonts w:hint="eastAsia"/>
        </w:rPr>
        <w:t xml:space="preserve"> </w:t>
      </w:r>
      <w:r>
        <w:t>CMA</w:t>
      </w:r>
      <w:r>
        <w:rPr>
          <w:rFonts w:hint="eastAsia"/>
        </w:rPr>
        <w:t>考试大纲</w:t>
      </w:r>
    </w:p>
    <w:p/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part-1:财务报告、规划、绩效与控制  part－2:财务决策</w:t>
      </w:r>
    </w:p>
    <w:tbl>
      <w:tblPr>
        <w:tblStyle w:val="5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1456"/>
        <w:gridCol w:w="2129"/>
        <w:gridCol w:w="21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  <w:gridSpan w:val="2"/>
            <w:shd w:val="clear" w:color="auto" w:fill="4F81BD" w:themeFill="accent1"/>
          </w:tcPr>
          <w:p>
            <w:pPr>
              <w:pStyle w:val="7"/>
              <w:spacing w:before="0" w:after="0" w:line="240" w:lineRule="auto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4小时—100道选择题及2道简答题</w:t>
            </w:r>
          </w:p>
        </w:tc>
        <w:tc>
          <w:tcPr>
            <w:tcW w:w="4258" w:type="dxa"/>
            <w:gridSpan w:val="2"/>
            <w:shd w:val="clear" w:color="auto" w:fill="4F81BD" w:themeFill="accent1"/>
          </w:tcPr>
          <w:p>
            <w:pPr>
              <w:pStyle w:val="7"/>
              <w:spacing w:before="0" w:after="0" w:line="240" w:lineRule="auto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4小时—100道选择题及2道简答题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tcBorders>
              <w:top w:val="single" w:color="4F81BD" w:themeColor="accent1" w:sz="8" w:space="0"/>
              <w:left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对外财务报告决策</w:t>
            </w:r>
          </w:p>
        </w:tc>
        <w:tc>
          <w:tcPr>
            <w:tcW w:w="1456" w:type="dxa"/>
            <w:tcBorders>
              <w:top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15%</w:t>
            </w:r>
          </w:p>
        </w:tc>
        <w:tc>
          <w:tcPr>
            <w:tcW w:w="2129" w:type="dxa"/>
            <w:tcBorders>
              <w:top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财务报表分析</w:t>
            </w:r>
          </w:p>
        </w:tc>
        <w:tc>
          <w:tcPr>
            <w:tcW w:w="2129" w:type="dxa"/>
            <w:tcBorders>
              <w:top w:val="single" w:color="4F81BD" w:themeColor="accent1" w:sz="8" w:space="0"/>
              <w:bottom w:val="single" w:color="4F81BD" w:themeColor="accent1" w:sz="8" w:space="0"/>
              <w:right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25%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pStyle w:val="7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计划、预算和预测</w:t>
            </w:r>
          </w:p>
        </w:tc>
        <w:tc>
          <w:tcPr>
            <w:tcW w:w="1456" w:type="dxa"/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30%</w:t>
            </w:r>
          </w:p>
        </w:tc>
        <w:tc>
          <w:tcPr>
            <w:tcW w:w="2129" w:type="dxa"/>
          </w:tcPr>
          <w:p>
            <w:pPr>
              <w:pStyle w:val="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公司财务</w:t>
            </w:r>
          </w:p>
        </w:tc>
        <w:tc>
          <w:tcPr>
            <w:tcW w:w="2129" w:type="dxa"/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tcBorders>
              <w:top w:val="single" w:color="4F81BD" w:themeColor="accent1" w:sz="8" w:space="0"/>
              <w:left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绩效管理</w:t>
            </w:r>
          </w:p>
        </w:tc>
        <w:tc>
          <w:tcPr>
            <w:tcW w:w="1456" w:type="dxa"/>
            <w:tcBorders>
              <w:top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20%</w:t>
            </w:r>
          </w:p>
        </w:tc>
        <w:tc>
          <w:tcPr>
            <w:tcW w:w="2129" w:type="dxa"/>
            <w:tcBorders>
              <w:top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决策分析</w:t>
            </w:r>
          </w:p>
        </w:tc>
        <w:tc>
          <w:tcPr>
            <w:tcW w:w="2129" w:type="dxa"/>
            <w:tcBorders>
              <w:top w:val="single" w:color="4F81BD" w:themeColor="accent1" w:sz="8" w:space="0"/>
              <w:bottom w:val="single" w:color="4F81BD" w:themeColor="accent1" w:sz="8" w:space="0"/>
              <w:right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pStyle w:val="7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成本管理</w:t>
            </w:r>
          </w:p>
        </w:tc>
        <w:tc>
          <w:tcPr>
            <w:tcW w:w="1456" w:type="dxa"/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20%</w:t>
            </w:r>
          </w:p>
        </w:tc>
        <w:tc>
          <w:tcPr>
            <w:tcW w:w="2129" w:type="dxa"/>
          </w:tcPr>
          <w:p>
            <w:pPr>
              <w:pStyle w:val="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风险管理</w:t>
            </w:r>
          </w:p>
        </w:tc>
        <w:tc>
          <w:tcPr>
            <w:tcW w:w="2129" w:type="dxa"/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10%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tcBorders>
              <w:top w:val="single" w:color="4F81BD" w:themeColor="accent1" w:sz="8" w:space="0"/>
              <w:left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内部控制</w:t>
            </w:r>
          </w:p>
        </w:tc>
        <w:tc>
          <w:tcPr>
            <w:tcW w:w="1456" w:type="dxa"/>
            <w:tcBorders>
              <w:top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15%</w:t>
            </w:r>
          </w:p>
        </w:tc>
        <w:tc>
          <w:tcPr>
            <w:tcW w:w="2129" w:type="dxa"/>
            <w:tcBorders>
              <w:top w:val="single" w:color="4F81BD" w:themeColor="accent1" w:sz="8" w:space="0"/>
              <w:bottom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投资决策</w:t>
            </w:r>
          </w:p>
        </w:tc>
        <w:tc>
          <w:tcPr>
            <w:tcW w:w="2129" w:type="dxa"/>
            <w:tcBorders>
              <w:top w:val="single" w:color="4F81BD" w:themeColor="accent1" w:sz="8" w:space="0"/>
              <w:bottom w:val="single" w:color="4F81BD" w:themeColor="accent1" w:sz="8" w:space="0"/>
              <w:right w:val="single" w:color="4F81BD" w:themeColor="accent1" w:sz="8" w:space="0"/>
              <w:insideH w:val="single" w:sz="8" w:space="0"/>
            </w:tcBorders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15%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pStyle w:val="7"/>
              <w:ind w:firstLine="0" w:firstLineChars="0"/>
              <w:rPr>
                <w:b/>
                <w:bCs/>
              </w:rPr>
            </w:pPr>
          </w:p>
        </w:tc>
        <w:tc>
          <w:tcPr>
            <w:tcW w:w="1456" w:type="dxa"/>
          </w:tcPr>
          <w:p>
            <w:pPr>
              <w:pStyle w:val="7"/>
              <w:ind w:firstLine="0" w:firstLineChars="0"/>
            </w:pPr>
          </w:p>
        </w:tc>
        <w:tc>
          <w:tcPr>
            <w:tcW w:w="2129" w:type="dxa"/>
          </w:tcPr>
          <w:p>
            <w:pPr>
              <w:pStyle w:val="7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职业道德</w:t>
            </w:r>
          </w:p>
        </w:tc>
        <w:tc>
          <w:tcPr>
            <w:tcW w:w="2129" w:type="dxa"/>
          </w:tcPr>
          <w:p>
            <w:pPr>
              <w:pStyle w:val="7"/>
              <w:ind w:firstLine="0" w:firstLineChars="0"/>
            </w:pPr>
            <w:r>
              <w:rPr>
                <w:rFonts w:hint="eastAsia"/>
              </w:rPr>
              <w:t>10%</w:t>
            </w:r>
          </w:p>
        </w:tc>
      </w:tr>
    </w:tbl>
    <w:p/>
    <w:p/>
    <w:p>
      <w:r>
        <w:rPr>
          <w:rFonts w:hint="eastAsia"/>
        </w:rPr>
        <w:t>3、</w:t>
      </w:r>
      <w:r>
        <w:t>2018</w:t>
      </w:r>
      <w:r>
        <w:rPr>
          <w:rFonts w:hint="eastAsia"/>
        </w:rPr>
        <w:t>CMA考试流程</w:t>
      </w:r>
    </w:p>
    <w:p/>
    <w:p>
      <w:r>
        <w:rPr>
          <w:rFonts w:hint="eastAsia"/>
        </w:rPr>
        <w:t>注册成为IMA会员   支付考试准入费   注册CMA考试  预约考试时间和地点</w:t>
      </w:r>
    </w:p>
    <w:p/>
    <w:p>
      <w:r>
        <w:rPr>
          <w:rFonts w:hint="eastAsia"/>
        </w:rPr>
        <w:t>4、</w:t>
      </w:r>
      <w:r>
        <w:t>2018</w:t>
      </w:r>
      <w:r>
        <w:rPr>
          <w:rFonts w:hint="eastAsia"/>
        </w:rPr>
        <w:t>CMA考试日期</w:t>
      </w:r>
    </w:p>
    <w:p>
      <w:r>
        <w:rPr>
          <w:rFonts w:hint="eastAsia"/>
        </w:rPr>
        <w:t>4月14日、7月28日、11月10日</w:t>
      </w:r>
    </w:p>
    <w:p/>
    <w:p>
      <w:r>
        <w:rPr>
          <w:rFonts w:hint="eastAsia"/>
        </w:rPr>
        <w:t xml:space="preserve">上午：Part 1  </w:t>
      </w:r>
      <w:r>
        <w:t>8:30-12:30;</w:t>
      </w:r>
    </w:p>
    <w:p>
      <w:r>
        <w:rPr>
          <w:rFonts w:hint="eastAsia"/>
        </w:rPr>
        <w:t>下午：Part 2  14:30-18:30</w:t>
      </w:r>
    </w:p>
    <w:p/>
    <w:p>
      <w:r>
        <w:rPr>
          <w:rFonts w:hint="eastAsia"/>
        </w:rPr>
        <w:t>5、</w:t>
      </w:r>
      <w:r>
        <w:t>2018CMA</w:t>
      </w:r>
      <w:r>
        <w:rPr>
          <w:rFonts w:hint="eastAsia"/>
        </w:rPr>
        <w:t>考试地点</w:t>
      </w:r>
    </w:p>
    <w:p/>
    <w:p>
      <w:r>
        <w:rPr>
          <w:rFonts w:hint="eastAsia"/>
        </w:rPr>
        <w:t>北京：北京市海淀区西三环北路2号北京外国语大学东院逸夫楼</w:t>
      </w:r>
    </w:p>
    <w:p>
      <w:r>
        <w:rPr>
          <w:rFonts w:hint="eastAsia"/>
        </w:rPr>
        <w:t>上海：上海市宝山区上大路99号上海大学EJ教学楼</w:t>
      </w:r>
    </w:p>
    <w:p>
      <w:r>
        <w:rPr>
          <w:rFonts w:hint="eastAsia"/>
        </w:rPr>
        <w:t>苏州：苏州工业园区独墅湖高教区仁爱路188号中国科技大学苏州研究院西区敏学楼</w:t>
      </w:r>
    </w:p>
    <w:p>
      <w:r>
        <w:rPr>
          <w:rFonts w:hint="eastAsia"/>
        </w:rPr>
        <w:t>成都：成都市一环路西三段 3号 四川广播学院电视大学第二教学楼</w:t>
      </w:r>
    </w:p>
    <w:p>
      <w:r>
        <w:rPr>
          <w:rFonts w:hint="eastAsia"/>
        </w:rPr>
        <w:t>西安：西安市雁塔区长安南路437号，西安外国语大学四号楼教学楼</w:t>
      </w:r>
    </w:p>
    <w:p>
      <w:r>
        <w:rPr>
          <w:rFonts w:hint="eastAsia"/>
        </w:rPr>
        <w:t>青岛：山东省青岛市崂山区松岭路238号中国海洋大学崂山校区教学楼6区</w:t>
      </w:r>
    </w:p>
    <w:p>
      <w:r>
        <w:rPr>
          <w:rFonts w:hint="eastAsia"/>
        </w:rPr>
        <w:t>武汉：武汉市武昌区友谊大道350号湖北省考试院沙湖考试基地2号楼</w:t>
      </w:r>
    </w:p>
    <w:p>
      <w:r>
        <w:rPr>
          <w:rFonts w:hint="eastAsia"/>
        </w:rPr>
        <w:t>广州：广州市越秀区下塘西路1号 广东开放大学</w:t>
      </w:r>
      <w:bookmarkStart w:id="0" w:name="_GoBack"/>
      <w:bookmarkEnd w:id="0"/>
    </w:p>
    <w:p>
      <w:r>
        <w:rPr>
          <w:rFonts w:hint="eastAsia"/>
        </w:rPr>
        <w:t>大连：大连市甘井子区华北路1号 大连职工大5号楼</w:t>
      </w:r>
    </w:p>
    <w:p>
      <w:r>
        <w:rPr>
          <w:rFonts w:hint="eastAsia"/>
        </w:rPr>
        <w:t>南京：南京市仙林路大学城文苑路3号南京财经大学仙林校区A楼</w:t>
      </w:r>
    </w:p>
    <w:p>
      <w:r>
        <w:rPr>
          <w:rFonts w:hint="eastAsia"/>
        </w:rPr>
        <w:t>昆明：昆明市五华区海屯路296号 云南经济管理学院（海源校区）三教</w:t>
      </w:r>
    </w:p>
    <w:p>
      <w:r>
        <w:rPr>
          <w:rFonts w:hint="eastAsia"/>
        </w:rPr>
        <w:t>济南：济南市市中区纬三路24号 习习居宾馆</w:t>
      </w:r>
    </w:p>
    <w:p>
      <w:r>
        <w:rPr>
          <w:rFonts w:hint="eastAsia"/>
        </w:rPr>
        <w:t>深圳：深圳市罗湖区解放路4008号深圳大学继续教育学院</w:t>
      </w:r>
    </w:p>
    <w:p>
      <w:r>
        <w:rPr>
          <w:rFonts w:hint="eastAsia"/>
        </w:rPr>
        <w:t>郑州：郑州市金水区政六街6号 中天迎宾馆会议厅</w:t>
      </w:r>
    </w:p>
    <w:p>
      <w:r>
        <w:rPr>
          <w:rFonts w:hint="eastAsia"/>
        </w:rPr>
        <w:t>杭州：西湖区保俶北路87号 杭州市退休干部大学</w:t>
      </w:r>
    </w:p>
    <w:p>
      <w:r>
        <w:rPr>
          <w:rFonts w:hint="eastAsia"/>
        </w:rPr>
        <w:t>天津：天津市西青区宾水西道399号 天津工业大学纺织学院</w:t>
      </w:r>
    </w:p>
    <w:p>
      <w:r>
        <w:rPr>
          <w:rFonts w:hint="eastAsia"/>
        </w:rPr>
        <w:t>合肥：合肥市包河区芜湖路220号华云宾馆三层</w:t>
      </w:r>
    </w:p>
    <w:p>
      <w:r>
        <w:rPr>
          <w:rFonts w:hint="eastAsia"/>
        </w:rPr>
        <w:t>重庆：重庆市沙坪坝区沙正街174号 重庆大学B区第二综合楼415</w:t>
      </w:r>
    </w:p>
    <w:p>
      <w:r>
        <w:rPr>
          <w:rFonts w:hint="eastAsia"/>
        </w:rPr>
        <w:t>长沙：长沙市岳麓区枫林二路139号 湖南财政经济学院</w:t>
      </w:r>
    </w:p>
    <w:p>
      <w:r>
        <w:rPr>
          <w:rFonts w:hint="eastAsia"/>
        </w:rPr>
        <w:t>南昌：南昌市青山湖区顺外路392号 阳光假日风尚酒店五层</w:t>
      </w:r>
    </w:p>
    <w:p>
      <w:r>
        <w:rPr>
          <w:rFonts w:hint="eastAsia"/>
        </w:rPr>
        <w:t>兰州：兰州市安宁区九州通路万里东村2号，兰州航空工业职工大学（新增考点）</w:t>
      </w:r>
    </w:p>
    <w:p>
      <w:r>
        <w:rPr>
          <w:rFonts w:hint="eastAsia"/>
        </w:rPr>
        <w:t>（以上信息仅供参考，具体地址以IMA正式准考信内容为准）</w:t>
      </w:r>
    </w:p>
    <w:p/>
    <w:p>
      <w:r>
        <w:rPr>
          <w:rFonts w:hint="eastAsia"/>
        </w:rPr>
        <w:t>6、</w:t>
      </w:r>
      <w:r>
        <w:t>2018CMA</w:t>
      </w:r>
      <w:r>
        <w:rPr>
          <w:rFonts w:hint="eastAsia"/>
        </w:rPr>
        <w:t>考试攻略</w:t>
      </w:r>
    </w:p>
    <w:p/>
    <w:p>
      <w:r>
        <w:rPr>
          <w:rFonts w:hint="eastAsia"/>
        </w:rPr>
        <w:t>考试科目：P1、P2</w:t>
      </w:r>
    </w:p>
    <w:p>
      <w:r>
        <w:rPr>
          <w:rFonts w:hint="eastAsia"/>
        </w:rPr>
        <w:t>考试题型：100道选择题、2道简答题</w:t>
      </w:r>
    </w:p>
    <w:p>
      <w:r>
        <w:rPr>
          <w:rFonts w:hint="eastAsia"/>
        </w:rPr>
        <w:t>答题方式：纸笔答题</w:t>
      </w:r>
    </w:p>
    <w:p>
      <w:r>
        <w:rPr>
          <w:rFonts w:hint="eastAsia"/>
        </w:rPr>
        <w:t>考试时间：单科4小时</w:t>
      </w:r>
    </w:p>
    <w:p>
      <w:r>
        <w:rPr>
          <w:rFonts w:hint="eastAsia"/>
        </w:rPr>
        <w:t>考试通过：综合加权分数360分</w:t>
      </w:r>
    </w:p>
    <w:p/>
    <w:p>
      <w:r>
        <w:rPr>
          <w:rFonts w:hint="eastAsia"/>
        </w:rPr>
        <w:t>目前CMA英文考试为机考，CMA中文考试有可能同步改为机考，届时考试难度会提升。</w:t>
      </w:r>
    </w:p>
    <w:p/>
    <w:p/>
    <w:p>
      <w:r>
        <w:rPr>
          <w:rFonts w:hint="eastAsia"/>
        </w:rPr>
        <w:t>注意事项：</w:t>
      </w:r>
    </w:p>
    <w:p/>
    <w:p>
      <w:r>
        <w:rPr>
          <w:rFonts w:hint="eastAsia"/>
        </w:rPr>
        <w:t>提前30分钟到达考场，迟到半小时的考生不能进场参加考试</w:t>
      </w:r>
    </w:p>
    <w:p>
      <w:r>
        <w:rPr>
          <w:rFonts w:hint="eastAsia"/>
        </w:rPr>
        <w:t>携带考场确认函以及个人有效身份证件(护照、身份证、军官证)</w:t>
      </w:r>
    </w:p>
    <w:p>
      <w:r>
        <w:rPr>
          <w:rFonts w:hint="eastAsia"/>
        </w:rPr>
        <w:t>试卷袋资料（信息确认卡、试题册、机读卡、答题纸、草稿纸）</w:t>
      </w:r>
    </w:p>
    <w:p>
      <w:r>
        <w:rPr>
          <w:rFonts w:hint="eastAsia"/>
        </w:rPr>
        <w:t>不能带入考场的物品（眼镜盒、铅笔盒、笔记本电脑、手机、电子词典、笔记本、可编程计算器、食品、饮料）</w:t>
      </w:r>
    </w:p>
    <w:p>
      <w:r>
        <w:rPr>
          <w:rFonts w:hint="eastAsia"/>
        </w:rPr>
        <w:t>考前注意事项（保证睡眠、健康饮食、调节心态、准备好证件）</w:t>
      </w:r>
    </w:p>
    <w:p/>
    <w:p>
      <w:r>
        <w:rPr>
          <w:rFonts w:hint="eastAsia"/>
        </w:rPr>
        <w:t>点击查看《2018CMA中文考试攻略》（做个通栏）</w:t>
      </w:r>
    </w:p>
    <w:p>
      <w:r>
        <w:t>http://www.hualingedu.com/wtdetail/1128.html</w:t>
      </w:r>
    </w:p>
    <w:p/>
    <w:p/>
    <w:p>
      <w:r>
        <w:rPr>
          <w:rFonts w:hint="eastAsia"/>
        </w:rPr>
        <w:t>7、</w:t>
      </w:r>
      <w:r>
        <w:t>CMA</w:t>
      </w:r>
      <w:r>
        <w:rPr>
          <w:rFonts w:hint="eastAsia"/>
        </w:rPr>
        <w:t>考试工具免费领取</w:t>
      </w:r>
    </w:p>
    <w:p/>
    <w:p>
      <w:r>
        <w:rPr>
          <w:rFonts w:hint="eastAsia"/>
        </w:rPr>
        <w:t>CMA考试考生手册、CMA中文版考试考生指南、CMA考试内容大纲、CMA 考试所用词汇的专业词典、CMA考试学习成果公告、</w:t>
      </w:r>
      <w:r>
        <w:t>IMA Ethics Resources</w:t>
      </w:r>
      <w:r>
        <w:rPr>
          <w:rFonts w:hint="eastAsia"/>
        </w:rPr>
        <w:t>、继续教育规定、IMA管理会计能力素质框架</w:t>
      </w:r>
    </w:p>
    <w:p/>
    <w:p>
      <w:r>
        <w:rPr>
          <w:rFonts w:hint="eastAsia"/>
          <w:highlight w:val="yellow"/>
        </w:rPr>
        <w:t>更多资料登记领取</w:t>
      </w:r>
    </w:p>
    <w:p/>
    <w:p>
      <w:r>
        <w:rPr>
          <w:rFonts w:hint="eastAsia"/>
        </w:rPr>
        <w:t>姓名</w:t>
      </w:r>
    </w:p>
    <w:p>
      <w:r>
        <w:rPr>
          <w:rFonts w:hint="eastAsia"/>
        </w:rPr>
        <w:t>电话号码</w:t>
      </w:r>
    </w:p>
    <w:p>
      <w:r>
        <w:rPr>
          <w:rFonts w:hint="eastAsia"/>
        </w:rPr>
        <w:t>提交</w:t>
      </w:r>
    </w:p>
    <w:p/>
    <w:p>
      <w:r>
        <w:drawing>
          <wp:inline distT="0" distB="0" distL="0" distR="0">
            <wp:extent cx="5274310" cy="33756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CMA中英文电子版教材、CMA中文讲义电子版、CMA中文习题集、CMA考试历年真题150道、CMA考试必备公式表、成功通过CMA习题、CMA中英文专题对照表、CMA面授体验课1节、CMA高清网络课程2节</w:t>
      </w:r>
    </w:p>
    <w:p/>
    <w:p>
      <w:r>
        <w:rPr>
          <w:rFonts w:hint="eastAsia"/>
        </w:rPr>
        <w:t>表单代码：</w:t>
      </w:r>
    </w:p>
    <w:p/>
    <w:p>
      <w:r>
        <w:t>&lt;script charset="UTF-8" defer&gt;(function(h){function n(a){return null===a?null:a.scrollHeight&gt;a.clientHeight?a:n(a.parentNode)}function t(b){if(b.data){var f=JSON.parse(b.data);!f.height||p||q||(d.style.height=+f.height+"px");if(f.getter){b={};var f=[].concat(f.getter),k,h=f.length,m,c,g,e;for(k=0;k&lt;h;k++){m=k;c=f[k]||{};c.n&amp;&amp;(m=c.n);g=null;try{switch(c.t){case "window":e=window;break;case "scrollParent":e=n(a)||window;break;default:e=a}if(c.e)if("rect"===c.v){g={};var l=e.getBoundingClientRect();g={top:l.top,left:l.left,width:l.width,height:l.height}}else g=e[c.v].apply(e,[].concat(c.e))||!0;else c.s?(e[c.v]=c.s,g=!0):g=e[c.v]||!1}catch(u){}b[m]=g}b.innerState=!p&amp;&amp;!q;a.contentWindow.postMessage(JSON.stringify({queryRes:b}),"*")}}}for(var r=h.document,b=r.documentElement;b.childNodes.length&amp;&amp;1==b.lastChild.nodeType;)b=b.lastChild;var d=b.parentNode,a=r.createElement("iframe");d.style.overflowY="auto";d.style.overflowX="hidden";var p=d.style.height&amp;&amp;"auto"!==d.style.height,q="absolute"===d.style.position||window.getComputedStyle&amp;&amp;"absolute"===window.getComputedStyle(d,null).getPropertyValue("position")||d.currentStyle&amp;&amp;"absolute"===d.currentStyle.position;h.addEventListener&amp;&amp;h.addEventListener("message",t,!1);a.src="http://cn.mikecrm.com/402YjYS";a.id="mkin402YjYS";a.onload=function(){a.contentWindow.postMessage(JSON.stringify({cif:1}),"*")};a.frameBorder=0;a.scrolling="no";a.style.display="block";a.style.minWidth="100%";a.style.width="100px";a.style.height="100%";a.style.border="none";a.style.overflow="auto";d.insertBefore(a,b)})(window);&lt;/script&gt;</w:t>
      </w:r>
    </w:p>
    <w:p/>
    <w:p/>
    <w:p>
      <w:r>
        <w:rPr>
          <w:rFonts w:hint="eastAsia"/>
        </w:rPr>
        <w:t>8、</w:t>
      </w:r>
      <w:r>
        <w:t>CMA</w:t>
      </w:r>
      <w:r>
        <w:rPr>
          <w:rFonts w:hint="eastAsia"/>
        </w:rPr>
        <w:t>真题练一练</w:t>
      </w:r>
    </w:p>
    <w:p/>
    <w:p>
      <w:r>
        <w:rPr>
          <w:rFonts w:hint="eastAsia"/>
        </w:rPr>
        <w:t>P1、财务报告、规划、绩效和控制</w:t>
      </w:r>
    </w:p>
    <w:p>
      <w:r>
        <w:drawing>
          <wp:inline distT="0" distB="0" distL="0" distR="0">
            <wp:extent cx="2461260" cy="51663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2575560" cy="3101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2514600" cy="335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2575560" cy="3055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529840" cy="24536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76500" cy="7696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P2、财务决策</w:t>
      </w:r>
    </w:p>
    <w:p/>
    <w:p>
      <w:r>
        <w:drawing>
          <wp:inline distT="0" distB="0" distL="0" distR="0">
            <wp:extent cx="2689860" cy="32537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514600" cy="39776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29840" cy="11049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2613660" cy="4351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22220" cy="1280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2522220" cy="34061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2529840" cy="11963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84120" cy="19735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99360" cy="27508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请顺序填写P1部份答案</w:t>
      </w:r>
    </w:p>
    <w:p>
      <w:r>
        <w:rPr>
          <w:rFonts w:hint="eastAsia"/>
        </w:rPr>
        <w:t>请顺序填写P2部份答案</w:t>
      </w:r>
    </w:p>
    <w:p>
      <w:r>
        <w:rPr>
          <w:rFonts w:hint="eastAsia"/>
        </w:rPr>
        <w:t>姓名</w:t>
      </w:r>
    </w:p>
    <w:p>
      <w:r>
        <w:rPr>
          <w:rFonts w:hint="eastAsia"/>
        </w:rPr>
        <w:t>电话</w:t>
      </w:r>
    </w:p>
    <w:p>
      <w:r>
        <w:rPr>
          <w:rFonts w:hint="eastAsia"/>
          <w:highlight w:val="yellow"/>
        </w:rPr>
        <w:t>提交</w:t>
      </w:r>
    </w:p>
    <w:p>
      <w:r>
        <w:drawing>
          <wp:inline distT="0" distB="0" distL="0" distR="0">
            <wp:extent cx="5274310" cy="3575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代码：</w:t>
      </w:r>
    </w:p>
    <w:p>
      <w:r>
        <w:t>&lt;script charset="UTF-8" defer&gt;(function(h){function n(a){return null===a?null:a.scrollHeight&gt;a.clientHeight?a:n(a.parentNode)}function t(b){if(b.data){var f=JSON.parse(b.data);!f.height||p||q||(d.style.height=+f.height+"px");if(f.getter){b={};var f=[].concat(f.getter),k,h=f.length,m,c,g,e;for(k=0;k&lt;h;k++){m=k;c=f[k]||{};c.n&amp;&amp;(m=c.n);g=null;try{switch(c.t){case "window":e=window;break;case "scrollParent":e=n(a)||window;break;default:e=a}if(c.e)if("rect"===c.v){g={};var l=e.getBoundingClientRect();g={top:l.top,left:l.left,width:l.width,height:l.height}}else g=e[c.v].apply(e,[].concat(c.e))||!0;else c.s?(e[c.v]=c.s,g=!0):g=e[c.v]||!1}catch(u){}b[m]=g}b.innerState=!p&amp;&amp;!q;a.contentWindow.postMessage(JSON.stringify({queryRes:b}),"*")}}}for(var r=h.document,b=r.documentElement;b.childNodes.length&amp;&amp;1==b.lastChild.nodeType;)b=b.lastChild;var d=b.parentNode,a=r.createElement("iframe");d.style.overflowY="auto";d.style.overflowX="hidden";var p=d.style.height&amp;&amp;"auto"!==d.style.height,q="absolute"===d.style.position||window.getComputedStyle&amp;&amp;"absolute"===window.getComputedStyle(d,null).getPropertyValue("position")||d.currentStyle&amp;&amp;"absolute"===d.currentStyle.position;h.addEventListener&amp;&amp;h.addEventListener("message",t,!1);a.src="http://cn.mikecrm.com/bRDojLX";a.id="mkinbRDojLX";a.onload=function(){a.contentWindow.postMessage(JSON.stringify({cif:1}),"*")};a.frameBorder=0;a.scrolling="no";a.style.display="block";a.style.minWidth="100%";a.style.width="100px";a.style.height="100%";a.style.border="none";a.style.overflow="auto";d.insertBefore(a,b)})(window);&lt;/script&gt;</w:t>
      </w:r>
    </w:p>
    <w:p/>
    <w:p/>
    <w:p>
      <w:r>
        <w:rPr>
          <w:rFonts w:hint="eastAsia"/>
        </w:rPr>
        <w:t>9、</w:t>
      </w:r>
      <w:r>
        <w:t>CMA</w:t>
      </w:r>
      <w:r>
        <w:rPr>
          <w:rFonts w:hint="eastAsia"/>
        </w:rPr>
        <w:t>课程</w:t>
      </w:r>
    </w:p>
    <w:p/>
    <w:p>
      <w:pPr>
        <w:ind w:firstLine="420" w:firstLineChars="200"/>
      </w:pPr>
      <w:r>
        <w:rPr>
          <w:rFonts w:hint="eastAsia"/>
        </w:rPr>
        <w:t>中文CMA十周年之际，华领国际再次更新CMA课程体系，发布了基于IMA定义的 “管理会计能力素质框架”研发设计的阶梯式CMA教学体系“CMA 6级赋能教学体系”。</w:t>
      </w:r>
    </w:p>
    <w:p/>
    <w:p>
      <w:pPr>
        <w:jc w:val="center"/>
      </w:pPr>
      <w:r>
        <w:rPr>
          <w:rFonts w:hint="eastAsia"/>
        </w:rPr>
        <w:t>可持续职业发展阶段 | 50</w:t>
      </w:r>
    </w:p>
    <w:p>
      <w:pPr>
        <w:jc w:val="center"/>
      </w:pPr>
      <w:r>
        <w:rPr>
          <w:rFonts w:hint="eastAsia"/>
        </w:rPr>
        <w:t>名校辅修阶段 | Part1-3</w:t>
      </w:r>
    </w:p>
    <w:p>
      <w:pPr>
        <w:jc w:val="center"/>
      </w:pPr>
      <w:r>
        <w:rPr>
          <w:rFonts w:hint="eastAsia"/>
        </w:rPr>
        <w:t>管理会计名家赋能阶段 | Part1-6</w:t>
      </w:r>
    </w:p>
    <w:p>
      <w:pPr>
        <w:jc w:val="center"/>
      </w:pPr>
      <w:r>
        <w:rPr>
          <w:rFonts w:hint="eastAsia"/>
        </w:rPr>
        <w:t>CMA应试阶段 | Part1-2</w:t>
      </w:r>
    </w:p>
    <w:p>
      <w:pPr>
        <w:jc w:val="center"/>
      </w:pPr>
      <w:r>
        <w:rPr>
          <w:rFonts w:hint="eastAsia"/>
        </w:rPr>
        <w:t>CMA专业课阶段 | Part1-2</w:t>
      </w:r>
    </w:p>
    <w:p>
      <w:pPr>
        <w:jc w:val="center"/>
      </w:pPr>
      <w:r>
        <w:rPr>
          <w:rFonts w:hint="eastAsia"/>
        </w:rPr>
        <w:t>管理会计基础阶段 | Part1-3</w:t>
      </w:r>
    </w:p>
    <w:p/>
    <w:p/>
    <w:p>
      <w:pPr>
        <w:jc w:val="center"/>
      </w:pPr>
      <w:r>
        <w:rPr>
          <w:rFonts w:hint="eastAsia"/>
          <w:highlight w:val="yellow"/>
        </w:rPr>
        <w:t>咨询CMA面授课程</w:t>
      </w:r>
      <w:r>
        <w:rPr>
          <w:rFonts w:hint="eastAsia"/>
        </w:rPr>
        <w:t xml:space="preserve">     </w:t>
      </w:r>
      <w:r>
        <w:rPr>
          <w:rFonts w:hint="eastAsia"/>
          <w:highlight w:val="yellow"/>
        </w:rPr>
        <w:t>咨询CMA网络课程</w:t>
      </w:r>
      <w:r>
        <w:rPr>
          <w:rFonts w:hint="eastAsia"/>
        </w:rPr>
        <w:t xml:space="preserve">    </w:t>
      </w:r>
      <w:r>
        <w:rPr>
          <w:rFonts w:hint="eastAsia"/>
          <w:highlight w:val="yellow"/>
        </w:rPr>
        <w:t>咨询CMA后续教育</w:t>
      </w:r>
    </w:p>
    <w:p/>
    <w:p>
      <w:r>
        <w:rPr>
          <w:rFonts w:hint="eastAsia"/>
        </w:rPr>
        <w:t>10、</w:t>
      </w:r>
      <w:r>
        <w:t>CMA</w:t>
      </w:r>
      <w:r>
        <w:rPr>
          <w:rFonts w:hint="eastAsia"/>
        </w:rPr>
        <w:t>常见问题</w:t>
      </w:r>
    </w:p>
    <w:p>
      <w:pPr>
        <w:rPr>
          <w:sz w:val="20"/>
        </w:rPr>
      </w:pPr>
    </w:p>
    <w:p>
      <w:r>
        <w:drawing>
          <wp:inline distT="0" distB="0" distL="0" distR="0">
            <wp:extent cx="4183380" cy="14097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6C3"/>
    <w:rsid w:val="00033296"/>
    <w:rsid w:val="00064853"/>
    <w:rsid w:val="000D6253"/>
    <w:rsid w:val="001E47D1"/>
    <w:rsid w:val="003259BA"/>
    <w:rsid w:val="00343A76"/>
    <w:rsid w:val="003526C3"/>
    <w:rsid w:val="003E030D"/>
    <w:rsid w:val="00457DE9"/>
    <w:rsid w:val="004A1B58"/>
    <w:rsid w:val="0056452C"/>
    <w:rsid w:val="00587E82"/>
    <w:rsid w:val="005927B9"/>
    <w:rsid w:val="00625EF5"/>
    <w:rsid w:val="006647E0"/>
    <w:rsid w:val="006B2019"/>
    <w:rsid w:val="006B2A67"/>
    <w:rsid w:val="00770BB3"/>
    <w:rsid w:val="00860C30"/>
    <w:rsid w:val="008A1286"/>
    <w:rsid w:val="009052D4"/>
    <w:rsid w:val="0091422B"/>
    <w:rsid w:val="009A03BA"/>
    <w:rsid w:val="00A61180"/>
    <w:rsid w:val="00B26102"/>
    <w:rsid w:val="00B9155E"/>
    <w:rsid w:val="00BB4F51"/>
    <w:rsid w:val="00BF781C"/>
    <w:rsid w:val="00CC5C1F"/>
    <w:rsid w:val="00D73016"/>
    <w:rsid w:val="00DC2858"/>
    <w:rsid w:val="00ED7AA6"/>
    <w:rsid w:val="00F66243"/>
    <w:rsid w:val="00FE7A70"/>
    <w:rsid w:val="3EDE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rPr>
      <w:sz w:val="18"/>
      <w:szCs w:val="18"/>
    </w:rPr>
  </w:style>
  <w:style w:type="table" w:styleId="5">
    <w:name w:val="Light List Accent 1"/>
    <w:basedOn w:val="4"/>
    <w:uiPriority w:val="61"/>
    <w:rPr>
      <w:sz w:val="24"/>
      <w:szCs w:val="24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character" w:customStyle="1" w:styleId="6">
    <w:name w:val="批注框文本 Char"/>
    <w:basedOn w:val="3"/>
    <w:link w:val="2"/>
    <w:semiHidden/>
    <w:uiPriority w:val="99"/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788</Words>
  <Characters>4496</Characters>
  <Lines>37</Lines>
  <Paragraphs>10</Paragraphs>
  <TotalTime>0</TotalTime>
  <ScaleCrop>false</ScaleCrop>
  <LinksUpToDate>false</LinksUpToDate>
  <CharactersWithSpaces>5274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2018-01-14T08:53:00Z</dcterms:created>
  <dc:creator>baony</dc:creator>
  <cp:lastModifiedBy>花絮惹尘</cp:lastModifiedBy>
  <dcterms:modified xsi:type="dcterms:W3CDTF">2018-01-23T09:35:42Z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