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0.png" ContentType="image/png"/>
  <Override PartName="/word/media/rId31.png" ContentType="image/png"/>
  <Override PartName="/word/media/rId61.png" ContentType="image/png"/>
  <Override PartName="/word/media/rId50.png" ContentType="image/png"/>
  <Override PartName="/word/media/rId5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Separating</w:t>
      </w:r>
      <w:r>
        <w:t xml:space="preserve"> </w:t>
      </w:r>
      <w:r>
        <w:t xml:space="preserve">Alpha,</w:t>
      </w:r>
      <w:r>
        <w:t xml:space="preserve"> </w:t>
      </w:r>
      <w:r>
        <w:t xml:space="preserve">Risk</w:t>
      </w:r>
      <w:r>
        <w:t xml:space="preserve"> </w:t>
      </w:r>
      <w:r>
        <w:t xml:space="preserve">Premia,</w:t>
      </w:r>
      <w:r>
        <w:t xml:space="preserve"> </w:t>
      </w:r>
      <w:r>
        <w:t xml:space="preserve">and</w:t>
      </w:r>
      <w:r>
        <w:t xml:space="preserve"> </w:t>
      </w:r>
      <w:r>
        <w:t xml:space="preserve">Regime</w:t>
      </w:r>
      <w:r>
        <w:t xml:space="preserve"> </w:t>
      </w:r>
      <w:r>
        <w:t xml:space="preserve">Sizing</w:t>
      </w:r>
      <w:r>
        <w:t xml:space="preserve"> </w:t>
      </w:r>
      <w:r>
        <w:t xml:space="preserve">in</w:t>
      </w:r>
      <w:r>
        <w:t xml:space="preserve"> </w:t>
      </w:r>
      <w:r>
        <w:t xml:space="preserve">Crypto</w:t>
      </w:r>
      <w:r>
        <w:t xml:space="preserve"> </w:t>
      </w:r>
      <w:r>
        <w:t xml:space="preserve">Factor</w:t>
      </w:r>
      <w:r>
        <w:t xml:space="preserve"> </w:t>
      </w:r>
      <w:r>
        <w:t xml:space="preserve">Portfolios</w:t>
      </w:r>
    </w:p>
    <w:p>
      <w:pPr>
        <w:pStyle w:val="Subtitle"/>
      </w:pPr>
      <w:r>
        <w:t xml:space="preserve">A</w:t>
      </w:r>
      <w:r>
        <w:t xml:space="preserve"> </w:t>
      </w:r>
      <w:r>
        <w:t xml:space="preserve">systematic</w:t>
      </w:r>
      <w:r>
        <w:t xml:space="preserve"> </w:t>
      </w:r>
      <w:r>
        <w:t xml:space="preserve">weekly</w:t>
      </w:r>
      <w:r>
        <w:t xml:space="preserve"> </w:t>
      </w:r>
      <w:r>
        <w:t xml:space="preserve">crypto</w:t>
      </w:r>
      <w:r>
        <w:t xml:space="preserve"> </w:t>
      </w:r>
      <w:r>
        <w:t xml:space="preserve">rebalancing</w:t>
      </w:r>
      <w:r>
        <w:t xml:space="preserve"> </w:t>
      </w:r>
      <w:r>
        <w:t xml:space="preserve">strategy</w:t>
      </w:r>
      <w:r>
        <w:t xml:space="preserve"> </w:t>
      </w:r>
      <w:r>
        <w:t xml:space="preserve">based</w:t>
      </w:r>
      <w:r>
        <w:t xml:space="preserve"> </w:t>
      </w:r>
      <w:r>
        <w:t xml:space="preserve">on</w:t>
      </w:r>
      <w:r>
        <w:t xml:space="preserve"> </w:t>
      </w:r>
      <w:r>
        <w:t xml:space="preserve">validated</w:t>
      </w:r>
      <w:r>
        <w:t xml:space="preserve"> </w:t>
      </w:r>
      <w:r>
        <w:t xml:space="preserve">factor</w:t>
      </w:r>
      <w:r>
        <w:t xml:space="preserve"> </w:t>
      </w:r>
      <w:r>
        <w:t xml:space="preserve">signals</w:t>
      </w:r>
    </w:p>
    <w:p>
      <w:pPr>
        <w:pStyle w:val="Author"/>
      </w:pPr>
      <w:r>
        <w:t xml:space="preserve">shenron0101</w:t>
      </w:r>
    </w:p>
    <w:p>
      <w:pPr>
        <w:pStyle w:val="Date"/>
      </w:pPr>
      <w:r>
        <w:t xml:space="preserve">May</w:t>
      </w:r>
      <w:r>
        <w:t xml:space="preserve"> </w:t>
      </w:r>
      <w:r>
        <w:t xml:space="preserve">31,</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executive-summary"/>
    <w:p>
      <w:pPr>
        <w:pStyle w:val="Heading1"/>
      </w:pPr>
      <w:r>
        <w:rPr>
          <w:rStyle w:val="SectionNumber"/>
        </w:rPr>
        <w:t xml:space="preserve">1</w:t>
      </w:r>
      <w:r>
        <w:tab/>
      </w:r>
      <w:r>
        <w:t xml:space="preserve">Executive Summary</w:t>
      </w:r>
    </w:p>
    <w:p>
      <w:pPr>
        <w:pStyle w:val="FirstParagraph"/>
      </w:pPr>
      <w:r>
        <w:t xml:space="preserve">This report presents a systematic crypto factor rebalancing strategy</w:t>
      </w:r>
      <w:r>
        <w:rPr>
          <w:rStyle w:val="FootnoteReference"/>
        </w:rPr>
        <w:footnoteReference w:id="20"/>
      </w:r>
      <w:r>
        <w:t xml:space="preserve"> </w:t>
      </w:r>
      <w:r>
        <w:t xml:space="preserve">for Track 1 of the Artemis Quant Competition. The goal is to build a rules-based portfolio that can be explained economically, tested statistically, and rebalanced on a fixed weekly schedule.</w:t>
      </w:r>
    </w:p>
    <w:p>
      <w:pPr>
        <w:pStyle w:val="BodyText"/>
      </w:pPr>
      <w:r>
        <w:t xml:space="preserve">The final strategy is called the Stage 15 Factor Ensemble. It combines three different types of evidence rather than forcing every signal into one score:</w:t>
      </w:r>
    </w:p>
    <w:p>
      <w:pPr>
        <w:numPr>
          <w:ilvl w:val="0"/>
          <w:numId w:val="1001"/>
        </w:numPr>
        <w:pStyle w:val="Compact"/>
      </w:pPr>
      <w:r>
        <w:rPr>
          <w:bCs/>
          <w:b/>
        </w:rPr>
        <w:t xml:space="preserve">Mispricing signals</w:t>
      </w:r>
      <w:r>
        <w:t xml:space="preserve">: factors that look attractive when the whole return distribution is evaluated.</w:t>
      </w:r>
    </w:p>
    <w:p>
      <w:pPr>
        <w:numPr>
          <w:ilvl w:val="0"/>
          <w:numId w:val="1001"/>
        </w:numPr>
        <w:pStyle w:val="Compact"/>
      </w:pPr>
      <w:r>
        <w:rPr>
          <w:bCs/>
          <w:b/>
        </w:rPr>
        <w:t xml:space="preserve">Weekly ranking signals</w:t>
      </w:r>
      <w:r>
        <w:t xml:space="preserve">: factors that reliably sort coins from better to worse performers over the next week.</w:t>
      </w:r>
    </w:p>
    <w:p>
      <w:pPr>
        <w:numPr>
          <w:ilvl w:val="0"/>
          <w:numId w:val="1001"/>
        </w:numPr>
        <w:pStyle w:val="Compact"/>
      </w:pPr>
      <w:r>
        <w:rPr>
          <w:bCs/>
          <w:b/>
        </w:rPr>
        <w:t xml:space="preserve">Priced-risk tilts</w:t>
      </w:r>
      <w:r>
        <w:t xml:space="preserve">: factors that appear to earn compensation as systematic risks, but are not strong enough to dominate the weekly trading rule.</w:t>
      </w:r>
    </w:p>
    <w:p>
      <w:pPr>
        <w:pStyle w:val="FirstParagraph"/>
      </w:pPr>
      <w:r>
        <w:t xml:space="preserve">The key result is that the final ensemble remained positive out-of-sample</w:t>
      </w:r>
      <w:r>
        <w:rPr>
          <w:rStyle w:val="FootnoteReference"/>
        </w:rPr>
        <w:footnoteReference w:id="21"/>
      </w:r>
      <w:r>
        <w:t xml:space="preserve"> </w:t>
      </w:r>
      <w:r>
        <w:t xml:space="preserve">during a difficult crypto market period when Bitcoin and the equal-weight crypto market both lost money. In the performance tables,</w:t>
      </w:r>
      <w:r>
        <w:t xml:space="preserve"> </w:t>
      </w:r>
      <w:r>
        <w:rPr>
          <w:bCs/>
          <w:b/>
        </w:rPr>
        <w:t xml:space="preserve">SE</w:t>
      </w:r>
      <w:r>
        <w:t xml:space="preserve"> </w:t>
      </w:r>
      <w:r>
        <w:t xml:space="preserve">means Sharpe Ensemble,</w:t>
      </w:r>
      <w:r>
        <w:t xml:space="preserve"> </w:t>
      </w:r>
      <w:r>
        <w:rPr>
          <w:bCs/>
          <w:b/>
        </w:rPr>
        <w:t xml:space="preserve">BE</w:t>
      </w:r>
      <w:r>
        <w:t xml:space="preserve"> </w:t>
      </w:r>
      <w:r>
        <w:t xml:space="preserve">means Balanced Ensemble,</w:t>
      </w:r>
      <w:r>
        <w:t xml:space="preserve"> </w:t>
      </w:r>
      <w:r>
        <w:rPr>
          <w:bCs/>
          <w:b/>
        </w:rPr>
        <w:t xml:space="preserve">DE</w:t>
      </w:r>
      <w:r>
        <w:t xml:space="preserve"> </w:t>
      </w:r>
      <w:r>
        <w:t xml:space="preserve">means Defensive Ensemble,</w:t>
      </w:r>
      <w:r>
        <w:t xml:space="preserve"> </w:t>
      </w:r>
      <w:r>
        <w:rPr>
          <w:bCs/>
          <w:b/>
        </w:rPr>
        <w:t xml:space="preserve">MM</w:t>
      </w:r>
      <w:r>
        <w:t xml:space="preserve"> </w:t>
      </w:r>
      <w:r>
        <w:t xml:space="preserve">means MispricingM,</w:t>
      </w:r>
      <w:r>
        <w:t xml:space="preserve"> </w:t>
      </w:r>
      <w:r>
        <w:rPr>
          <w:bCs/>
          <w:b/>
        </w:rPr>
        <w:t xml:space="preserve">CR</w:t>
      </w:r>
      <w:r>
        <w:t xml:space="preserve"> </w:t>
      </w:r>
      <w:r>
        <w:t xml:space="preserve">means Core Rank,</w:t>
      </w:r>
      <w:r>
        <w:t xml:space="preserve"> </w:t>
      </w:r>
      <w:r>
        <w:rPr>
          <w:bCs/>
          <w:b/>
        </w:rPr>
        <w:t xml:space="preserve">PT</w:t>
      </w:r>
      <w:r>
        <w:t xml:space="preserve"> </w:t>
      </w:r>
      <w:r>
        <w:t xml:space="preserve">means Priced Tilt,</w:t>
      </w:r>
      <w:r>
        <w:t xml:space="preserve"> </w:t>
      </w:r>
      <w:r>
        <w:rPr>
          <w:bCs/>
          <w:b/>
        </w:rPr>
        <w:t xml:space="preserve">EW</w:t>
      </w:r>
      <w:r>
        <w:t xml:space="preserve"> </w:t>
      </w:r>
      <w:r>
        <w:t xml:space="preserve">means equal-weight market, and</w:t>
      </w:r>
      <w:r>
        <w:t xml:space="preserve"> </w:t>
      </w:r>
      <w:r>
        <w:rPr>
          <w:bCs/>
          <w:b/>
        </w:rPr>
        <w:t xml:space="preserve">BTC</w:t>
      </w:r>
      <w:r>
        <w:t xml:space="preserve"> </w:t>
      </w:r>
      <w:r>
        <w:t xml:space="preserve">means Bitcoin.</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Weeks</w:t>
            </w:r>
          </w:p>
        </w:tc>
      </w:tr>
      <w:tr>
        <w:tc>
          <w:tcPr/>
          <w:p>
            <w:pPr>
              <w:pStyle w:val="Compact"/>
              <w:jc w:val="left"/>
            </w:pPr>
            <w:r>
              <w:t xml:space="preserve">SE</w:t>
            </w:r>
          </w:p>
        </w:tc>
        <w:tc>
          <w:tcPr/>
          <w:p>
            <w:pPr>
              <w:pStyle w:val="Compact"/>
              <w:jc w:val="right"/>
            </w:pPr>
            <w:r>
              <w:t xml:space="preserve">+0.84</w:t>
            </w:r>
          </w:p>
        </w:tc>
        <w:tc>
          <w:tcPr/>
          <w:p>
            <w:pPr>
              <w:pStyle w:val="Compact"/>
              <w:jc w:val="right"/>
            </w:pPr>
            <w:r>
              <w:t xml:space="preserve">+29.9%</w:t>
            </w:r>
          </w:p>
        </w:tc>
        <w:tc>
          <w:tcPr/>
          <w:p>
            <w:pPr>
              <w:pStyle w:val="Compact"/>
              <w:jc w:val="right"/>
            </w:pPr>
            <w:r>
              <w:t xml:space="preserve">35.8%</w:t>
            </w:r>
          </w:p>
        </w:tc>
        <w:tc>
          <w:tcPr/>
          <w:p>
            <w:pPr>
              <w:pStyle w:val="Compact"/>
              <w:jc w:val="right"/>
            </w:pPr>
            <w:r>
              <w:t xml:space="preserve">-24.7%</w:t>
            </w:r>
          </w:p>
        </w:tc>
        <w:tc>
          <w:tcPr/>
          <w:p>
            <w:pPr>
              <w:pStyle w:val="Compact"/>
              <w:jc w:val="right"/>
            </w:pPr>
            <w:r>
              <w:t xml:space="preserve">79</w:t>
            </w:r>
          </w:p>
        </w:tc>
      </w:tr>
      <w:tr>
        <w:tc>
          <w:tcPr/>
          <w:p>
            <w:pPr>
              <w:pStyle w:val="Compact"/>
              <w:jc w:val="left"/>
            </w:pPr>
            <w:r>
              <w:t xml:space="preserve">DE</w:t>
            </w:r>
          </w:p>
        </w:tc>
        <w:tc>
          <w:tcPr/>
          <w:p>
            <w:pPr>
              <w:pStyle w:val="Compact"/>
              <w:jc w:val="right"/>
            </w:pPr>
            <w:r>
              <w:t xml:space="preserve">+0.75</w:t>
            </w:r>
          </w:p>
        </w:tc>
        <w:tc>
          <w:tcPr/>
          <w:p>
            <w:pPr>
              <w:pStyle w:val="Compact"/>
              <w:jc w:val="right"/>
            </w:pPr>
            <w:r>
              <w:t xml:space="preserve">+21.6%</w:t>
            </w:r>
          </w:p>
        </w:tc>
        <w:tc>
          <w:tcPr/>
          <w:p>
            <w:pPr>
              <w:pStyle w:val="Compact"/>
              <w:jc w:val="right"/>
            </w:pPr>
            <w:r>
              <w:t xml:space="preserve">29.0%</w:t>
            </w:r>
          </w:p>
        </w:tc>
        <w:tc>
          <w:tcPr/>
          <w:p>
            <w:pPr>
              <w:pStyle w:val="Compact"/>
              <w:jc w:val="right"/>
            </w:pPr>
            <w:r>
              <w:t xml:space="preserve">-19.7%</w:t>
            </w:r>
          </w:p>
        </w:tc>
        <w:tc>
          <w:tcPr/>
          <w:p>
            <w:pPr>
              <w:pStyle w:val="Compact"/>
              <w:jc w:val="right"/>
            </w:pPr>
            <w:r>
              <w:t xml:space="preserve">79</w:t>
            </w:r>
          </w:p>
        </w:tc>
      </w:tr>
      <w:tr>
        <w:tc>
          <w:tcPr/>
          <w:p>
            <w:pPr>
              <w:pStyle w:val="Compact"/>
              <w:jc w:val="left"/>
            </w:pPr>
            <w:r>
              <w:t xml:space="preserve">BE</w:t>
            </w:r>
          </w:p>
        </w:tc>
        <w:tc>
          <w:tcPr/>
          <w:p>
            <w:pPr>
              <w:pStyle w:val="Compact"/>
              <w:jc w:val="right"/>
            </w:pPr>
            <w:r>
              <w:t xml:space="preserve">+0.68</w:t>
            </w:r>
          </w:p>
        </w:tc>
        <w:tc>
          <w:tcPr/>
          <w:p>
            <w:pPr>
              <w:pStyle w:val="Compact"/>
              <w:jc w:val="right"/>
            </w:pPr>
            <w:r>
              <w:t xml:space="preserve">+18.8%</w:t>
            </w:r>
          </w:p>
        </w:tc>
        <w:tc>
          <w:tcPr/>
          <w:p>
            <w:pPr>
              <w:pStyle w:val="Compact"/>
              <w:jc w:val="right"/>
            </w:pPr>
            <w:r>
              <w:t xml:space="preserve">27.6%</w:t>
            </w:r>
          </w:p>
        </w:tc>
        <w:tc>
          <w:tcPr/>
          <w:p>
            <w:pPr>
              <w:pStyle w:val="Compact"/>
              <w:jc w:val="right"/>
            </w:pPr>
            <w:r>
              <w:t xml:space="preserve">-18.3%</w:t>
            </w:r>
          </w:p>
        </w:tc>
        <w:tc>
          <w:tcPr/>
          <w:p>
            <w:pPr>
              <w:pStyle w:val="Compact"/>
              <w:jc w:val="right"/>
            </w:pPr>
            <w:r>
              <w:t xml:space="preserve">79</w:t>
            </w:r>
          </w:p>
        </w:tc>
      </w:tr>
      <w:tr>
        <w:tc>
          <w:tcPr/>
          <w:p>
            <w:pPr>
              <w:pStyle w:val="Compact"/>
              <w:jc w:val="left"/>
            </w:pPr>
            <w:r>
              <w:t xml:space="preserve">BTC</w:t>
            </w:r>
          </w:p>
        </w:tc>
        <w:tc>
          <w:tcPr/>
          <w:p>
            <w:pPr>
              <w:pStyle w:val="Compact"/>
              <w:jc w:val="right"/>
            </w:pPr>
            <w:r>
              <w:t xml:space="preserve">-0.33</w:t>
            </w:r>
          </w:p>
        </w:tc>
        <w:tc>
          <w:tcPr/>
          <w:p>
            <w:pPr>
              <w:pStyle w:val="Compact"/>
              <w:jc w:val="right"/>
            </w:pPr>
            <w:r>
              <w:t xml:space="preserve">-12.3%</w:t>
            </w:r>
          </w:p>
        </w:tc>
        <w:tc>
          <w:tcPr/>
          <w:p>
            <w:pPr>
              <w:pStyle w:val="Compact"/>
              <w:jc w:val="right"/>
            </w:pPr>
            <w:r>
              <w:t xml:space="preserve">37.7%</w:t>
            </w:r>
          </w:p>
        </w:tc>
        <w:tc>
          <w:tcPr/>
          <w:p>
            <w:pPr>
              <w:pStyle w:val="Compact"/>
              <w:jc w:val="right"/>
            </w:pPr>
            <w:r>
              <w:t xml:space="preserve">-46.7%</w:t>
            </w:r>
          </w:p>
        </w:tc>
        <w:tc>
          <w:tcPr/>
          <w:p>
            <w:pPr>
              <w:pStyle w:val="Compact"/>
              <w:jc w:val="right"/>
            </w:pPr>
            <w:r>
              <w:t xml:space="preserve">78</w:t>
            </w:r>
          </w:p>
        </w:tc>
      </w:tr>
      <w:tr>
        <w:tc>
          <w:tcPr/>
          <w:p>
            <w:pPr>
              <w:pStyle w:val="Compact"/>
              <w:jc w:val="left"/>
            </w:pPr>
            <w:r>
              <w:t xml:space="preserve">EW</w:t>
            </w:r>
          </w:p>
        </w:tc>
        <w:tc>
          <w:tcPr/>
          <w:p>
            <w:pPr>
              <w:pStyle w:val="Compact"/>
              <w:jc w:val="right"/>
            </w:pPr>
            <w:r>
              <w:t xml:space="preserve">-0.51</w:t>
            </w:r>
          </w:p>
        </w:tc>
        <w:tc>
          <w:tcPr/>
          <w:p>
            <w:pPr>
              <w:pStyle w:val="Compact"/>
              <w:jc w:val="right"/>
            </w:pPr>
            <w:r>
              <w:t xml:space="preserve">-34.4%</w:t>
            </w:r>
          </w:p>
        </w:tc>
        <w:tc>
          <w:tcPr/>
          <w:p>
            <w:pPr>
              <w:pStyle w:val="Compact"/>
              <w:jc w:val="right"/>
            </w:pPr>
            <w:r>
              <w:t xml:space="preserve">67.2%</w:t>
            </w:r>
          </w:p>
        </w:tc>
        <w:tc>
          <w:tcPr/>
          <w:p>
            <w:pPr>
              <w:pStyle w:val="Compact"/>
              <w:jc w:val="right"/>
            </w:pPr>
            <w:r>
              <w:t xml:space="preserve">-68.3%</w:t>
            </w:r>
          </w:p>
        </w:tc>
        <w:tc>
          <w:tcPr/>
          <w:p>
            <w:pPr>
              <w:pStyle w:val="Compact"/>
              <w:jc w:val="right"/>
            </w:pPr>
            <w:r>
              <w:t xml:space="preserve">78</w:t>
            </w:r>
          </w:p>
        </w:tc>
      </w:tr>
    </w:tbl>
    <w:p>
      <w:pPr>
        <w:pStyle w:val="BodyText"/>
      </w:pPr>
      <w:r>
        <w:t xml:space="preserve">The main limitation is that the final test period is only 79 weeks. The results are encouraging, but they should be read as a disciplined research backtest rather than proof of a finished production strategy.</w:t>
      </w:r>
    </w:p>
    <w:bookmarkEnd w:id="22"/>
    <w:bookmarkStart w:id="23" w:name="reader-guide-and-glossary"/>
    <w:p>
      <w:pPr>
        <w:pStyle w:val="Heading1"/>
      </w:pPr>
      <w:r>
        <w:rPr>
          <w:rStyle w:val="SectionNumber"/>
        </w:rPr>
        <w:t xml:space="preserve">2</w:t>
      </w:r>
      <w:r>
        <w:tab/>
      </w:r>
      <w:r>
        <w:t xml:space="preserve">Reader Guide and Glossary</w:t>
      </w:r>
    </w:p>
    <w:p>
      <w:pPr>
        <w:pStyle w:val="FirstParagraph"/>
      </w:pPr>
      <w:r>
        <w:t xml:space="preserve">This report is written to be self-contained. The reader does not need access to the project code or notebooks. All strategy claims are supported by tables or figures included in the document.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Plain-language meaning</w:t>
            </w:r>
          </w:p>
        </w:tc>
        <w:tc>
          <w:tcPr/>
          <w:p>
            <w:pPr>
              <w:pStyle w:val="Compact"/>
              <w:jc w:val="left"/>
            </w:pPr>
            <w:r>
              <w:t xml:space="preserve">Main reference</w:t>
            </w:r>
          </w:p>
        </w:tc>
      </w:tr>
      <w:tr>
        <w:tc>
          <w:tcPr/>
          <w:p>
            <w:pPr>
              <w:pStyle w:val="Compact"/>
              <w:jc w:val="left"/>
            </w:pPr>
            <w:r>
              <w:t xml:space="preserve">Factor</w:t>
            </w:r>
          </w:p>
        </w:tc>
        <w:tc>
          <w:tcPr/>
          <w:p>
            <w:pPr>
              <w:pStyle w:val="Compact"/>
              <w:jc w:val="left"/>
            </w:pPr>
            <w:r>
              <w:t xml:space="preserve">A rule that ranks or tilts assets using a characteristic such as volatility, size, momentum, or drawdown</w:t>
            </w:r>
          </w:p>
        </w:tc>
        <w:tc>
          <w:tcPr/>
          <w:p>
            <w:pPr>
              <w:pStyle w:val="Compact"/>
              <w:jc w:val="left"/>
            </w:pPr>
            <w:r>
              <w:t xml:space="preserve">Fama and French (1993); Han et al. (2024)</w:t>
            </w:r>
          </w:p>
        </w:tc>
      </w:tr>
      <w:tr>
        <w:tc>
          <w:tcPr/>
          <w:p>
            <w:pPr>
              <w:pStyle w:val="Compact"/>
              <w:jc w:val="left"/>
            </w:pPr>
            <w:r>
              <w:t xml:space="preserve">Rebalancing</w:t>
            </w:r>
          </w:p>
        </w:tc>
        <w:tc>
          <w:tcPr/>
          <w:p>
            <w:pPr>
              <w:pStyle w:val="Compact"/>
              <w:jc w:val="left"/>
            </w:pPr>
            <w:r>
              <w:t xml:space="preserve">Periodically updating portfolio weights. This project rebalances weekly</w:t>
            </w:r>
          </w:p>
        </w:tc>
        <w:tc>
          <w:tcPr/>
          <w:p>
            <w:pPr>
              <w:pStyle w:val="Compact"/>
              <w:jc w:val="left"/>
            </w:pPr>
            <w:r>
              <w:t xml:space="preserve">DeMiguel, Garlappi, and Uppal (2009)</w:t>
            </w:r>
          </w:p>
        </w:tc>
      </w:tr>
      <w:tr>
        <w:tc>
          <w:tcPr/>
          <w:p>
            <w:pPr>
              <w:pStyle w:val="Compact"/>
              <w:jc w:val="left"/>
            </w:pPr>
            <w:r>
              <w:t xml:space="preserve">IC</w:t>
            </w:r>
          </w:p>
        </w:tc>
        <w:tc>
          <w:tcPr/>
          <w:p>
            <w:pPr>
              <w:pStyle w:val="Compact"/>
              <w:jc w:val="left"/>
            </w:pPr>
            <w:r>
              <w:t xml:space="preserve">Information coefficient, the rank correlation between a factor score and next-period returns</w:t>
            </w:r>
          </w:p>
        </w:tc>
        <w:tc>
          <w:tcPr/>
          <w:p>
            <w:pPr>
              <w:pStyle w:val="Compact"/>
              <w:jc w:val="left"/>
            </w:pPr>
            <w:r>
              <w:t xml:space="preserve">Spearman (1904); Grinold and Kahn (2000)</w:t>
            </w:r>
          </w:p>
        </w:tc>
      </w:tr>
      <w:tr>
        <w:tc>
          <w:tcPr/>
          <w:p>
            <w:pPr>
              <w:pStyle w:val="Compact"/>
              <w:jc w:val="left"/>
            </w:pPr>
            <w:r>
              <w:t xml:space="preserve">Newey-West t-stat</w:t>
            </w:r>
          </w:p>
        </w:tc>
        <w:tc>
          <w:tcPr/>
          <w:p>
            <w:pPr>
              <w:pStyle w:val="Compact"/>
              <w:jc w:val="left"/>
            </w:pPr>
            <w:r>
              <w:t xml:space="preserve">A statistical significance measure adjusted for autocorrelation and heteroskedasticity</w:t>
            </w:r>
          </w:p>
        </w:tc>
        <w:tc>
          <w:tcPr/>
          <w:p>
            <w:pPr>
              <w:pStyle w:val="Compact"/>
              <w:jc w:val="left"/>
            </w:pPr>
            <w:r>
              <w:t xml:space="preserve">Newey and West (1987)</w:t>
            </w:r>
          </w:p>
        </w:tc>
      </w:tr>
      <w:tr>
        <w:tc>
          <w:tcPr/>
          <w:p>
            <w:pPr>
              <w:pStyle w:val="Compact"/>
              <w:jc w:val="left"/>
            </w:pPr>
            <w:r>
              <w:t xml:space="preserve">ASD</w:t>
            </w:r>
          </w:p>
        </w:tc>
        <w:tc>
          <w:tcPr/>
          <w:p>
            <w:pPr>
              <w:pStyle w:val="Compact"/>
              <w:jc w:val="left"/>
            </w:pPr>
            <w:r>
              <w:t xml:space="preserve">Almost stochastic dominance, a distributional test that is useful when returns are non-normal</w:t>
            </w:r>
          </w:p>
        </w:tc>
        <w:tc>
          <w:tcPr/>
          <w:p>
            <w:pPr>
              <w:pStyle w:val="Compact"/>
              <w:jc w:val="left"/>
            </w:pPr>
            <w:r>
              <w:t xml:space="preserve">Leshno and Levy (2002); Han et al. (2024)</w:t>
            </w:r>
          </w:p>
        </w:tc>
      </w:tr>
      <w:tr>
        <w:tc>
          <w:tcPr/>
          <w:p>
            <w:pPr>
              <w:pStyle w:val="Compact"/>
              <w:jc w:val="left"/>
            </w:pPr>
            <w:r>
              <w:t xml:space="preserve">GX pricing</w:t>
            </w:r>
          </w:p>
        </w:tc>
        <w:tc>
          <w:tcPr/>
          <w:p>
            <w:pPr>
              <w:pStyle w:val="Compact"/>
              <w:jc w:val="left"/>
            </w:pPr>
            <w:r>
              <w:t xml:space="preserve">Giglio-Xiu latent-factor pricing, used to test risk premia while controlling for hidden common factors</w:t>
            </w:r>
          </w:p>
        </w:tc>
        <w:tc>
          <w:tcPr/>
          <w:p>
            <w:pPr>
              <w:pStyle w:val="Compact"/>
              <w:jc w:val="left"/>
            </w:pPr>
            <w:r>
              <w:t xml:space="preserve">Giglio and Xiu (2021)</w:t>
            </w:r>
          </w:p>
        </w:tc>
      </w:tr>
      <w:tr>
        <w:tc>
          <w:tcPr/>
          <w:p>
            <w:pPr>
              <w:pStyle w:val="Compact"/>
              <w:jc w:val="left"/>
            </w:pPr>
            <w:r>
              <w:t xml:space="preserve">Sharpe ratio</w:t>
            </w:r>
          </w:p>
        </w:tc>
        <w:tc>
          <w:tcPr/>
          <w:p>
            <w:pPr>
              <w:pStyle w:val="Compact"/>
              <w:jc w:val="left"/>
            </w:pPr>
            <w:r>
              <w:t xml:space="preserve">Return per unit of volatility</w:t>
            </w:r>
          </w:p>
        </w:tc>
        <w:tc>
          <w:tcPr/>
          <w:p>
            <w:pPr>
              <w:pStyle w:val="Compact"/>
              <w:jc w:val="left"/>
            </w:pPr>
            <w:r>
              <w:t xml:space="preserve">Sharpe (1966)</w:t>
            </w:r>
          </w:p>
        </w:tc>
      </w:tr>
      <w:tr>
        <w:tc>
          <w:tcPr/>
          <w:p>
            <w:pPr>
              <w:pStyle w:val="Compact"/>
              <w:jc w:val="left"/>
            </w:pPr>
            <w:r>
              <w:t xml:space="preserve">Max drawdown</w:t>
            </w:r>
          </w:p>
        </w:tc>
        <w:tc>
          <w:tcPr/>
          <w:p>
            <w:pPr>
              <w:pStyle w:val="Compact"/>
              <w:jc w:val="left"/>
            </w:pPr>
            <w:r>
              <w:t xml:space="preserve">Largest peak-to-trough portfolio loss during the test window</w:t>
            </w:r>
          </w:p>
        </w:tc>
        <w:tc>
          <w:tcPr/>
          <w:p>
            <w:pPr>
              <w:pStyle w:val="Compact"/>
              <w:jc w:val="left"/>
            </w:pPr>
            <w:r>
              <w:t xml:space="preserve">Magdon-Ismail and Atiya (2004)</w:t>
            </w:r>
          </w:p>
        </w:tc>
      </w:tr>
      <w:tr>
        <w:tc>
          <w:tcPr/>
          <w:p>
            <w:pPr>
              <w:pStyle w:val="Compact"/>
              <w:jc w:val="left"/>
            </w:pPr>
            <w:r>
              <w:t xml:space="preserve">XGBoost</w:t>
            </w:r>
          </w:p>
        </w:tc>
        <w:tc>
          <w:tcPr/>
          <w:p>
            <w:pPr>
              <w:pStyle w:val="Compact"/>
              <w:jc w:val="left"/>
            </w:pPr>
            <w:r>
              <w:t xml:space="preserve">A gradient-boosted tree model used here to estimate market regime probabilities</w:t>
            </w:r>
          </w:p>
        </w:tc>
        <w:tc>
          <w:tcPr/>
          <w:p>
            <w:pPr>
              <w:pStyle w:val="Compact"/>
              <w:jc w:val="left"/>
            </w:pPr>
            <w:r>
              <w:t xml:space="preserve">Chen and Guestrin (2016)</w:t>
            </w:r>
          </w:p>
        </w:tc>
      </w:tr>
      <w:tr>
        <w:tc>
          <w:tcPr/>
          <w:p>
            <w:pPr>
              <w:pStyle w:val="Compact"/>
              <w:jc w:val="left"/>
            </w:pPr>
            <w:r>
              <w:t xml:space="preserve">Risk premium</w:t>
            </w:r>
          </w:p>
        </w:tc>
        <w:tc>
          <w:tcPr/>
          <w:p>
            <w:pPr>
              <w:pStyle w:val="Compact"/>
              <w:jc w:val="left"/>
            </w:pPr>
            <w:r>
              <w:t xml:space="preserve">Extra expected return for bearing a systematic risk</w:t>
            </w:r>
          </w:p>
        </w:tc>
        <w:tc>
          <w:tcPr/>
          <w:p>
            <w:pPr>
              <w:pStyle w:val="Compact"/>
              <w:jc w:val="left"/>
            </w:pPr>
            <w:r>
              <w:t xml:space="preserve">Fama and French (1993); Giglio and Xiu (2021)</w:t>
            </w:r>
          </w:p>
        </w:tc>
      </w:tr>
      <w:tr>
        <w:tc>
          <w:tcPr/>
          <w:p>
            <w:pPr>
              <w:pStyle w:val="Compact"/>
              <w:jc w:val="left"/>
            </w:pPr>
            <w:r>
              <w:t xml:space="preserve">Latent factor</w:t>
            </w:r>
          </w:p>
        </w:tc>
        <w:tc>
          <w:tcPr/>
          <w:p>
            <w:pPr>
              <w:pStyle w:val="Compact"/>
              <w:jc w:val="left"/>
            </w:pPr>
            <w:r>
              <w:t xml:space="preserve">A hidden common risk extracted statistically from returns rather than named directly</w:t>
            </w:r>
          </w:p>
        </w:tc>
        <w:tc>
          <w:tcPr/>
          <w:p>
            <w:pPr>
              <w:pStyle w:val="Compact"/>
              <w:jc w:val="left"/>
            </w:pPr>
            <w:r>
              <w:t xml:space="preserve">Giglio and Xiu (2021)</w:t>
            </w:r>
          </w:p>
        </w:tc>
      </w:tr>
      <w:tr>
        <w:tc>
          <w:tcPr/>
          <w:p>
            <w:pPr>
              <w:pStyle w:val="Compact"/>
              <w:jc w:val="left"/>
            </w:pPr>
            <w:r>
              <w:t xml:space="preserve">Overfitting</w:t>
            </w:r>
          </w:p>
        </w:tc>
        <w:tc>
          <w:tcPr/>
          <w:p>
            <w:pPr>
              <w:pStyle w:val="Compact"/>
              <w:jc w:val="left"/>
            </w:pPr>
            <w:r>
              <w:t xml:space="preserve">A model fitting historical noise rather than a repeatable relationship</w:t>
            </w:r>
          </w:p>
        </w:tc>
        <w:tc>
          <w:tcPr/>
          <w:p>
            <w:pPr>
              <w:pStyle w:val="Compact"/>
              <w:jc w:val="left"/>
            </w:pPr>
            <w:r>
              <w:t xml:space="preserve">Chen and Guestrin (2016); Brigida (2026)</w:t>
            </w:r>
          </w:p>
        </w:tc>
      </w:tr>
      <w:tr>
        <w:tc>
          <w:tcPr/>
          <w:p>
            <w:pPr>
              <w:pStyle w:val="Compact"/>
              <w:jc w:val="left"/>
            </w:pPr>
            <w:r>
              <w:t xml:space="preserve">Survivorship bias</w:t>
            </w:r>
          </w:p>
        </w:tc>
        <w:tc>
          <w:tcPr/>
          <w:p>
            <w:pPr>
              <w:pStyle w:val="Compact"/>
              <w:jc w:val="left"/>
            </w:pPr>
            <w:r>
              <w:t xml:space="preserve">A data problem where failed or delisted assets are missing from the historical universe</w:t>
            </w:r>
          </w:p>
        </w:tc>
        <w:tc>
          <w:tcPr/>
          <w:p>
            <w:pPr>
              <w:pStyle w:val="Compact"/>
              <w:jc w:val="left"/>
            </w:pPr>
            <w:r>
              <w:t xml:space="preserve">Han et al. (2024); Brigida (2026)</w:t>
            </w:r>
          </w:p>
        </w:tc>
      </w:tr>
      <w:tr>
        <w:tc>
          <w:tcPr/>
          <w:p>
            <w:pPr>
              <w:pStyle w:val="Compact"/>
              <w:jc w:val="left"/>
            </w:pPr>
            <w:r>
              <w:t xml:space="preserve">TVL</w:t>
            </w:r>
          </w:p>
        </w:tc>
        <w:tc>
          <w:tcPr/>
          <w:p>
            <w:pPr>
              <w:pStyle w:val="Compact"/>
              <w:jc w:val="left"/>
            </w:pPr>
            <w:r>
              <w:t xml:space="preserve">Total value locked, a DeFi usage measure that is not reliable as a standalone alpha signal</w:t>
            </w:r>
          </w:p>
        </w:tc>
        <w:tc>
          <w:tcPr/>
          <w:p>
            <w:pPr>
              <w:pStyle w:val="Compact"/>
              <w:jc w:val="left"/>
            </w:pPr>
            <w:r>
              <w:t xml:space="preserve">Brigida (2025); Brigida (2026)</w:t>
            </w:r>
          </w:p>
        </w:tc>
      </w:tr>
      <w:tr>
        <w:tc>
          <w:tcPr/>
          <w:p>
            <w:pPr>
              <w:pStyle w:val="Compact"/>
              <w:jc w:val="left"/>
            </w:pPr>
            <w:r>
              <w:t xml:space="preserve">VolC</w:t>
            </w:r>
          </w:p>
        </w:tc>
        <w:tc>
          <w:tcPr/>
          <w:p>
            <w:pPr>
              <w:pStyle w:val="Compact"/>
              <w:jc w:val="left"/>
            </w:pPr>
            <w:r>
              <w:t xml:space="preserve">Volatility characteristic, used here as a low-volatility crypto ranker</w:t>
            </w:r>
          </w:p>
        </w:tc>
        <w:tc>
          <w:tcPr/>
          <w:p>
            <w:pPr>
              <w:pStyle w:val="Compact"/>
              <w:jc w:val="left"/>
            </w:pPr>
            <w:r>
              <w:t xml:space="preserve">Frazzini and Pedersen (2014)</w:t>
            </w:r>
          </w:p>
        </w:tc>
      </w:tr>
      <w:tr>
        <w:tc>
          <w:tcPr/>
          <w:p>
            <w:pPr>
              <w:pStyle w:val="Compact"/>
              <w:jc w:val="left"/>
            </w:pPr>
            <w:r>
              <w:t xml:space="preserve">MAXRET</w:t>
            </w:r>
          </w:p>
        </w:tc>
        <w:tc>
          <w:tcPr/>
          <w:p>
            <w:pPr>
              <w:pStyle w:val="Compact"/>
              <w:jc w:val="left"/>
            </w:pPr>
            <w:r>
              <w:t xml:space="preserve">Maximum recent return, used here as a lottery-reversal signal</w:t>
            </w:r>
          </w:p>
        </w:tc>
        <w:tc>
          <w:tcPr/>
          <w:p>
            <w:pPr>
              <w:pStyle w:val="Compact"/>
              <w:jc w:val="left"/>
            </w:pPr>
            <w:r>
              <w:t xml:space="preserve">Bali, Cakici, and Whitelaw (2011); Han et al. (2024)</w:t>
            </w:r>
          </w:p>
        </w:tc>
      </w:tr>
      <w:tr>
        <w:tc>
          <w:tcPr/>
          <w:p>
            <w:pPr>
              <w:pStyle w:val="Compact"/>
              <w:jc w:val="left"/>
            </w:pPr>
            <w:r>
              <w:t xml:space="preserve">RMOM</w:t>
            </w:r>
          </w:p>
        </w:tc>
        <w:tc>
          <w:tcPr/>
          <w:p>
            <w:pPr>
              <w:pStyle w:val="Compact"/>
              <w:jc w:val="left"/>
            </w:pPr>
            <w:r>
              <w:t xml:space="preserve">Risk-adjusted momentum, meaning recent return scaled by recent volatility</w:t>
            </w:r>
          </w:p>
        </w:tc>
        <w:tc>
          <w:tcPr/>
          <w:p>
            <w:pPr>
              <w:pStyle w:val="Compact"/>
              <w:jc w:val="left"/>
            </w:pPr>
            <w:r>
              <w:t xml:space="preserve">Han et al. (2024)</w:t>
            </w:r>
          </w:p>
        </w:tc>
      </w:tr>
      <w:tr>
        <w:tc>
          <w:tcPr/>
          <w:p>
            <w:pPr>
              <w:pStyle w:val="Compact"/>
              <w:jc w:val="left"/>
            </w:pPr>
            <w:r>
              <w:t xml:space="preserve">SMBC</w:t>
            </w:r>
          </w:p>
        </w:tc>
        <w:tc>
          <w:tcPr/>
          <w:p>
            <w:pPr>
              <w:pStyle w:val="Compact"/>
              <w:jc w:val="left"/>
            </w:pPr>
            <w:r>
              <w:t xml:space="preserve">Small-minus-big crypto size factor</w:t>
            </w:r>
          </w:p>
        </w:tc>
        <w:tc>
          <w:tcPr/>
          <w:p>
            <w:pPr>
              <w:pStyle w:val="Compact"/>
              <w:jc w:val="left"/>
            </w:pPr>
            <w:r>
              <w:t xml:space="preserve">Fama and French (1993); Brigida (2026)</w:t>
            </w:r>
          </w:p>
        </w:tc>
      </w:tr>
      <w:tr>
        <w:tc>
          <w:tcPr/>
          <w:p>
            <w:pPr>
              <w:pStyle w:val="Compact"/>
              <w:jc w:val="left"/>
            </w:pPr>
            <w:r>
              <w:t xml:space="preserve">NetRel</w:t>
            </w:r>
          </w:p>
        </w:tc>
        <w:tc>
          <w:tcPr/>
          <w:p>
            <w:pPr>
              <w:pStyle w:val="Compact"/>
              <w:jc w:val="left"/>
            </w:pPr>
            <w:r>
              <w:t xml:space="preserve">Network-relative signal comparing a coin with related coins</w:t>
            </w:r>
          </w:p>
        </w:tc>
        <w:tc>
          <w:tcPr/>
          <w:p>
            <w:pPr>
              <w:pStyle w:val="Compact"/>
              <w:jc w:val="left"/>
            </w:pPr>
            <w:r>
              <w:t xml:space="preserve">Guo, Haerdle, and Tao (2024)</w:t>
            </w:r>
          </w:p>
        </w:tc>
      </w:tr>
      <w:tr>
        <w:tc>
          <w:tcPr/>
          <w:p>
            <w:pPr>
              <w:pStyle w:val="Compact"/>
              <w:jc w:val="left"/>
            </w:pPr>
            <w:r>
              <w:t xml:space="preserve">CRASH8</w:t>
            </w:r>
          </w:p>
        </w:tc>
        <w:tc>
          <w:tcPr/>
          <w:p>
            <w:pPr>
              <w:pStyle w:val="Compact"/>
              <w:jc w:val="left"/>
            </w:pPr>
            <w:r>
              <w:t xml:space="preserve">Rebound signal for deeply crashed coins</w:t>
            </w:r>
          </w:p>
        </w:tc>
        <w:tc>
          <w:tcPr/>
          <w:p>
            <w:pPr>
              <w:pStyle w:val="Compact"/>
              <w:jc w:val="left"/>
            </w:pPr>
            <w:r>
              <w:t xml:space="preserve">Han et al. (2024)</w:t>
            </w:r>
          </w:p>
        </w:tc>
      </w:tr>
      <w:tr>
        <w:tc>
          <w:tcPr/>
          <w:p>
            <w:pPr>
              <w:pStyle w:val="Compact"/>
              <w:jc w:val="left"/>
            </w:pPr>
            <w:r>
              <w:t xml:space="preserve">BETA26</w:t>
            </w:r>
          </w:p>
        </w:tc>
        <w:tc>
          <w:tcPr/>
          <w:p>
            <w:pPr>
              <w:pStyle w:val="Compact"/>
              <w:jc w:val="left"/>
            </w:pPr>
            <w:r>
              <w:t xml:space="preserve">High-beta crypto risk tilt</w:t>
            </w:r>
          </w:p>
        </w:tc>
        <w:tc>
          <w:tcPr/>
          <w:p>
            <w:pPr>
              <w:pStyle w:val="Compact"/>
              <w:jc w:val="left"/>
            </w:pPr>
            <w:r>
              <w:t xml:space="preserve">Frazzini and Pedersen (2014); Brigida (2026)</w:t>
            </w:r>
          </w:p>
        </w:tc>
      </w:tr>
      <w:tr>
        <w:tc>
          <w:tcPr/>
          <w:p>
            <w:pPr>
              <w:pStyle w:val="Compact"/>
              <w:jc w:val="left"/>
            </w:pPr>
            <w:r>
              <w:t xml:space="preserve">SKEW52</w:t>
            </w:r>
          </w:p>
        </w:tc>
        <w:tc>
          <w:tcPr/>
          <w:p>
            <w:pPr>
              <w:pStyle w:val="Compact"/>
              <w:jc w:val="left"/>
            </w:pPr>
            <w:r>
              <w:t xml:space="preserve">Skewness or lottery-like payoff tilt</w:t>
            </w:r>
          </w:p>
        </w:tc>
        <w:tc>
          <w:tcPr/>
          <w:p>
            <w:pPr>
              <w:pStyle w:val="Compact"/>
              <w:jc w:val="left"/>
            </w:pPr>
            <w:r>
              <w:t xml:space="preserve">Bali, Cakici, and Whitelaw (2011)</w:t>
            </w:r>
          </w:p>
        </w:tc>
      </w:tr>
      <w:tr>
        <w:tc>
          <w:tcPr/>
          <w:p>
            <w:pPr>
              <w:pStyle w:val="Compact"/>
              <w:jc w:val="left"/>
            </w:pPr>
            <w:r>
              <w:t xml:space="preserve">NEWC</w:t>
            </w:r>
          </w:p>
        </w:tc>
        <w:tc>
          <w:tcPr/>
          <w:p>
            <w:pPr>
              <w:pStyle w:val="Compact"/>
              <w:jc w:val="left"/>
            </w:pPr>
            <w:r>
              <w:t xml:space="preserve">Newer-coin seasoning tilt</w:t>
            </w:r>
          </w:p>
        </w:tc>
        <w:tc>
          <w:tcPr/>
          <w:p>
            <w:pPr>
              <w:pStyle w:val="Compact"/>
              <w:jc w:val="left"/>
            </w:pPr>
            <w:r>
              <w:t xml:space="preserve">Han et al. (2024); Brigida (2026)</w:t>
            </w:r>
          </w:p>
        </w:tc>
      </w:tr>
    </w:tbl>
    <w:p>
      <w:pPr>
        <w:pStyle w:val="BodyText"/>
      </w:pPr>
      <w:r>
        <w:t xml:space="preserve">The report uses</w:t>
      </w:r>
      <w:r>
        <w:t xml:space="preserve"> </w:t>
      </w:r>
      <w:r>
        <w:rPr>
          <w:bCs/>
          <w:b/>
        </w:rPr>
        <w:t xml:space="preserve">in-sample</w:t>
      </w:r>
      <w:r>
        <w:t xml:space="preserve"> </w:t>
      </w:r>
      <w:r>
        <w:t xml:space="preserve">to mean the research window used to study and build the model. It uses</w:t>
      </w:r>
      <w:r>
        <w:t xml:space="preserve"> </w:t>
      </w:r>
      <w:r>
        <w:rPr>
          <w:bCs/>
          <w:b/>
        </w:rPr>
        <w:t xml:space="preserve">out-of-sample</w:t>
      </w:r>
      <w:r>
        <w:t xml:space="preserve"> </w:t>
      </w:r>
      <w:r>
        <w:t xml:space="preserve">to mean the later window used to test whether the model still works after design choices have already been made.</w:t>
      </w:r>
    </w:p>
    <w:bookmarkEnd w:id="23"/>
    <w:bookmarkStart w:id="24" w:name="competition-objective"/>
    <w:p>
      <w:pPr>
        <w:pStyle w:val="Heading1"/>
      </w:pPr>
      <w:r>
        <w:rPr>
          <w:rStyle w:val="SectionNumber"/>
        </w:rPr>
        <w:t xml:space="preserve">3</w:t>
      </w:r>
      <w:r>
        <w:tab/>
      </w:r>
      <w:r>
        <w:t xml:space="preserve">Competition Objective</w:t>
      </w:r>
    </w:p>
    <w:p>
      <w:pPr>
        <w:pStyle w:val="FirstParagraph"/>
      </w:pPr>
      <w:r>
        <w:t xml:space="preserve">Track 1 asks for a systematic crypto factor rebalancing strategy. In practical terms, this means:</w:t>
      </w:r>
    </w:p>
    <w:p>
      <w:pPr>
        <w:numPr>
          <w:ilvl w:val="0"/>
          <w:numId w:val="1002"/>
        </w:numPr>
        <w:pStyle w:val="Compact"/>
      </w:pPr>
      <w:r>
        <w:t xml:space="preserve">Define a tradable crypto universe.</w:t>
      </w:r>
    </w:p>
    <w:p>
      <w:pPr>
        <w:numPr>
          <w:ilvl w:val="0"/>
          <w:numId w:val="1002"/>
        </w:numPr>
        <w:pStyle w:val="Compact"/>
      </w:pPr>
      <w:r>
        <w:t xml:space="preserve">Build factor signals with a clear economic story.</w:t>
      </w:r>
    </w:p>
    <w:p>
      <w:pPr>
        <w:numPr>
          <w:ilvl w:val="0"/>
          <w:numId w:val="1002"/>
        </w:numPr>
        <w:pStyle w:val="Compact"/>
      </w:pPr>
      <w:r>
        <w:t xml:space="preserve">Rebalance the portfolio on a consistent schedule.</w:t>
      </w:r>
    </w:p>
    <w:p>
      <w:pPr>
        <w:numPr>
          <w:ilvl w:val="0"/>
          <w:numId w:val="1002"/>
        </w:numPr>
        <w:pStyle w:val="Compact"/>
      </w:pPr>
      <w:r>
        <w:t xml:space="preserve">Evaluate returns, risk, turnover, drawdown, and robustness.</w:t>
      </w:r>
    </w:p>
    <w:p>
      <w:pPr>
        <w:numPr>
          <w:ilvl w:val="0"/>
          <w:numId w:val="1002"/>
        </w:numPr>
        <w:pStyle w:val="Compact"/>
      </w:pPr>
      <w:r>
        <w:t xml:space="preserve">Critically explain what could fail.</w:t>
      </w:r>
    </w:p>
    <w:p>
      <w:pPr>
        <w:pStyle w:val="FirstParagraph"/>
      </w:pPr>
      <w:r>
        <w:t xml:space="preserve">This submission focuses on the last three points as much as the first two. A high return backtest is not enough. The strategy needs to be simple enough to explain, statistically defensible, and honest about the limits of the test.</w:t>
      </w:r>
    </w:p>
    <w:bookmarkEnd w:id="24"/>
    <w:bookmarkStart w:id="25" w:name="universe-data-and-design-choices"/>
    <w:p>
      <w:pPr>
        <w:pStyle w:val="Heading1"/>
      </w:pPr>
      <w:r>
        <w:rPr>
          <w:rStyle w:val="SectionNumber"/>
        </w:rPr>
        <w:t xml:space="preserve">4</w:t>
      </w:r>
      <w:r>
        <w:tab/>
      </w:r>
      <w:r>
        <w:t xml:space="preserve">Universe, Data, and Design Choices</w:t>
      </w:r>
    </w:p>
    <w:p>
      <w:pPr>
        <w:pStyle w:val="FirstParagraph"/>
      </w:pPr>
      <w:r>
        <w:t xml:space="preserve">The research uses a weekly crypto asset panel covering large liquid tokens. The broad factor validation work covers the 2017 to 2026 period and uses about 113 large-cap coins. The final strategy is evaluated on a weekly panel with a final 79-week out-of-sample window ending on May 25, 2026.</w:t>
      </w:r>
    </w:p>
    <w:p>
      <w:pPr>
        <w:pStyle w:val="BodyText"/>
      </w:pPr>
      <w:r>
        <w:t xml:space="preserve">Weekly rebalancing is used because most of the signals are cross-sectional factors rather than intraday trading signals. A weekly horizon is long enough to reduce daily noise and short enough to capture short-term crypto reversals.</w:t>
      </w:r>
    </w:p>
    <w:p>
      <w:pPr>
        <w:pStyle w:val="BodyText"/>
      </w:pPr>
      <w:r>
        <w:t xml:space="preserve">The strategy is designed to exclude stablecoins, wrapped duplicates, and very low-quality assets where possible. Stablecoins do not have the same risk-return profile as normal crypto assets. Wrapped assets can duplicate exposures already in the universe. Very illiquid assets can create paper profits that may not be tradable after slippage.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Design item</w:t>
            </w:r>
          </w:p>
        </w:tc>
        <w:tc>
          <w:tcPr/>
          <w:p>
            <w:pPr>
              <w:pStyle w:val="Compact"/>
              <w:jc w:val="left"/>
            </w:pPr>
            <w:r>
              <w:t xml:space="preserve">Choice</w:t>
            </w:r>
          </w:p>
        </w:tc>
      </w:tr>
      <w:tr>
        <w:tc>
          <w:tcPr/>
          <w:p>
            <w:pPr>
              <w:pStyle w:val="Compact"/>
              <w:jc w:val="left"/>
            </w:pPr>
            <w:r>
              <w:t xml:space="preserve">Broad research period</w:t>
            </w:r>
          </w:p>
        </w:tc>
        <w:tc>
          <w:tcPr/>
          <w:p>
            <w:pPr>
              <w:pStyle w:val="Compact"/>
              <w:jc w:val="left"/>
            </w:pPr>
            <w:r>
              <w:t xml:space="preserve">2017 to 2026</w:t>
            </w:r>
          </w:p>
        </w:tc>
      </w:tr>
      <w:tr>
        <w:tc>
          <w:tcPr/>
          <w:p>
            <w:pPr>
              <w:pStyle w:val="Compact"/>
              <w:jc w:val="left"/>
            </w:pPr>
            <w:r>
              <w:t xml:space="preserve">Main validation split</w:t>
            </w:r>
          </w:p>
        </w:tc>
        <w:tc>
          <w:tcPr/>
          <w:p>
            <w:pPr>
              <w:pStyle w:val="Compact"/>
              <w:jc w:val="left"/>
            </w:pPr>
            <w:r>
              <w:t xml:space="preserve">In-sample: 2021-05-10 to 2024-11-11. Out-of-sample: 2024-11-18 to 2026-05-25</w:t>
            </w:r>
          </w:p>
        </w:tc>
      </w:tr>
      <w:tr>
        <w:tc>
          <w:tcPr/>
          <w:p>
            <w:pPr>
              <w:pStyle w:val="Compact"/>
              <w:jc w:val="left"/>
            </w:pPr>
            <w:r>
              <w:t xml:space="preserve">Final strategy split</w:t>
            </w:r>
          </w:p>
        </w:tc>
        <w:tc>
          <w:tcPr/>
          <w:p>
            <w:pPr>
              <w:pStyle w:val="Compact"/>
              <w:jc w:val="left"/>
            </w:pPr>
            <w:r>
              <w:t xml:space="preserve">In-sample before 2024-11-25. Out-of-sample final 79 weeks</w:t>
            </w:r>
          </w:p>
        </w:tc>
      </w:tr>
      <w:tr>
        <w:tc>
          <w:tcPr/>
          <w:p>
            <w:pPr>
              <w:pStyle w:val="Compact"/>
              <w:jc w:val="left"/>
            </w:pPr>
            <w:r>
              <w:t xml:space="preserve">Approximate asset count</w:t>
            </w:r>
          </w:p>
        </w:tc>
        <w:tc>
          <w:tcPr/>
          <w:p>
            <w:pPr>
              <w:pStyle w:val="Compact"/>
              <w:jc w:val="left"/>
            </w:pPr>
            <w:r>
              <w:t xml:space="preserve">About 113 large-cap coins in the factor validation panel</w:t>
            </w:r>
          </w:p>
        </w:tc>
      </w:tr>
      <w:tr>
        <w:tc>
          <w:tcPr/>
          <w:p>
            <w:pPr>
              <w:pStyle w:val="Compact"/>
              <w:jc w:val="left"/>
            </w:pPr>
            <w:r>
              <w:t xml:space="preserve">Rebalancing frequency</w:t>
            </w:r>
          </w:p>
        </w:tc>
        <w:tc>
          <w:tcPr/>
          <w:p>
            <w:pPr>
              <w:pStyle w:val="Compact"/>
              <w:jc w:val="left"/>
            </w:pPr>
            <w:r>
              <w:t xml:space="preserve">Weekly</w:t>
            </w:r>
          </w:p>
        </w:tc>
      </w:tr>
      <w:tr>
        <w:tc>
          <w:tcPr/>
          <w:p>
            <w:pPr>
              <w:pStyle w:val="Compact"/>
              <w:jc w:val="left"/>
            </w:pPr>
            <w:r>
              <w:t xml:space="preserve">Trading-cost discipline</w:t>
            </w:r>
          </w:p>
        </w:tc>
        <w:tc>
          <w:tcPr/>
          <w:p>
            <w:pPr>
              <w:pStyle w:val="Compact"/>
              <w:jc w:val="left"/>
            </w:pPr>
            <w:r>
              <w:t xml:space="preserve">Research backtests include simplified turnover-cost assumptions, but real execution costs could be higher</w:t>
            </w:r>
          </w:p>
        </w:tc>
      </w:tr>
    </w:tbl>
    <w:bookmarkEnd w:id="25"/>
    <w:bookmarkStart w:id="28" w:name="Xd52335031b0111b1c081ecf6eaa8c4bdf6ba184"/>
    <w:p>
      <w:pPr>
        <w:pStyle w:val="Heading1"/>
      </w:pPr>
      <w:r>
        <w:rPr>
          <w:rStyle w:val="SectionNumber"/>
        </w:rPr>
        <w:t xml:space="preserve">5</w:t>
      </w:r>
      <w:r>
        <w:tab/>
      </w:r>
      <w:r>
        <w:t xml:space="preserve">Factor Discovery and Validation Framework</w:t>
      </w:r>
    </w:p>
    <w:p>
      <w:pPr>
        <w:pStyle w:val="FirstParagraph"/>
      </w:pPr>
      <w:r>
        <w:t xml:space="preserve">The strategy starts with factor discovery. A factor is useful only if it passes at least one clear test:</w:t>
      </w:r>
    </w:p>
    <w:p>
      <w:pPr>
        <w:numPr>
          <w:ilvl w:val="0"/>
          <w:numId w:val="1003"/>
        </w:numPr>
        <w:pStyle w:val="Compact"/>
      </w:pPr>
      <w:r>
        <w:rPr>
          <w:bCs/>
          <w:b/>
        </w:rPr>
        <w:t xml:space="preserve">Ranking power</w:t>
      </w:r>
      <w:r>
        <w:t xml:space="preserve">: does the signal rank coins correctly from one week to the next?</w:t>
      </w:r>
    </w:p>
    <w:p>
      <w:pPr>
        <w:numPr>
          <w:ilvl w:val="0"/>
          <w:numId w:val="1003"/>
        </w:numPr>
        <w:pStyle w:val="Compact"/>
      </w:pPr>
      <w:r>
        <w:rPr>
          <w:bCs/>
          <w:b/>
        </w:rPr>
        <w:t xml:space="preserve">Distributional robustness</w:t>
      </w:r>
      <w:r>
        <w:t xml:space="preserve">: does the whole return distribution look attractive, not just the average return?</w:t>
      </w:r>
    </w:p>
    <w:p>
      <w:pPr>
        <w:numPr>
          <w:ilvl w:val="0"/>
          <w:numId w:val="1003"/>
        </w:numPr>
        <w:pStyle w:val="Compact"/>
      </w:pPr>
      <w:r>
        <w:rPr>
          <w:bCs/>
          <w:b/>
        </w:rPr>
        <w:t xml:space="preserve">Risk premium evidence</w:t>
      </w:r>
      <w:r>
        <w:t xml:space="preserve">: does the signal represent a priced source of systematic risk?</w:t>
      </w:r>
    </w:p>
    <w:p>
      <w:pPr>
        <w:pStyle w:val="FirstParagraph"/>
      </w:pPr>
      <w:r>
        <w:t xml:space="preserve">These tests answer different questions. The information coefficient test measures short-horizon ranking power. The almost stochastic dominance test checks whether a return distribution is attractive for risk-averse investors, which is important because crypto returns are fat-tailed and non-normal.</w:t>
      </w:r>
      <w:r>
        <w:rPr>
          <w:rStyle w:val="FootnoteReference"/>
        </w:rPr>
        <w:footnoteReference w:id="26"/>
      </w:r>
      <w:r>
        <w:t xml:space="preserve"> </w:t>
      </w:r>
      <w:r>
        <w:t xml:space="preserve">The Giglio-Xiu pricing test asks whether a factor is compensated as a systematic risk after accounting for hidden common risks.</w:t>
      </w:r>
      <w:r>
        <w:rPr>
          <w:rStyle w:val="FootnoteReference"/>
        </w:rPr>
        <w:footnoteReference w:id="27"/>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 group</w:t>
            </w:r>
          </w:p>
        </w:tc>
        <w:tc>
          <w:tcPr/>
          <w:p>
            <w:pPr>
              <w:pStyle w:val="Compact"/>
              <w:jc w:val="left"/>
            </w:pPr>
            <w:r>
              <w:t xml:space="preserve">Factors</w:t>
            </w:r>
          </w:p>
        </w:tc>
        <w:tc>
          <w:tcPr/>
          <w:p>
            <w:pPr>
              <w:pStyle w:val="Compact"/>
              <w:jc w:val="left"/>
            </w:pPr>
            <w:r>
              <w:t xml:space="preserve">How the group is used</w:t>
            </w:r>
          </w:p>
        </w:tc>
      </w:tr>
      <w:tr>
        <w:tc>
          <w:tcPr/>
          <w:p>
            <w:pPr>
              <w:pStyle w:val="Compact"/>
              <w:jc w:val="left"/>
            </w:pPr>
            <w:r>
              <w:t xml:space="preserve">Weekly rankers</w:t>
            </w:r>
          </w:p>
        </w:tc>
        <w:tc>
          <w:tcPr/>
          <w:p>
            <w:pPr>
              <w:pStyle w:val="Compact"/>
              <w:jc w:val="left"/>
            </w:pPr>
            <w:r>
              <w:t xml:space="preserve">VolC, MAXRET</w:t>
            </w:r>
          </w:p>
        </w:tc>
        <w:tc>
          <w:tcPr/>
          <w:p>
            <w:pPr>
              <w:pStyle w:val="Compact"/>
              <w:jc w:val="left"/>
            </w:pPr>
            <w:r>
              <w:t xml:space="preserve">Used as the Core Rank book</w:t>
            </w:r>
          </w:p>
        </w:tc>
      </w:tr>
      <w:tr>
        <w:tc>
          <w:tcPr/>
          <w:p>
            <w:pPr>
              <w:pStyle w:val="Compact"/>
              <w:jc w:val="left"/>
            </w:pPr>
            <w:r>
              <w:t xml:space="preserve">Mispricing composite</w:t>
            </w:r>
          </w:p>
        </w:tc>
        <w:tc>
          <w:tcPr/>
          <w:p>
            <w:pPr>
              <w:pStyle w:val="Compact"/>
              <w:jc w:val="left"/>
            </w:pPr>
            <w:r>
              <w:t xml:space="preserve">RMOM1w, RMOM2w, SMBC, NetRel</w:t>
            </w:r>
          </w:p>
        </w:tc>
        <w:tc>
          <w:tcPr/>
          <w:p>
            <w:pPr>
              <w:pStyle w:val="Compact"/>
              <w:jc w:val="left"/>
            </w:pPr>
            <w:r>
              <w:t xml:space="preserve">Combined into MispricingM</w:t>
            </w:r>
          </w:p>
        </w:tc>
      </w:tr>
      <w:tr>
        <w:tc>
          <w:tcPr/>
          <w:p>
            <w:pPr>
              <w:pStyle w:val="Compact"/>
              <w:jc w:val="left"/>
            </w:pPr>
            <w:r>
              <w:t xml:space="preserve">Priced-risk tilts</w:t>
            </w:r>
          </w:p>
        </w:tc>
        <w:tc>
          <w:tcPr/>
          <w:p>
            <w:pPr>
              <w:pStyle w:val="Compact"/>
              <w:jc w:val="left"/>
            </w:pPr>
            <w:r>
              <w:t xml:space="preserve">CRASH8, BETA26, TVLC, SKEW52, NEWC</w:t>
            </w:r>
          </w:p>
        </w:tc>
        <w:tc>
          <w:tcPr/>
          <w:p>
            <w:pPr>
              <w:pStyle w:val="Compact"/>
              <w:jc w:val="left"/>
            </w:pPr>
            <w:r>
              <w:t xml:space="preserve">Kept as a capped risk-premia sleeve</w:t>
            </w:r>
          </w:p>
        </w:tc>
      </w:tr>
    </w:tbl>
    <w:p>
      <w:pPr>
        <w:pStyle w:val="BodyText"/>
      </w:pPr>
      <w:r>
        <w:t xml:space="preserve">The strongest single-factor evidence is for VolC and MAXRET. VolC favors lower-volatility coins. MAXRET fades coins with large recent return spikes. Both factors have statistically significant information coefficient results in-sample and out-of-sample.</w:t>
      </w:r>
    </w:p>
    <w:tbl>
      <w:tblPr>
        <w:tblStyle w:val="Table"/>
        <w:tblW w:type="pct" w:w="5000"/>
        <w:tblLook w:firstRow="1" w:lastRow="0" w:firstColumn="0" w:lastColumn="0" w:noHBand="0" w:noVBand="0" w:val="0020"/>
        <w:jc w:val="start"/>
      </w:tblPr>
      <w:tblGrid>
        <w:gridCol w:w="1485"/>
        <w:gridCol w:w="1485"/>
        <w:gridCol w:w="1980"/>
        <w:gridCol w:w="1485"/>
        <w:gridCol w:w="1485"/>
      </w:tblGrid>
      <w:tr>
        <w:trPr>
          <w:tblHeader w:val="true"/>
        </w:trPr>
        <w:tc>
          <w:tcPr/>
          <w:p>
            <w:pPr>
              <w:pStyle w:val="Compact"/>
              <w:jc w:val="left"/>
            </w:pPr>
            <w:r>
              <w:t xml:space="preserve">Factor</w:t>
            </w:r>
          </w:p>
        </w:tc>
        <w:tc>
          <w:tcPr/>
          <w:p>
            <w:pPr>
              <w:pStyle w:val="Compact"/>
              <w:jc w:val="left"/>
            </w:pPr>
            <w:r>
              <w:t xml:space="preserve">Evidence summary</w:t>
            </w:r>
          </w:p>
        </w:tc>
        <w:tc>
          <w:tcPr/>
          <w:p>
            <w:pPr>
              <w:pStyle w:val="Compact"/>
              <w:jc w:val="right"/>
            </w:pPr>
            <w:r>
              <w:t xml:space="preserve">GX t-stat</w:t>
            </w:r>
          </w:p>
        </w:tc>
        <w:tc>
          <w:tcPr/>
          <w:p>
            <w:pPr>
              <w:pStyle w:val="Compact"/>
              <w:jc w:val="left"/>
            </w:pPr>
            <w:r>
              <w:t xml:space="preserve">ASD result</w:t>
            </w:r>
          </w:p>
        </w:tc>
        <w:tc>
          <w:tcPr/>
          <w:p>
            <w:pPr>
              <w:pStyle w:val="Compact"/>
              <w:jc w:val="left"/>
            </w:pPr>
            <w:r>
              <w:t xml:space="preserve">Grade</w:t>
            </w:r>
          </w:p>
        </w:tc>
      </w:tr>
      <w:tr>
        <w:tc>
          <w:tcPr/>
          <w:p>
            <w:pPr>
              <w:pStyle w:val="Compact"/>
              <w:jc w:val="left"/>
            </w:pPr>
            <w:r>
              <w:t xml:space="preserve">VolC</w:t>
            </w:r>
          </w:p>
        </w:tc>
        <w:tc>
          <w:tcPr/>
          <w:p>
            <w:pPr>
              <w:pStyle w:val="Compact"/>
              <w:jc w:val="left"/>
            </w:pPr>
            <w:r>
              <w:t xml:space="preserve">IC t-stat: IS -3.32, OOS -4.31</w:t>
            </w:r>
          </w:p>
        </w:tc>
        <w:tc>
          <w:tcPr/>
          <w:p>
            <w:pPr>
              <w:pStyle w:val="Compact"/>
              <w:jc w:val="right"/>
            </w:pPr>
            <w:r>
              <w:t xml:space="preserve">-5.05</w:t>
            </w:r>
          </w:p>
        </w:tc>
        <w:tc>
          <w:tcPr/>
          <w:p>
            <w:pPr>
              <w:pStyle w:val="Compact"/>
              <w:jc w:val="left"/>
            </w:pPr>
            <w:r>
              <w:t xml:space="preserve">No</w:t>
            </w:r>
          </w:p>
        </w:tc>
        <w:tc>
          <w:tcPr/>
          <w:p>
            <w:pPr>
              <w:pStyle w:val="Compact"/>
              <w:jc w:val="left"/>
            </w:pPr>
            <w:r>
              <w:t xml:space="preserve">Confirmed</w:t>
            </w:r>
          </w:p>
        </w:tc>
      </w:tr>
      <w:tr>
        <w:tc>
          <w:tcPr/>
          <w:p>
            <w:pPr>
              <w:pStyle w:val="Compact"/>
              <w:jc w:val="left"/>
            </w:pPr>
            <w:r>
              <w:t xml:space="preserve">MAXRET</w:t>
            </w:r>
          </w:p>
        </w:tc>
        <w:tc>
          <w:tcPr/>
          <w:p>
            <w:pPr>
              <w:pStyle w:val="Compact"/>
              <w:jc w:val="left"/>
            </w:pPr>
            <w:r>
              <w:t xml:space="preserve">IC t-stat: IS -3.49, OOS -4.05</w:t>
            </w:r>
          </w:p>
        </w:tc>
        <w:tc>
          <w:tcPr/>
          <w:p>
            <w:pPr>
              <w:pStyle w:val="Compact"/>
              <w:jc w:val="right"/>
            </w:pPr>
            <w:r>
              <w:t xml:space="preserve">+5.52</w:t>
            </w:r>
          </w:p>
        </w:tc>
        <w:tc>
          <w:tcPr/>
          <w:p>
            <w:pPr>
              <w:pStyle w:val="Compact"/>
              <w:jc w:val="left"/>
            </w:pPr>
            <w:r>
              <w:t xml:space="preserve">No</w:t>
            </w:r>
          </w:p>
        </w:tc>
        <w:tc>
          <w:tcPr/>
          <w:p>
            <w:pPr>
              <w:pStyle w:val="Compact"/>
              <w:jc w:val="left"/>
            </w:pPr>
            <w:r>
              <w:t xml:space="preserve">Confirmed</w:t>
            </w:r>
          </w:p>
        </w:tc>
      </w:tr>
      <w:tr>
        <w:tc>
          <w:tcPr/>
          <w:p>
            <w:pPr>
              <w:pStyle w:val="Compact"/>
              <w:jc w:val="left"/>
            </w:pPr>
            <w:r>
              <w:t xml:space="preserve">CRASH8</w:t>
            </w:r>
          </w:p>
        </w:tc>
        <w:tc>
          <w:tcPr/>
          <w:p>
            <w:pPr>
              <w:pStyle w:val="Compact"/>
              <w:jc w:val="left"/>
            </w:pPr>
            <w:r>
              <w:t xml:space="preserve">Priced-risk evidence</w:t>
            </w:r>
          </w:p>
        </w:tc>
        <w:tc>
          <w:tcPr/>
          <w:p>
            <w:pPr>
              <w:pStyle w:val="Compact"/>
              <w:jc w:val="right"/>
            </w:pPr>
            <w:r>
              <w:t xml:space="preserve">+4.79</w:t>
            </w:r>
          </w:p>
        </w:tc>
        <w:tc>
          <w:tcPr/>
          <w:p>
            <w:pPr>
              <w:pStyle w:val="Compact"/>
              <w:jc w:val="left"/>
            </w:pPr>
            <w:r>
              <w:t xml:space="preserve">n/a</w:t>
            </w:r>
          </w:p>
        </w:tc>
        <w:tc>
          <w:tcPr/>
          <w:p>
            <w:pPr>
              <w:pStyle w:val="Compact"/>
              <w:jc w:val="left"/>
            </w:pPr>
            <w:r>
              <w:t xml:space="preserve">Priced risk</w:t>
            </w:r>
          </w:p>
        </w:tc>
      </w:tr>
      <w:tr>
        <w:tc>
          <w:tcPr/>
          <w:p>
            <w:pPr>
              <w:pStyle w:val="Compact"/>
              <w:jc w:val="left"/>
            </w:pPr>
            <w:r>
              <w:t xml:space="preserve">BETA26</w:t>
            </w:r>
          </w:p>
        </w:tc>
        <w:tc>
          <w:tcPr/>
          <w:p>
            <w:pPr>
              <w:pStyle w:val="Compact"/>
              <w:jc w:val="left"/>
            </w:pPr>
            <w:r>
              <w:t xml:space="preserve">Priced-risk evidence</w:t>
            </w:r>
          </w:p>
        </w:tc>
        <w:tc>
          <w:tcPr/>
          <w:p>
            <w:pPr>
              <w:pStyle w:val="Compact"/>
              <w:jc w:val="right"/>
            </w:pPr>
            <w:r>
              <w:t xml:space="preserve">+4.60</w:t>
            </w:r>
          </w:p>
        </w:tc>
        <w:tc>
          <w:tcPr/>
          <w:p>
            <w:pPr>
              <w:pStyle w:val="Compact"/>
              <w:jc w:val="left"/>
            </w:pPr>
            <w:r>
              <w:t xml:space="preserve">n/a</w:t>
            </w:r>
          </w:p>
        </w:tc>
        <w:tc>
          <w:tcPr/>
          <w:p>
            <w:pPr>
              <w:pStyle w:val="Compact"/>
              <w:jc w:val="left"/>
            </w:pPr>
            <w:r>
              <w:t xml:space="preserve">Priced risk</w:t>
            </w:r>
          </w:p>
        </w:tc>
      </w:tr>
      <w:tr>
        <w:tc>
          <w:tcPr/>
          <w:p>
            <w:pPr>
              <w:pStyle w:val="Compact"/>
              <w:jc w:val="left"/>
            </w:pPr>
            <w:r>
              <w:t xml:space="preserve">TVLC</w:t>
            </w:r>
          </w:p>
        </w:tc>
        <w:tc>
          <w:tcPr/>
          <w:p>
            <w:pPr>
              <w:pStyle w:val="Compact"/>
              <w:jc w:val="left"/>
            </w:pPr>
            <w:r>
              <w:t xml:space="preserve">Priced-risk evidence</w:t>
            </w:r>
          </w:p>
        </w:tc>
        <w:tc>
          <w:tcPr/>
          <w:p>
            <w:pPr>
              <w:pStyle w:val="Compact"/>
              <w:jc w:val="right"/>
            </w:pPr>
            <w:r>
              <w:t xml:space="preserve">-4.71</w:t>
            </w:r>
          </w:p>
        </w:tc>
        <w:tc>
          <w:tcPr/>
          <w:p>
            <w:pPr>
              <w:pStyle w:val="Compact"/>
              <w:jc w:val="left"/>
            </w:pPr>
            <w:r>
              <w:t xml:space="preserve">n/a</w:t>
            </w:r>
          </w:p>
        </w:tc>
        <w:tc>
          <w:tcPr/>
          <w:p>
            <w:pPr>
              <w:pStyle w:val="Compact"/>
              <w:jc w:val="left"/>
            </w:pPr>
            <w:r>
              <w:t xml:space="preserve">Priced risk</w:t>
            </w:r>
          </w:p>
        </w:tc>
      </w:tr>
      <w:tr>
        <w:tc>
          <w:tcPr/>
          <w:p>
            <w:pPr>
              <w:pStyle w:val="Compact"/>
              <w:jc w:val="left"/>
            </w:pPr>
            <w:r>
              <w:t xml:space="preserve">SKEW52</w:t>
            </w:r>
          </w:p>
        </w:tc>
        <w:tc>
          <w:tcPr/>
          <w:p>
            <w:pPr>
              <w:pStyle w:val="Compact"/>
              <w:jc w:val="left"/>
            </w:pPr>
            <w:r>
              <w:t xml:space="preserve">Priced-risk evidence</w:t>
            </w:r>
          </w:p>
        </w:tc>
        <w:tc>
          <w:tcPr/>
          <w:p>
            <w:pPr>
              <w:pStyle w:val="Compact"/>
              <w:jc w:val="right"/>
            </w:pPr>
            <w:r>
              <w:t xml:space="preserve">+3.44</w:t>
            </w:r>
          </w:p>
        </w:tc>
        <w:tc>
          <w:tcPr/>
          <w:p>
            <w:pPr>
              <w:pStyle w:val="Compact"/>
              <w:jc w:val="left"/>
            </w:pPr>
            <w:r>
              <w:t xml:space="preserve">n/a</w:t>
            </w:r>
          </w:p>
        </w:tc>
        <w:tc>
          <w:tcPr/>
          <w:p>
            <w:pPr>
              <w:pStyle w:val="Compact"/>
              <w:jc w:val="left"/>
            </w:pPr>
            <w:r>
              <w:t xml:space="preserve">Priced risk</w:t>
            </w:r>
          </w:p>
        </w:tc>
      </w:tr>
      <w:tr>
        <w:tc>
          <w:tcPr/>
          <w:p>
            <w:pPr>
              <w:pStyle w:val="Compact"/>
              <w:jc w:val="left"/>
            </w:pPr>
            <w:r>
              <w:t xml:space="preserve">NEWC</w:t>
            </w:r>
          </w:p>
        </w:tc>
        <w:tc>
          <w:tcPr/>
          <w:p>
            <w:pPr>
              <w:pStyle w:val="Compact"/>
              <w:jc w:val="left"/>
            </w:pPr>
            <w:r>
              <w:t xml:space="preserve">Priced-risk evidence</w:t>
            </w:r>
          </w:p>
        </w:tc>
        <w:tc>
          <w:tcPr/>
          <w:p>
            <w:pPr>
              <w:pStyle w:val="Compact"/>
              <w:jc w:val="right"/>
            </w:pPr>
            <w:r>
              <w:t xml:space="preserve">+3.43</w:t>
            </w:r>
          </w:p>
        </w:tc>
        <w:tc>
          <w:tcPr/>
          <w:p>
            <w:pPr>
              <w:pStyle w:val="Compact"/>
              <w:jc w:val="left"/>
            </w:pPr>
            <w:r>
              <w:t xml:space="preserve">n/a</w:t>
            </w:r>
          </w:p>
        </w:tc>
        <w:tc>
          <w:tcPr/>
          <w:p>
            <w:pPr>
              <w:pStyle w:val="Compact"/>
              <w:jc w:val="left"/>
            </w:pPr>
            <w:r>
              <w:t xml:space="preserve">Priced risk</w:t>
            </w:r>
          </w:p>
        </w:tc>
      </w:tr>
      <w:tr>
        <w:tc>
          <w:tcPr/>
          <w:p>
            <w:pPr>
              <w:pStyle w:val="Compact"/>
              <w:jc w:val="left"/>
            </w:pPr>
            <w:r>
              <w:t xml:space="preserve">RMOM1w</w:t>
            </w:r>
          </w:p>
        </w:tc>
        <w:tc>
          <w:tcPr/>
          <w:p>
            <w:pPr>
              <w:pStyle w:val="Compact"/>
              <w:jc w:val="left"/>
            </w:pPr>
            <w:r>
              <w:t xml:space="preserve">Weak weekly IC, but useful in distributional tests</w:t>
            </w:r>
          </w:p>
        </w:tc>
        <w:tc>
          <w:tcPr/>
          <w:p>
            <w:pPr>
              <w:pStyle w:val="Compact"/>
              <w:jc w:val="right"/>
            </w:pPr>
            <w:r>
              <w:t xml:space="preserve">+1.86</w:t>
            </w:r>
          </w:p>
        </w:tc>
        <w:tc>
          <w:tcPr/>
          <w:p>
            <w:pPr>
              <w:pStyle w:val="Compact"/>
              <w:jc w:val="left"/>
            </w:pPr>
            <w:r>
              <w:t xml:space="preserve">Yes</w:t>
            </w:r>
          </w:p>
        </w:tc>
        <w:tc>
          <w:tcPr/>
          <w:p>
            <w:pPr>
              <w:pStyle w:val="Compact"/>
              <w:jc w:val="left"/>
            </w:pPr>
            <w:r>
              <w:t xml:space="preserve">Priced risk</w:t>
            </w:r>
          </w:p>
        </w:tc>
      </w:tr>
      <w:tr>
        <w:tc>
          <w:tcPr/>
          <w:p>
            <w:pPr>
              <w:pStyle w:val="Compact"/>
              <w:jc w:val="left"/>
            </w:pPr>
            <w:r>
              <w:t xml:space="preserve">RMOM2w</w:t>
            </w:r>
          </w:p>
        </w:tc>
        <w:tc>
          <w:tcPr/>
          <w:p>
            <w:pPr>
              <w:pStyle w:val="Compact"/>
              <w:jc w:val="left"/>
            </w:pPr>
            <w:r>
              <w:t xml:space="preserve">In-sample IC, weak OOS IC, useful in distributional tests</w:t>
            </w:r>
          </w:p>
        </w:tc>
        <w:tc>
          <w:tcPr/>
          <w:p>
            <w:pPr>
              <w:pStyle w:val="Compact"/>
              <w:jc w:val="right"/>
            </w:pPr>
            <w:r>
              <w:t xml:space="preserve">+1.05</w:t>
            </w:r>
          </w:p>
        </w:tc>
        <w:tc>
          <w:tcPr/>
          <w:p>
            <w:pPr>
              <w:pStyle w:val="Compact"/>
              <w:jc w:val="left"/>
            </w:pPr>
            <w:r>
              <w:t xml:space="preserve">Yes</w:t>
            </w:r>
          </w:p>
        </w:tc>
        <w:tc>
          <w:tcPr/>
          <w:p>
            <w:pPr>
              <w:pStyle w:val="Compact"/>
              <w:jc w:val="left"/>
            </w:pPr>
            <w:r>
              <w:t xml:space="preserve">Suggestive</w:t>
            </w:r>
          </w:p>
        </w:tc>
      </w:tr>
      <w:tr>
        <w:tc>
          <w:tcPr/>
          <w:p>
            <w:pPr>
              <w:pStyle w:val="Compact"/>
              <w:jc w:val="left"/>
            </w:pPr>
            <w:r>
              <w:t xml:space="preserve">SMBC</w:t>
            </w:r>
          </w:p>
        </w:tc>
        <w:tc>
          <w:tcPr/>
          <w:p>
            <w:pPr>
              <w:pStyle w:val="Compact"/>
              <w:jc w:val="left"/>
            </w:pPr>
            <w:r>
              <w:t xml:space="preserve">Weak IC, useful in distributional tests</w:t>
            </w:r>
          </w:p>
        </w:tc>
        <w:tc>
          <w:tcPr/>
          <w:p>
            <w:pPr>
              <w:pStyle w:val="Compact"/>
              <w:jc w:val="right"/>
            </w:pPr>
            <w:r>
              <w:t xml:space="preserve">+0.36</w:t>
            </w:r>
          </w:p>
        </w:tc>
        <w:tc>
          <w:tcPr/>
          <w:p>
            <w:pPr>
              <w:pStyle w:val="Compact"/>
              <w:jc w:val="left"/>
            </w:pPr>
            <w:r>
              <w:t xml:space="preserve">Yes</w:t>
            </w:r>
          </w:p>
        </w:tc>
        <w:tc>
          <w:tcPr/>
          <w:p>
            <w:pPr>
              <w:pStyle w:val="Compact"/>
              <w:jc w:val="left"/>
            </w:pPr>
            <w:r>
              <w:t xml:space="preserve">Suggestive</w:t>
            </w:r>
          </w:p>
        </w:tc>
      </w:tr>
      <w:tr>
        <w:tc>
          <w:tcPr/>
          <w:p>
            <w:pPr>
              <w:pStyle w:val="Compact"/>
              <w:jc w:val="left"/>
            </w:pPr>
            <w:r>
              <w:t xml:space="preserve">NetRel</w:t>
            </w:r>
          </w:p>
        </w:tc>
        <w:tc>
          <w:tcPr/>
          <w:p>
            <w:pPr>
              <w:pStyle w:val="Compact"/>
              <w:jc w:val="left"/>
            </w:pPr>
            <w:r>
              <w:t xml:space="preserve">Weak IC, useful in distributional tests</w:t>
            </w:r>
          </w:p>
        </w:tc>
        <w:tc>
          <w:tcPr/>
          <w:p>
            <w:pPr>
              <w:pStyle w:val="Compact"/>
              <w:jc w:val="right"/>
            </w:pPr>
            <w:r>
              <w:t xml:space="preserve">-0.01</w:t>
            </w:r>
          </w:p>
        </w:tc>
        <w:tc>
          <w:tcPr/>
          <w:p>
            <w:pPr>
              <w:pStyle w:val="Compact"/>
              <w:jc w:val="left"/>
            </w:pPr>
            <w:r>
              <w:t xml:space="preserve">Yes</w:t>
            </w:r>
          </w:p>
        </w:tc>
        <w:tc>
          <w:tcPr/>
          <w:p>
            <w:pPr>
              <w:pStyle w:val="Compact"/>
              <w:jc w:val="left"/>
            </w:pPr>
            <w:r>
              <w:t xml:space="preserve">Suggestive</w:t>
            </w:r>
          </w:p>
        </w:tc>
      </w:tr>
      <w:tr>
        <w:tc>
          <w:tcPr/>
          <w:p>
            <w:pPr>
              <w:pStyle w:val="Compact"/>
              <w:jc w:val="left"/>
            </w:pPr>
            <w:r>
              <w:t xml:space="preserve">MispricingM</w:t>
            </w:r>
          </w:p>
        </w:tc>
        <w:tc>
          <w:tcPr/>
          <w:p>
            <w:pPr>
              <w:pStyle w:val="Compact"/>
              <w:jc w:val="left"/>
            </w:pPr>
            <w:r>
              <w:t xml:space="preserve">Composite of RMOM1w, RMOM2w, SMBC, and NetRel</w:t>
            </w:r>
          </w:p>
        </w:tc>
        <w:tc>
          <w:tcPr/>
          <w:p>
            <w:pPr>
              <w:pStyle w:val="Compact"/>
              <w:jc w:val="right"/>
            </w:pPr>
            <w:r>
              <w:t xml:space="preserve">n/a</w:t>
            </w:r>
          </w:p>
        </w:tc>
        <w:tc>
          <w:tcPr/>
          <w:p>
            <w:pPr>
              <w:pStyle w:val="Compact"/>
              <w:jc w:val="left"/>
            </w:pPr>
            <w:r>
              <w:t xml:space="preserve">Yes</w:t>
            </w:r>
          </w:p>
        </w:tc>
        <w:tc>
          <w:tcPr/>
          <w:p>
            <w:pPr>
              <w:pStyle w:val="Compact"/>
              <w:jc w:val="left"/>
            </w:pPr>
            <w:r>
              <w:t xml:space="preserve">Suggestive</w:t>
            </w:r>
          </w:p>
        </w:tc>
      </w:tr>
    </w:tbl>
    <w:bookmarkEnd w:id="28"/>
    <w:bookmarkStart w:id="45" w:name="economic-intuition-and-factor-evidence"/>
    <w:p>
      <w:pPr>
        <w:pStyle w:val="Heading1"/>
      </w:pPr>
      <w:r>
        <w:rPr>
          <w:rStyle w:val="SectionNumber"/>
        </w:rPr>
        <w:t xml:space="preserve">6</w:t>
      </w:r>
      <w:r>
        <w:tab/>
      </w:r>
      <w:r>
        <w:t xml:space="preserve">Economic Intuition and Factor Evidence</w:t>
      </w:r>
    </w:p>
    <w:bookmarkStart w:id="37" w:name="core-weekly-rankers"/>
    <w:p>
      <w:pPr>
        <w:pStyle w:val="Heading2"/>
      </w:pPr>
      <w:r>
        <w:rPr>
          <w:rStyle w:val="SectionNumber"/>
        </w:rPr>
        <w:t xml:space="preserve">6.1</w:t>
      </w:r>
      <w:r>
        <w:tab/>
      </w:r>
      <w:r>
        <w:t xml:space="preserve">Core Weekly Rankers</w:t>
      </w:r>
    </w:p>
    <w:p>
      <w:pPr>
        <w:pStyle w:val="FirstParagraph"/>
      </w:pPr>
      <w:r>
        <w:rPr>
          <w:bCs/>
          <w:b/>
        </w:rPr>
        <w:t xml:space="preserve">VolC</w:t>
      </w:r>
      <w:r>
        <w:t xml:space="preserve"> </w:t>
      </w:r>
      <w:r>
        <w:t xml:space="preserve">is the low-volatility factor. It ranks coins by recent realized volatility and favors calmer coins. This is related to the low-volatility anomaly in equities, where investors may overpay for exciting high-risk assets and underpay for less volatile assets.</w:t>
      </w:r>
      <w:r>
        <w:rPr>
          <w:rStyle w:val="FootnoteReference"/>
        </w:rPr>
        <w:footnoteReference w:id="29"/>
      </w:r>
    </w:p>
    <w:p>
      <w:pPr>
        <w:pStyle w:val="BodyText"/>
      </w:pPr>
      <w:r>
        <w:rPr>
          <w:bCs/>
          <w:b/>
        </w:rPr>
        <w:t xml:space="preserve">MAXRET</w:t>
      </w:r>
      <w:r>
        <w:t xml:space="preserve"> </w:t>
      </w:r>
      <w:r>
        <w:t xml:space="preserve">is a lottery-reversal factor. It identifies coins with a very large recent weekly return and expects some of that excitement to reverse the following week. The intuition comes from lottery-demand and investor-attention research: assets with extreme recent payoffs can become overpriced when investors chase them.</w:t>
      </w:r>
      <w:r>
        <w:rPr>
          <w:rStyle w:val="FootnoteReference"/>
        </w:rPr>
        <w:footnoteReference w:id="30"/>
      </w:r>
    </w:p>
    <w:p>
      <w:pPr>
        <w:pStyle w:val="BodyText"/>
      </w:pPr>
      <w:r>
        <w:drawing>
          <wp:inline>
            <wp:extent cx="5334000" cy="3810000"/>
            <wp:effectExtent b="0" l="0" r="0" t="0"/>
            <wp:docPr descr="" title="" id="32" name="Picture"/>
            <a:graphic>
              <a:graphicData uri="http://schemas.openxmlformats.org/drawingml/2006/picture">
                <pic:pic>
                  <pic:nvPicPr>
                    <pic:cNvPr descr="12_factor_viz/volc_visualisation/artifacts/figures/volc_07_is_oos_comparison.png" id="33" name="Picture"/>
                    <pic:cNvPicPr>
                      <a:picLocks noChangeArrowheads="1" noChangeAspect="1"/>
                    </pic:cNvPicPr>
                  </pic:nvPicPr>
                  <pic:blipFill>
                    <a:blip r:embed="rId31"/>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Figure 1. VolC remains statistically meaningful out-of-sample. The negative information coefficient is expected because the strategy favors the low-volatility side of the ranking.</w:t>
      </w:r>
    </w:p>
    <w:p>
      <w:pPr>
        <w:pStyle w:val="BodyText"/>
      </w:pPr>
      <w:r>
        <w:drawing>
          <wp:inline>
            <wp:extent cx="5334000" cy="3810000"/>
            <wp:effectExtent b="0" l="0" r="0" t="0"/>
            <wp:docPr descr="" title="" id="35" name="Picture"/>
            <a:graphic>
              <a:graphicData uri="http://schemas.openxmlformats.org/drawingml/2006/picture">
                <pic:pic>
                  <pic:nvPicPr>
                    <pic:cNvPr descr="12_factor_viz/maxret_visualisation/artifacts/figures/maxret_07_is_oos_comparison.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Figure 2. MAXRET has robust weekly ranking evidence. The factor is best understood as a short-term reversal signal rather than a simple momentum signal.</w:t>
      </w:r>
    </w:p>
    <w:bookmarkEnd w:id="37"/>
    <w:bookmarkStart w:id="43" w:name="mispricing-composite"/>
    <w:p>
      <w:pPr>
        <w:pStyle w:val="Heading2"/>
      </w:pPr>
      <w:r>
        <w:rPr>
          <w:rStyle w:val="SectionNumber"/>
        </w:rPr>
        <w:t xml:space="preserve">6.2</w:t>
      </w:r>
      <w:r>
        <w:tab/>
      </w:r>
      <w:r>
        <w:t xml:space="preserve">Mispricing Composite</w:t>
      </w:r>
    </w:p>
    <w:p>
      <w:pPr>
        <w:pStyle w:val="FirstParagraph"/>
      </w:pPr>
      <w:r>
        <w:t xml:space="preserve">MispricingM averages four signals: RMOM1w, RMOM2w, SMBC, and NetRel. RMOM means risk-adjusted momentum. SMBC means small-minus-big crypto, a size signal adapted from the classic equity size factor.</w:t>
      </w:r>
      <w:r>
        <w:rPr>
          <w:rStyle w:val="FootnoteReference"/>
        </w:rPr>
        <w:footnoteReference w:id="38"/>
      </w:r>
      <w:r>
        <w:t xml:space="preserve"> </w:t>
      </w:r>
      <w:r>
        <w:t xml:space="preserve">NetRel compares a coin to related coins in its network or cluster.</w:t>
      </w:r>
    </w:p>
    <w:p>
      <w:pPr>
        <w:pStyle w:val="BodyText"/>
      </w:pPr>
      <w:r>
        <w:t xml:space="preserve">The composite idea is based on a simple principle: individually noisy signals can become more reliable when they are averaged, as long as they are not all making the same error. Stambaugh and Yuan (2017) show this idea for equity mispricing factors, and Han et al. (2024) apply closely related mispricing logic to crypto factor portfolios.</w:t>
      </w:r>
      <w:r>
        <w:rPr>
          <w:rStyle w:val="FootnoteReference"/>
        </w:rPr>
        <w:footnoteReference w:id="39"/>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Window</w:t>
            </w:r>
          </w:p>
        </w:tc>
        <w:tc>
          <w:tcPr/>
          <w:p>
            <w:pPr>
              <w:pStyle w:val="Compact"/>
              <w:jc w:val="right"/>
            </w:pPr>
            <w:r>
              <w:t xml:space="preserve">Annual return</w:t>
            </w:r>
          </w:p>
        </w:tc>
        <w:tc>
          <w:tcPr/>
          <w:p>
            <w:pPr>
              <w:pStyle w:val="Compact"/>
              <w:jc w:val="right"/>
            </w:pPr>
            <w:r>
              <w:t xml:space="preserve">Sharpe</w:t>
            </w:r>
          </w:p>
        </w:tc>
        <w:tc>
          <w:tcPr/>
          <w:p>
            <w:pPr>
              <w:pStyle w:val="Compact"/>
              <w:jc w:val="right"/>
            </w:pPr>
            <w:r>
              <w:t xml:space="preserve">Return t-stat</w:t>
            </w:r>
          </w:p>
        </w:tc>
        <w:tc>
          <w:tcPr/>
          <w:p>
            <w:pPr>
              <w:pStyle w:val="Compact"/>
              <w:jc w:val="right"/>
            </w:pPr>
            <w:r>
              <w:t xml:space="preserve">ASD epsilon 2</w:t>
            </w:r>
          </w:p>
        </w:tc>
      </w:tr>
      <w:tr>
        <w:tc>
          <w:tcPr/>
          <w:p>
            <w:pPr>
              <w:pStyle w:val="Compact"/>
              <w:jc w:val="left"/>
            </w:pPr>
            <w:r>
              <w:t xml:space="preserve">In-sample</w:t>
            </w:r>
          </w:p>
        </w:tc>
        <w:tc>
          <w:tcPr/>
          <w:p>
            <w:pPr>
              <w:pStyle w:val="Compact"/>
              <w:jc w:val="right"/>
            </w:pPr>
            <w:r>
              <w:t xml:space="preserve">+31.0%</w:t>
            </w:r>
          </w:p>
        </w:tc>
        <w:tc>
          <w:tcPr/>
          <w:p>
            <w:pPr>
              <w:pStyle w:val="Compact"/>
              <w:jc w:val="right"/>
            </w:pPr>
            <w:r>
              <w:t xml:space="preserve">+1.23</w:t>
            </w:r>
          </w:p>
        </w:tc>
        <w:tc>
          <w:tcPr/>
          <w:p>
            <w:pPr>
              <w:pStyle w:val="Compact"/>
              <w:jc w:val="right"/>
            </w:pPr>
            <w:r>
              <w:t xml:space="preserve">+2.31</w:t>
            </w:r>
          </w:p>
        </w:tc>
        <w:tc>
          <w:tcPr/>
          <w:p>
            <w:pPr>
              <w:pStyle w:val="Compact"/>
              <w:jc w:val="right"/>
            </w:pPr>
            <w:r>
              <w:t xml:space="preserve">0.000</w:t>
            </w:r>
          </w:p>
        </w:tc>
      </w:tr>
      <w:tr>
        <w:tc>
          <w:tcPr/>
          <w:p>
            <w:pPr>
              <w:pStyle w:val="Compact"/>
              <w:jc w:val="left"/>
            </w:pPr>
            <w:r>
              <w:t xml:space="preserve">Out-of-sample</w:t>
            </w:r>
          </w:p>
        </w:tc>
        <w:tc>
          <w:tcPr/>
          <w:p>
            <w:pPr>
              <w:pStyle w:val="Compact"/>
              <w:jc w:val="right"/>
            </w:pPr>
            <w:r>
              <w:t xml:space="preserve">+34.1%</w:t>
            </w:r>
          </w:p>
        </w:tc>
        <w:tc>
          <w:tcPr/>
          <w:p>
            <w:pPr>
              <w:pStyle w:val="Compact"/>
              <w:jc w:val="right"/>
            </w:pPr>
            <w:r>
              <w:t xml:space="preserve">+1.50</w:t>
            </w:r>
          </w:p>
        </w:tc>
        <w:tc>
          <w:tcPr/>
          <w:p>
            <w:pPr>
              <w:pStyle w:val="Compact"/>
              <w:jc w:val="right"/>
            </w:pPr>
            <w:r>
              <w:t xml:space="preserve">+1.60</w:t>
            </w:r>
          </w:p>
        </w:tc>
        <w:tc>
          <w:tcPr/>
          <w:p>
            <w:pPr>
              <w:pStyle w:val="Compact"/>
              <w:jc w:val="right"/>
            </w:pPr>
            <w:r>
              <w:t xml:space="preserve">n/a</w:t>
            </w:r>
          </w:p>
        </w:tc>
      </w:tr>
    </w:tbl>
    <w:p>
      <w:pPr>
        <w:pStyle w:val="BodyText"/>
      </w:pPr>
      <w:r>
        <w:drawing>
          <wp:inline>
            <wp:extent cx="5334000" cy="3810000"/>
            <wp:effectExtent b="0" l="0" r="0" t="0"/>
            <wp:docPr descr="" title="" id="41" name="Picture"/>
            <a:graphic>
              <a:graphicData uri="http://schemas.openxmlformats.org/drawingml/2006/picture">
                <pic:pic>
                  <pic:nvPicPr>
                    <pic:cNvPr descr="12_factor_viz/mispr_visualisation/artifacts/figures/mispr_07_is_oos_comparison.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Figure 3. MispricingM is the strongest composite signal. It becomes the largest sub-book in the final strategy.</w:t>
      </w:r>
    </w:p>
    <w:bookmarkEnd w:id="43"/>
    <w:bookmarkStart w:id="44" w:name="priced-risk-tilts"/>
    <w:p>
      <w:pPr>
        <w:pStyle w:val="Heading2"/>
      </w:pPr>
      <w:r>
        <w:rPr>
          <w:rStyle w:val="SectionNumber"/>
        </w:rPr>
        <w:t xml:space="preserve">6.3</w:t>
      </w:r>
      <w:r>
        <w:tab/>
      </w:r>
      <w:r>
        <w:t xml:space="preserve">Priced-Risk Tilts</w:t>
      </w:r>
    </w:p>
    <w:p>
      <w:pPr>
        <w:pStyle w:val="FirstParagraph"/>
      </w:pPr>
      <w:r>
        <w:t xml:space="preserve">CRASH8, BETA26, TVLC, SKEW52, and NEWC are treated as priced-risk tilts. This means they may describe risks that earn compensation over longer horizons, but they are not trusted as large standalone weekly trading signals.</w:t>
      </w:r>
    </w:p>
    <w:p>
      <w:pPr>
        <w:pStyle w:val="BodyText"/>
      </w:pPr>
      <w:r>
        <w:t xml:space="preserve">This distinction matters. A factor can be economically real but still be hard to trade weekly. The final strategy therefore caps the Priced Tilt sleeve instead of letting it dominate the portfolio.</w:t>
      </w:r>
    </w:p>
    <w:bookmarkEnd w:id="44"/>
    <w:bookmarkEnd w:id="45"/>
    <w:bookmarkStart w:id="53" w:name="final-strategy-construction"/>
    <w:p>
      <w:pPr>
        <w:pStyle w:val="Heading1"/>
      </w:pPr>
      <w:r>
        <w:rPr>
          <w:rStyle w:val="SectionNumber"/>
        </w:rPr>
        <w:t xml:space="preserve">7</w:t>
      </w:r>
      <w:r>
        <w:tab/>
      </w:r>
      <w:r>
        <w:t xml:space="preserve">Final Strategy Construction</w:t>
      </w:r>
    </w:p>
    <w:p>
      <w:pPr>
        <w:pStyle w:val="FirstParagraph"/>
      </w:pPr>
      <w:r>
        <w:t xml:space="preserve">The final strategy separates factor roles into three books: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Book</w:t>
            </w:r>
          </w:p>
        </w:tc>
        <w:tc>
          <w:tcPr/>
          <w:p>
            <w:pPr>
              <w:pStyle w:val="Compact"/>
              <w:jc w:val="left"/>
            </w:pPr>
            <w:r>
              <w:t xml:space="preserve">Inputs</w:t>
            </w:r>
          </w:p>
        </w:tc>
        <w:tc>
          <w:tcPr/>
          <w:p>
            <w:pPr>
              <w:pStyle w:val="Compact"/>
              <w:jc w:val="left"/>
            </w:pPr>
            <w:r>
              <w:t xml:space="preserve">Role in portfolio</w:t>
            </w:r>
          </w:p>
        </w:tc>
      </w:tr>
      <w:tr>
        <w:tc>
          <w:tcPr/>
          <w:p>
            <w:pPr>
              <w:pStyle w:val="Compact"/>
              <w:jc w:val="left"/>
            </w:pPr>
            <w:r>
              <w:t xml:space="preserve">MispricingM</w:t>
            </w:r>
          </w:p>
        </w:tc>
        <w:tc>
          <w:tcPr/>
          <w:p>
            <w:pPr>
              <w:pStyle w:val="Compact"/>
              <w:jc w:val="left"/>
            </w:pPr>
            <w:r>
              <w:t xml:space="preserve">RMOM1w, RMOM2w, SMBC, NetRel</w:t>
            </w:r>
          </w:p>
        </w:tc>
        <w:tc>
          <w:tcPr/>
          <w:p>
            <w:pPr>
              <w:pStyle w:val="Compact"/>
              <w:jc w:val="left"/>
            </w:pPr>
            <w:r>
              <w:t xml:space="preserve">Main alpha source</w:t>
            </w:r>
          </w:p>
        </w:tc>
      </w:tr>
      <w:tr>
        <w:tc>
          <w:tcPr/>
          <w:p>
            <w:pPr>
              <w:pStyle w:val="Compact"/>
              <w:jc w:val="left"/>
            </w:pPr>
            <w:r>
              <w:t xml:space="preserve">Core Rank</w:t>
            </w:r>
          </w:p>
        </w:tc>
        <w:tc>
          <w:tcPr/>
          <w:p>
            <w:pPr>
              <w:pStyle w:val="Compact"/>
              <w:jc w:val="left"/>
            </w:pPr>
            <w:r>
              <w:t xml:space="preserve">VolC, MAXRET</w:t>
            </w:r>
          </w:p>
        </w:tc>
        <w:tc>
          <w:tcPr/>
          <w:p>
            <w:pPr>
              <w:pStyle w:val="Compact"/>
              <w:jc w:val="left"/>
            </w:pPr>
            <w:r>
              <w:t xml:space="preserve">Statistically strongest weekly rankers</w:t>
            </w:r>
          </w:p>
        </w:tc>
      </w:tr>
      <w:tr>
        <w:tc>
          <w:tcPr/>
          <w:p>
            <w:pPr>
              <w:pStyle w:val="Compact"/>
              <w:jc w:val="left"/>
            </w:pPr>
            <w:r>
              <w:t xml:space="preserve">Priced Tilt</w:t>
            </w:r>
          </w:p>
        </w:tc>
        <w:tc>
          <w:tcPr/>
          <w:p>
            <w:pPr>
              <w:pStyle w:val="Compact"/>
              <w:jc w:val="left"/>
            </w:pPr>
            <w:r>
              <w:t xml:space="preserve">CRASH8, BETA26, TVLC, SKEW52, NEWC</w:t>
            </w:r>
          </w:p>
        </w:tc>
        <w:tc>
          <w:tcPr/>
          <w:p>
            <w:pPr>
              <w:pStyle w:val="Compact"/>
              <w:jc w:val="left"/>
            </w:pPr>
            <w:r>
              <w:t xml:space="preserve">Small capped risk-premia sleeve</w:t>
            </w:r>
          </w:p>
        </w:tc>
      </w:tr>
    </w:tbl>
    <w:p>
      <w:pPr>
        <w:pStyle w:val="BodyText"/>
      </w:pPr>
      <w:r>
        <w:t xml:space="preserve">The allocator is causal, meaning it does not use future returns when setting current weights. Each week, it looks back at prior sub-book returns, estimates which book has recently been useful, blends that with a conservative base allocation, and then applies regime sizing.</w:t>
      </w:r>
    </w:p>
    <w:p>
      <w:pPr>
        <w:pStyle w:val="BodyText"/>
      </w:pPr>
      <w:r>
        <w:t xml:space="preserve">Regime sizing uses XGBoost probabilities for RiskOff, Neutral, and RiskOn states.</w:t>
      </w:r>
      <w:r>
        <w:rPr>
          <w:rStyle w:val="FootnoteReference"/>
        </w:rPr>
        <w:footnoteReference w:id="46"/>
      </w:r>
      <w:r>
        <w:t xml:space="preserve"> </w:t>
      </w:r>
      <w:r>
        <w:t xml:space="preserve">The model is used for risk sizing, not as a fully independent return predictor. This is an important constraint because complex machine-learning models can easily overfit in short crypto histories.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w:t>
            </w:r>
          </w:p>
        </w:tc>
        <w:tc>
          <w:tcPr/>
          <w:p>
            <w:pPr>
              <w:pStyle w:val="Compact"/>
              <w:jc w:val="right"/>
            </w:pPr>
            <w:r>
              <w:t xml:space="preserve">MispricingM</w:t>
            </w:r>
          </w:p>
        </w:tc>
        <w:tc>
          <w:tcPr/>
          <w:p>
            <w:pPr>
              <w:pStyle w:val="Compact"/>
              <w:jc w:val="right"/>
            </w:pPr>
            <w:r>
              <w:t xml:space="preserve">Core Rank</w:t>
            </w:r>
          </w:p>
        </w:tc>
        <w:tc>
          <w:tcPr/>
          <w:p>
            <w:pPr>
              <w:pStyle w:val="Compact"/>
              <w:jc w:val="right"/>
            </w:pPr>
            <w:r>
              <w:t xml:space="preserve">Priced Tilt</w:t>
            </w:r>
          </w:p>
        </w:tc>
      </w:tr>
      <w:tr>
        <w:tc>
          <w:tcPr/>
          <w:p>
            <w:pPr>
              <w:pStyle w:val="Compact"/>
              <w:jc w:val="left"/>
            </w:pPr>
            <w:r>
              <w:t xml:space="preserve">Sharpe Ensemble</w:t>
            </w:r>
          </w:p>
        </w:tc>
        <w:tc>
          <w:tcPr/>
          <w:p>
            <w:pPr>
              <w:pStyle w:val="Compact"/>
              <w:jc w:val="right"/>
            </w:pPr>
            <w:r>
              <w:t xml:space="preserve">80.8%</w:t>
            </w:r>
          </w:p>
        </w:tc>
        <w:tc>
          <w:tcPr/>
          <w:p>
            <w:pPr>
              <w:pStyle w:val="Compact"/>
              <w:jc w:val="right"/>
            </w:pPr>
            <w:r>
              <w:t xml:space="preserve">15.3%</w:t>
            </w:r>
          </w:p>
        </w:tc>
        <w:tc>
          <w:tcPr/>
          <w:p>
            <w:pPr>
              <w:pStyle w:val="Compact"/>
              <w:jc w:val="right"/>
            </w:pPr>
            <w:r>
              <w:t xml:space="preserve">3.9%</w:t>
            </w:r>
          </w:p>
        </w:tc>
      </w:tr>
      <w:tr>
        <w:tc>
          <w:tcPr/>
          <w:p>
            <w:pPr>
              <w:pStyle w:val="Compact"/>
              <w:jc w:val="left"/>
            </w:pPr>
            <w:r>
              <w:t xml:space="preserve">Balanced Ensemble</w:t>
            </w:r>
          </w:p>
        </w:tc>
        <w:tc>
          <w:tcPr/>
          <w:p>
            <w:pPr>
              <w:pStyle w:val="Compact"/>
              <w:jc w:val="right"/>
            </w:pPr>
            <w:r>
              <w:t xml:space="preserve">54.8%</w:t>
            </w:r>
          </w:p>
        </w:tc>
        <w:tc>
          <w:tcPr/>
          <w:p>
            <w:pPr>
              <w:pStyle w:val="Compact"/>
              <w:jc w:val="right"/>
            </w:pPr>
            <w:r>
              <w:t xml:space="preserve">36.7%</w:t>
            </w:r>
          </w:p>
        </w:tc>
        <w:tc>
          <w:tcPr/>
          <w:p>
            <w:pPr>
              <w:pStyle w:val="Compact"/>
              <w:jc w:val="right"/>
            </w:pPr>
            <w:r>
              <w:t xml:space="preserve">8.5%</w:t>
            </w:r>
          </w:p>
        </w:tc>
      </w:tr>
      <w:tr>
        <w:tc>
          <w:tcPr/>
          <w:p>
            <w:pPr>
              <w:pStyle w:val="Compact"/>
              <w:jc w:val="left"/>
            </w:pPr>
            <w:r>
              <w:t xml:space="preserve">Defensive Ensemble</w:t>
            </w:r>
          </w:p>
        </w:tc>
        <w:tc>
          <w:tcPr/>
          <w:p>
            <w:pPr>
              <w:pStyle w:val="Compact"/>
              <w:jc w:val="right"/>
            </w:pPr>
            <w:r>
              <w:t xml:space="preserve">60.4%</w:t>
            </w:r>
          </w:p>
        </w:tc>
        <w:tc>
          <w:tcPr/>
          <w:p>
            <w:pPr>
              <w:pStyle w:val="Compact"/>
              <w:jc w:val="right"/>
            </w:pPr>
            <w:r>
              <w:t xml:space="preserve">35.7%</w:t>
            </w:r>
          </w:p>
        </w:tc>
        <w:tc>
          <w:tcPr/>
          <w:p>
            <w:pPr>
              <w:pStyle w:val="Compact"/>
              <w:jc w:val="right"/>
            </w:pPr>
            <w:r>
              <w:t xml:space="preserve">3.9%</w:t>
            </w:r>
          </w:p>
        </w:tc>
      </w:tr>
    </w:tbl>
    <w:p>
      <w:pPr>
        <w:pStyle w:val="BodyText"/>
      </w:pPr>
      <w:r>
        <w:drawing>
          <wp:inline>
            <wp:extent cx="5334000" cy="2222499"/>
            <wp:effectExtent b="0" l="0" r="0" t="0"/>
            <wp:docPr descr="" title="" id="48" name="Picture"/>
            <a:graphic>
              <a:graphicData uri="http://schemas.openxmlformats.org/drawingml/2006/picture">
                <pic:pic>
                  <pic:nvPicPr>
                    <pic:cNvPr descr="15_factor_ensemble_strategy/artifacts/figures/sharpe_ensemble_book_allocations.png" id="49" name="Picture"/>
                    <pic:cNvPicPr>
                      <a:picLocks noChangeArrowheads="1" noChangeAspect="1"/>
                    </pic:cNvPicPr>
                  </pic:nvPicPr>
                  <pic:blipFill>
                    <a:blip r:embed="rId47"/>
                    <a:stretch>
                      <a:fillRect/>
                    </a:stretch>
                  </pic:blipFill>
                  <pic:spPr bwMode="auto">
                    <a:xfrm>
                      <a:off x="0" y="0"/>
                      <a:ext cx="5334000" cy="2222499"/>
                    </a:xfrm>
                    <a:prstGeom prst="rect">
                      <a:avLst/>
                    </a:prstGeom>
                    <a:noFill/>
                    <a:ln w="9525">
                      <a:noFill/>
                      <a:headEnd/>
                      <a:tailEnd/>
                    </a:ln>
                  </pic:spPr>
                </pic:pic>
              </a:graphicData>
            </a:graphic>
          </wp:inline>
        </w:drawing>
      </w:r>
    </w:p>
    <w:p>
      <w:pPr>
        <w:pStyle w:val="BodyText"/>
      </w:pPr>
      <w:r>
        <w:t xml:space="preserve">Figure 4. Sharpe Ensemble allocation. The strategy gives most capital to MispricingM and keeps priced-risk exposure capped.</w:t>
      </w:r>
    </w:p>
    <w:p>
      <w:pPr>
        <w:pStyle w:val="BodyText"/>
      </w:pPr>
      <w:r>
        <w:drawing>
          <wp:inline>
            <wp:extent cx="5334000" cy="2222499"/>
            <wp:effectExtent b="0" l="0" r="0" t="0"/>
            <wp:docPr descr="" title="" id="51" name="Picture"/>
            <a:graphic>
              <a:graphicData uri="http://schemas.openxmlformats.org/drawingml/2006/picture">
                <pic:pic>
                  <pic:nvPicPr>
                    <pic:cNvPr descr="15_factor_ensemble_strategy/artifacts/figures/balanced_ensemble_book_allocations.png" id="52" name="Picture"/>
                    <pic:cNvPicPr>
                      <a:picLocks noChangeArrowheads="1" noChangeAspect="1"/>
                    </pic:cNvPicPr>
                  </pic:nvPicPr>
                  <pic:blipFill>
                    <a:blip r:embed="rId50"/>
                    <a:stretch>
                      <a:fillRect/>
                    </a:stretch>
                  </pic:blipFill>
                  <pic:spPr bwMode="auto">
                    <a:xfrm>
                      <a:off x="0" y="0"/>
                      <a:ext cx="5334000" cy="2222499"/>
                    </a:xfrm>
                    <a:prstGeom prst="rect">
                      <a:avLst/>
                    </a:prstGeom>
                    <a:noFill/>
                    <a:ln w="9525">
                      <a:noFill/>
                      <a:headEnd/>
                      <a:tailEnd/>
                    </a:ln>
                  </pic:spPr>
                </pic:pic>
              </a:graphicData>
            </a:graphic>
          </wp:inline>
        </w:drawing>
      </w:r>
    </w:p>
    <w:p>
      <w:pPr>
        <w:pStyle w:val="BodyText"/>
      </w:pPr>
      <w:r>
        <w:t xml:space="preserve">Figure 5. Balanced Ensemble allocation. This version gives more weight to Core Rank and is designed to reduce dependence on the mispricing sleeve.</w:t>
      </w:r>
    </w:p>
    <w:bookmarkEnd w:id="53"/>
    <w:bookmarkStart w:id="57" w:name="backtest-results"/>
    <w:p>
      <w:pPr>
        <w:pStyle w:val="Heading1"/>
      </w:pPr>
      <w:r>
        <w:rPr>
          <w:rStyle w:val="SectionNumber"/>
        </w:rPr>
        <w:t xml:space="preserve">8</w:t>
      </w:r>
      <w:r>
        <w:tab/>
      </w:r>
      <w:r>
        <w:t xml:space="preserve">Backtest Results</w:t>
      </w:r>
    </w:p>
    <w:p>
      <w:pPr>
        <w:pStyle w:val="FirstParagraph"/>
      </w:pPr>
      <w:r>
        <w:t xml:space="preserve">The full-window results show that the final ensembles reduce drawdown materially compared with Bitcoin and the equal-weight market, while still earning attractive returns.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Hit rate</w:t>
            </w:r>
          </w:p>
        </w:tc>
        <w:tc>
          <w:tcPr/>
          <w:p>
            <w:pPr>
              <w:pStyle w:val="Compact"/>
              <w:jc w:val="right"/>
            </w:pPr>
            <w:r>
              <w:t xml:space="preserve">Weeks</w:t>
            </w:r>
          </w:p>
        </w:tc>
      </w:tr>
      <w:tr>
        <w:tc>
          <w:tcPr/>
          <w:p>
            <w:pPr>
              <w:pStyle w:val="Compact"/>
              <w:jc w:val="left"/>
            </w:pPr>
            <w:r>
              <w:t xml:space="preserve">SE</w:t>
            </w:r>
          </w:p>
        </w:tc>
        <w:tc>
          <w:tcPr/>
          <w:p>
            <w:pPr>
              <w:pStyle w:val="Compact"/>
              <w:jc w:val="right"/>
            </w:pPr>
            <w:r>
              <w:t xml:space="preserve">+1.27</w:t>
            </w:r>
          </w:p>
        </w:tc>
        <w:tc>
          <w:tcPr/>
          <w:p>
            <w:pPr>
              <w:pStyle w:val="Compact"/>
              <w:jc w:val="right"/>
            </w:pPr>
            <w:r>
              <w:t xml:space="preserve">+64.7%</w:t>
            </w:r>
          </w:p>
        </w:tc>
        <w:tc>
          <w:tcPr/>
          <w:p>
            <w:pPr>
              <w:pStyle w:val="Compact"/>
              <w:jc w:val="right"/>
            </w:pPr>
            <w:r>
              <w:t xml:space="preserve">51.1%</w:t>
            </w:r>
          </w:p>
        </w:tc>
        <w:tc>
          <w:tcPr/>
          <w:p>
            <w:pPr>
              <w:pStyle w:val="Compact"/>
              <w:jc w:val="right"/>
            </w:pPr>
            <w:r>
              <w:t xml:space="preserve">-45.3%</w:t>
            </w:r>
          </w:p>
        </w:tc>
        <w:tc>
          <w:tcPr/>
          <w:p>
            <w:pPr>
              <w:pStyle w:val="Compact"/>
              <w:jc w:val="right"/>
            </w:pPr>
            <w:r>
              <w:t xml:space="preserve">53%</w:t>
            </w:r>
          </w:p>
        </w:tc>
        <w:tc>
          <w:tcPr/>
          <w:p>
            <w:pPr>
              <w:pStyle w:val="Compact"/>
              <w:jc w:val="right"/>
            </w:pPr>
            <w:r>
              <w:t xml:space="preserve">374</w:t>
            </w:r>
          </w:p>
        </w:tc>
      </w:tr>
      <w:tr>
        <w:tc>
          <w:tcPr/>
          <w:p>
            <w:pPr>
              <w:pStyle w:val="Compact"/>
              <w:jc w:val="left"/>
            </w:pPr>
            <w:r>
              <w:t xml:space="preserve">BE</w:t>
            </w:r>
          </w:p>
        </w:tc>
        <w:tc>
          <w:tcPr/>
          <w:p>
            <w:pPr>
              <w:pStyle w:val="Compact"/>
              <w:jc w:val="right"/>
            </w:pPr>
            <w:r>
              <w:t xml:space="preserve">+1.18</w:t>
            </w:r>
          </w:p>
        </w:tc>
        <w:tc>
          <w:tcPr/>
          <w:p>
            <w:pPr>
              <w:pStyle w:val="Compact"/>
              <w:jc w:val="right"/>
            </w:pPr>
            <w:r>
              <w:t xml:space="preserve">+51.1%</w:t>
            </w:r>
          </w:p>
        </w:tc>
        <w:tc>
          <w:tcPr/>
          <w:p>
            <w:pPr>
              <w:pStyle w:val="Compact"/>
              <w:jc w:val="right"/>
            </w:pPr>
            <w:r>
              <w:t xml:space="preserve">43.4%</w:t>
            </w:r>
          </w:p>
        </w:tc>
        <w:tc>
          <w:tcPr/>
          <w:p>
            <w:pPr>
              <w:pStyle w:val="Compact"/>
              <w:jc w:val="right"/>
            </w:pPr>
            <w:r>
              <w:t xml:space="preserve">-41.4%</w:t>
            </w:r>
          </w:p>
        </w:tc>
        <w:tc>
          <w:tcPr/>
          <w:p>
            <w:pPr>
              <w:pStyle w:val="Compact"/>
              <w:jc w:val="right"/>
            </w:pPr>
            <w:r>
              <w:t xml:space="preserve">54%</w:t>
            </w:r>
          </w:p>
        </w:tc>
        <w:tc>
          <w:tcPr/>
          <w:p>
            <w:pPr>
              <w:pStyle w:val="Compact"/>
              <w:jc w:val="right"/>
            </w:pPr>
            <w:r>
              <w:t xml:space="preserve">374</w:t>
            </w:r>
          </w:p>
        </w:tc>
      </w:tr>
      <w:tr>
        <w:tc>
          <w:tcPr/>
          <w:p>
            <w:pPr>
              <w:pStyle w:val="Compact"/>
              <w:jc w:val="left"/>
            </w:pPr>
            <w:r>
              <w:t xml:space="preserve">DE</w:t>
            </w:r>
          </w:p>
        </w:tc>
        <w:tc>
          <w:tcPr/>
          <w:p>
            <w:pPr>
              <w:pStyle w:val="Compact"/>
              <w:jc w:val="right"/>
            </w:pPr>
            <w:r>
              <w:t xml:space="preserve">+1.21</w:t>
            </w:r>
          </w:p>
        </w:tc>
        <w:tc>
          <w:tcPr/>
          <w:p>
            <w:pPr>
              <w:pStyle w:val="Compact"/>
              <w:jc w:val="right"/>
            </w:pPr>
            <w:r>
              <w:t xml:space="preserve">+54.4%</w:t>
            </w:r>
          </w:p>
        </w:tc>
        <w:tc>
          <w:tcPr/>
          <w:p>
            <w:pPr>
              <w:pStyle w:val="Compact"/>
              <w:jc w:val="right"/>
            </w:pPr>
            <w:r>
              <w:t xml:space="preserve">45.0%</w:t>
            </w:r>
          </w:p>
        </w:tc>
        <w:tc>
          <w:tcPr/>
          <w:p>
            <w:pPr>
              <w:pStyle w:val="Compact"/>
              <w:jc w:val="right"/>
            </w:pPr>
            <w:r>
              <w:t xml:space="preserve">-42.4%</w:t>
            </w:r>
          </w:p>
        </w:tc>
        <w:tc>
          <w:tcPr/>
          <w:p>
            <w:pPr>
              <w:pStyle w:val="Compact"/>
              <w:jc w:val="right"/>
            </w:pPr>
            <w:r>
              <w:t xml:space="preserve">53%</w:t>
            </w:r>
          </w:p>
        </w:tc>
        <w:tc>
          <w:tcPr/>
          <w:p>
            <w:pPr>
              <w:pStyle w:val="Compact"/>
              <w:jc w:val="right"/>
            </w:pPr>
            <w:r>
              <w:t xml:space="preserve">374</w:t>
            </w:r>
          </w:p>
        </w:tc>
      </w:tr>
      <w:tr>
        <w:tc>
          <w:tcPr/>
          <w:p>
            <w:pPr>
              <w:pStyle w:val="Compact"/>
              <w:jc w:val="left"/>
            </w:pPr>
            <w:r>
              <w:t xml:space="preserve">MM</w:t>
            </w:r>
          </w:p>
        </w:tc>
        <w:tc>
          <w:tcPr/>
          <w:p>
            <w:pPr>
              <w:pStyle w:val="Compact"/>
              <w:jc w:val="right"/>
            </w:pPr>
            <w:r>
              <w:t xml:space="preserve">+1.24</w:t>
            </w:r>
          </w:p>
        </w:tc>
        <w:tc>
          <w:tcPr/>
          <w:p>
            <w:pPr>
              <w:pStyle w:val="Compact"/>
              <w:jc w:val="right"/>
            </w:pPr>
            <w:r>
              <w:t xml:space="preserve">+76.5%</w:t>
            </w:r>
          </w:p>
        </w:tc>
        <w:tc>
          <w:tcPr/>
          <w:p>
            <w:pPr>
              <w:pStyle w:val="Compact"/>
              <w:jc w:val="right"/>
            </w:pPr>
            <w:r>
              <w:t xml:space="preserve">61.9%</w:t>
            </w:r>
          </w:p>
        </w:tc>
        <w:tc>
          <w:tcPr/>
          <w:p>
            <w:pPr>
              <w:pStyle w:val="Compact"/>
              <w:jc w:val="right"/>
            </w:pPr>
            <w:r>
              <w:t xml:space="preserve">-46.6%</w:t>
            </w:r>
          </w:p>
        </w:tc>
        <w:tc>
          <w:tcPr/>
          <w:p>
            <w:pPr>
              <w:pStyle w:val="Compact"/>
              <w:jc w:val="right"/>
            </w:pPr>
            <w:r>
              <w:t xml:space="preserve">54%</w:t>
            </w:r>
          </w:p>
        </w:tc>
        <w:tc>
          <w:tcPr/>
          <w:p>
            <w:pPr>
              <w:pStyle w:val="Compact"/>
              <w:jc w:val="right"/>
            </w:pPr>
            <w:r>
              <w:t xml:space="preserve">374</w:t>
            </w:r>
          </w:p>
        </w:tc>
      </w:tr>
      <w:tr>
        <w:tc>
          <w:tcPr/>
          <w:p>
            <w:pPr>
              <w:pStyle w:val="Compact"/>
              <w:jc w:val="left"/>
            </w:pPr>
            <w:r>
              <w:t xml:space="preserve">CR</w:t>
            </w:r>
          </w:p>
        </w:tc>
        <w:tc>
          <w:tcPr/>
          <w:p>
            <w:pPr>
              <w:pStyle w:val="Compact"/>
              <w:jc w:val="right"/>
            </w:pPr>
            <w:r>
              <w:t xml:space="preserve">+0.53</w:t>
            </w:r>
          </w:p>
        </w:tc>
        <w:tc>
          <w:tcPr/>
          <w:p>
            <w:pPr>
              <w:pStyle w:val="Compact"/>
              <w:jc w:val="right"/>
            </w:pPr>
            <w:r>
              <w:t xml:space="preserve">+18.5%</w:t>
            </w:r>
          </w:p>
        </w:tc>
        <w:tc>
          <w:tcPr/>
          <w:p>
            <w:pPr>
              <w:pStyle w:val="Compact"/>
              <w:jc w:val="right"/>
            </w:pPr>
            <w:r>
              <w:t xml:space="preserve">35.1%</w:t>
            </w:r>
          </w:p>
        </w:tc>
        <w:tc>
          <w:tcPr/>
          <w:p>
            <w:pPr>
              <w:pStyle w:val="Compact"/>
              <w:jc w:val="right"/>
            </w:pPr>
            <w:r>
              <w:t xml:space="preserve">-49.3%</w:t>
            </w:r>
          </w:p>
        </w:tc>
        <w:tc>
          <w:tcPr/>
          <w:p>
            <w:pPr>
              <w:pStyle w:val="Compact"/>
              <w:jc w:val="right"/>
            </w:pPr>
            <w:r>
              <w:t xml:space="preserve">49%</w:t>
            </w:r>
          </w:p>
        </w:tc>
        <w:tc>
          <w:tcPr/>
          <w:p>
            <w:pPr>
              <w:pStyle w:val="Compact"/>
              <w:jc w:val="right"/>
            </w:pPr>
            <w:r>
              <w:t xml:space="preserve">374</w:t>
            </w:r>
          </w:p>
        </w:tc>
      </w:tr>
      <w:tr>
        <w:tc>
          <w:tcPr/>
          <w:p>
            <w:pPr>
              <w:pStyle w:val="Compact"/>
              <w:jc w:val="left"/>
            </w:pPr>
            <w:r>
              <w:t xml:space="preserve">PT</w:t>
            </w:r>
          </w:p>
        </w:tc>
        <w:tc>
          <w:tcPr/>
          <w:p>
            <w:pPr>
              <w:pStyle w:val="Compact"/>
              <w:jc w:val="right"/>
            </w:pPr>
            <w:r>
              <w:t xml:space="preserve">+0.30</w:t>
            </w:r>
          </w:p>
        </w:tc>
        <w:tc>
          <w:tcPr/>
          <w:p>
            <w:pPr>
              <w:pStyle w:val="Compact"/>
              <w:jc w:val="right"/>
            </w:pPr>
            <w:r>
              <w:t xml:space="preserve">+11.1%</w:t>
            </w:r>
          </w:p>
        </w:tc>
        <w:tc>
          <w:tcPr/>
          <w:p>
            <w:pPr>
              <w:pStyle w:val="Compact"/>
              <w:jc w:val="right"/>
            </w:pPr>
            <w:r>
              <w:t xml:space="preserve">36.9%</w:t>
            </w:r>
          </w:p>
        </w:tc>
        <w:tc>
          <w:tcPr/>
          <w:p>
            <w:pPr>
              <w:pStyle w:val="Compact"/>
              <w:jc w:val="right"/>
            </w:pPr>
            <w:r>
              <w:t xml:space="preserve">-49.1%</w:t>
            </w:r>
          </w:p>
        </w:tc>
        <w:tc>
          <w:tcPr/>
          <w:p>
            <w:pPr>
              <w:pStyle w:val="Compact"/>
              <w:jc w:val="right"/>
            </w:pPr>
            <w:r>
              <w:t xml:space="preserve">47%</w:t>
            </w:r>
          </w:p>
        </w:tc>
        <w:tc>
          <w:tcPr/>
          <w:p>
            <w:pPr>
              <w:pStyle w:val="Compact"/>
              <w:jc w:val="right"/>
            </w:pPr>
            <w:r>
              <w:t xml:space="preserve">374</w:t>
            </w:r>
          </w:p>
        </w:tc>
      </w:tr>
      <w:tr>
        <w:tc>
          <w:tcPr/>
          <w:p>
            <w:pPr>
              <w:pStyle w:val="Compact"/>
              <w:jc w:val="left"/>
            </w:pPr>
            <w:r>
              <w:t xml:space="preserve">EW</w:t>
            </w:r>
          </w:p>
        </w:tc>
        <w:tc>
          <w:tcPr/>
          <w:p>
            <w:pPr>
              <w:pStyle w:val="Compact"/>
              <w:jc w:val="right"/>
            </w:pPr>
            <w:r>
              <w:t xml:space="preserve">+0.82</w:t>
            </w:r>
          </w:p>
        </w:tc>
        <w:tc>
          <w:tcPr/>
          <w:p>
            <w:pPr>
              <w:pStyle w:val="Compact"/>
              <w:jc w:val="right"/>
            </w:pPr>
            <w:r>
              <w:t xml:space="preserve">+65.7%</w:t>
            </w:r>
          </w:p>
        </w:tc>
        <w:tc>
          <w:tcPr/>
          <w:p>
            <w:pPr>
              <w:pStyle w:val="Compact"/>
              <w:jc w:val="right"/>
            </w:pPr>
            <w:r>
              <w:t xml:space="preserve">80.5%</w:t>
            </w:r>
          </w:p>
        </w:tc>
        <w:tc>
          <w:tcPr/>
          <w:p>
            <w:pPr>
              <w:pStyle w:val="Compact"/>
              <w:jc w:val="right"/>
            </w:pPr>
            <w:r>
              <w:t xml:space="preserve">-80.6%</w:t>
            </w:r>
          </w:p>
        </w:tc>
        <w:tc>
          <w:tcPr/>
          <w:p>
            <w:pPr>
              <w:pStyle w:val="Compact"/>
              <w:jc w:val="right"/>
            </w:pPr>
            <w:r>
              <w:t xml:space="preserve">55%</w:t>
            </w:r>
          </w:p>
        </w:tc>
        <w:tc>
          <w:tcPr/>
          <w:p>
            <w:pPr>
              <w:pStyle w:val="Compact"/>
              <w:jc w:val="right"/>
            </w:pPr>
            <w:r>
              <w:t xml:space="preserve">373</w:t>
            </w:r>
          </w:p>
        </w:tc>
      </w:tr>
      <w:tr>
        <w:tc>
          <w:tcPr/>
          <w:p>
            <w:pPr>
              <w:pStyle w:val="Compact"/>
              <w:jc w:val="left"/>
            </w:pPr>
            <w:r>
              <w:t xml:space="preserve">BTC</w:t>
            </w:r>
          </w:p>
        </w:tc>
        <w:tc>
          <w:tcPr/>
          <w:p>
            <w:pPr>
              <w:pStyle w:val="Compact"/>
              <w:jc w:val="right"/>
            </w:pPr>
            <w:r>
              <w:t xml:space="preserve">+0.92</w:t>
            </w:r>
          </w:p>
        </w:tc>
        <w:tc>
          <w:tcPr/>
          <w:p>
            <w:pPr>
              <w:pStyle w:val="Compact"/>
              <w:jc w:val="right"/>
            </w:pPr>
            <w:r>
              <w:t xml:space="preserve">+54.4%</w:t>
            </w:r>
          </w:p>
        </w:tc>
        <w:tc>
          <w:tcPr/>
          <w:p>
            <w:pPr>
              <w:pStyle w:val="Compact"/>
              <w:jc w:val="right"/>
            </w:pPr>
            <w:r>
              <w:t xml:space="preserve">59.0%</w:t>
            </w:r>
          </w:p>
        </w:tc>
        <w:tc>
          <w:tcPr/>
          <w:p>
            <w:pPr>
              <w:pStyle w:val="Compact"/>
              <w:jc w:val="right"/>
            </w:pPr>
            <w:r>
              <w:t xml:space="preserve">-75.2%</w:t>
            </w:r>
          </w:p>
        </w:tc>
        <w:tc>
          <w:tcPr/>
          <w:p>
            <w:pPr>
              <w:pStyle w:val="Compact"/>
              <w:jc w:val="right"/>
            </w:pPr>
            <w:r>
              <w:t xml:space="preserve">52%</w:t>
            </w:r>
          </w:p>
        </w:tc>
        <w:tc>
          <w:tcPr/>
          <w:p>
            <w:pPr>
              <w:pStyle w:val="Compact"/>
              <w:jc w:val="right"/>
            </w:pPr>
            <w:r>
              <w:t xml:space="preserve">373</w:t>
            </w:r>
          </w:p>
        </w:tc>
      </w:tr>
    </w:tbl>
    <w:p>
      <w:pPr>
        <w:pStyle w:val="BodyText"/>
      </w:pPr>
      <w:r>
        <w:t xml:space="preserve">In-sample, the crypto market was strong. This makes the out-of-sample period more important for judging robustness.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Hit rate</w:t>
            </w:r>
          </w:p>
        </w:tc>
        <w:tc>
          <w:tcPr/>
          <w:p>
            <w:pPr>
              <w:pStyle w:val="Compact"/>
              <w:jc w:val="right"/>
            </w:pPr>
            <w:r>
              <w:t xml:space="preserve">Weeks</w:t>
            </w:r>
          </w:p>
        </w:tc>
      </w:tr>
      <w:tr>
        <w:tc>
          <w:tcPr/>
          <w:p>
            <w:pPr>
              <w:pStyle w:val="Compact"/>
              <w:jc w:val="left"/>
            </w:pPr>
            <w:r>
              <w:t xml:space="preserve">SE</w:t>
            </w:r>
          </w:p>
        </w:tc>
        <w:tc>
          <w:tcPr/>
          <w:p>
            <w:pPr>
              <w:pStyle w:val="Compact"/>
              <w:jc w:val="right"/>
            </w:pPr>
            <w:r>
              <w:t xml:space="preserve">+1.36</w:t>
            </w:r>
          </w:p>
        </w:tc>
        <w:tc>
          <w:tcPr/>
          <w:p>
            <w:pPr>
              <w:pStyle w:val="Compact"/>
              <w:jc w:val="right"/>
            </w:pPr>
            <w:r>
              <w:t xml:space="preserve">+74.0%</w:t>
            </w:r>
          </w:p>
        </w:tc>
        <w:tc>
          <w:tcPr/>
          <w:p>
            <w:pPr>
              <w:pStyle w:val="Compact"/>
              <w:jc w:val="right"/>
            </w:pPr>
            <w:r>
              <w:t xml:space="preserve">54.4%</w:t>
            </w:r>
          </w:p>
        </w:tc>
        <w:tc>
          <w:tcPr/>
          <w:p>
            <w:pPr>
              <w:pStyle w:val="Compact"/>
              <w:jc w:val="right"/>
            </w:pPr>
            <w:r>
              <w:t xml:space="preserve">-45.3%</w:t>
            </w:r>
          </w:p>
        </w:tc>
        <w:tc>
          <w:tcPr/>
          <w:p>
            <w:pPr>
              <w:pStyle w:val="Compact"/>
              <w:jc w:val="right"/>
            </w:pPr>
            <w:r>
              <w:t xml:space="preserve">54%</w:t>
            </w:r>
          </w:p>
        </w:tc>
        <w:tc>
          <w:tcPr/>
          <w:p>
            <w:pPr>
              <w:pStyle w:val="Compact"/>
              <w:jc w:val="right"/>
            </w:pPr>
            <w:r>
              <w:t xml:space="preserve">295</w:t>
            </w:r>
          </w:p>
        </w:tc>
      </w:tr>
      <w:tr>
        <w:tc>
          <w:tcPr/>
          <w:p>
            <w:pPr>
              <w:pStyle w:val="Compact"/>
              <w:jc w:val="left"/>
            </w:pPr>
            <w:r>
              <w:t xml:space="preserve">BE</w:t>
            </w:r>
          </w:p>
        </w:tc>
        <w:tc>
          <w:tcPr/>
          <w:p>
            <w:pPr>
              <w:pStyle w:val="Compact"/>
              <w:jc w:val="right"/>
            </w:pPr>
            <w:r>
              <w:t xml:space="preserve">+1.28</w:t>
            </w:r>
          </w:p>
        </w:tc>
        <w:tc>
          <w:tcPr/>
          <w:p>
            <w:pPr>
              <w:pStyle w:val="Compact"/>
              <w:jc w:val="right"/>
            </w:pPr>
            <w:r>
              <w:t xml:space="preserve">+59.7%</w:t>
            </w:r>
          </w:p>
        </w:tc>
        <w:tc>
          <w:tcPr/>
          <w:p>
            <w:pPr>
              <w:pStyle w:val="Compact"/>
              <w:jc w:val="right"/>
            </w:pPr>
            <w:r>
              <w:t xml:space="preserve">46.7%</w:t>
            </w:r>
          </w:p>
        </w:tc>
        <w:tc>
          <w:tcPr/>
          <w:p>
            <w:pPr>
              <w:pStyle w:val="Compact"/>
              <w:jc w:val="right"/>
            </w:pPr>
            <w:r>
              <w:t xml:space="preserve">-41.4%</w:t>
            </w:r>
          </w:p>
        </w:tc>
        <w:tc>
          <w:tcPr/>
          <w:p>
            <w:pPr>
              <w:pStyle w:val="Compact"/>
              <w:jc w:val="right"/>
            </w:pPr>
            <w:r>
              <w:t xml:space="preserve">55%</w:t>
            </w:r>
          </w:p>
        </w:tc>
        <w:tc>
          <w:tcPr/>
          <w:p>
            <w:pPr>
              <w:pStyle w:val="Compact"/>
              <w:jc w:val="right"/>
            </w:pPr>
            <w:r>
              <w:t xml:space="preserve">295</w:t>
            </w:r>
          </w:p>
        </w:tc>
      </w:tr>
      <w:tr>
        <w:tc>
          <w:tcPr/>
          <w:p>
            <w:pPr>
              <w:pStyle w:val="Compact"/>
              <w:jc w:val="left"/>
            </w:pPr>
            <w:r>
              <w:t xml:space="preserve">DE</w:t>
            </w:r>
          </w:p>
        </w:tc>
        <w:tc>
          <w:tcPr/>
          <w:p>
            <w:pPr>
              <w:pStyle w:val="Compact"/>
              <w:jc w:val="right"/>
            </w:pPr>
            <w:r>
              <w:t xml:space="preserve">+1.31</w:t>
            </w:r>
          </w:p>
        </w:tc>
        <w:tc>
          <w:tcPr/>
          <w:p>
            <w:pPr>
              <w:pStyle w:val="Compact"/>
              <w:jc w:val="right"/>
            </w:pPr>
            <w:r>
              <w:t xml:space="preserve">+63.2%</w:t>
            </w:r>
          </w:p>
        </w:tc>
        <w:tc>
          <w:tcPr/>
          <w:p>
            <w:pPr>
              <w:pStyle w:val="Compact"/>
              <w:jc w:val="right"/>
            </w:pPr>
            <w:r>
              <w:t xml:space="preserve">48.4%</w:t>
            </w:r>
          </w:p>
        </w:tc>
        <w:tc>
          <w:tcPr/>
          <w:p>
            <w:pPr>
              <w:pStyle w:val="Compact"/>
              <w:jc w:val="right"/>
            </w:pPr>
            <w:r>
              <w:t xml:space="preserve">-42.4%</w:t>
            </w:r>
          </w:p>
        </w:tc>
        <w:tc>
          <w:tcPr/>
          <w:p>
            <w:pPr>
              <w:pStyle w:val="Compact"/>
              <w:jc w:val="right"/>
            </w:pPr>
            <w:r>
              <w:t xml:space="preserve">53%</w:t>
            </w:r>
          </w:p>
        </w:tc>
        <w:tc>
          <w:tcPr/>
          <w:p>
            <w:pPr>
              <w:pStyle w:val="Compact"/>
              <w:jc w:val="right"/>
            </w:pPr>
            <w:r>
              <w:t xml:space="preserve">295</w:t>
            </w:r>
          </w:p>
        </w:tc>
      </w:tr>
      <w:tr>
        <w:tc>
          <w:tcPr/>
          <w:p>
            <w:pPr>
              <w:pStyle w:val="Compact"/>
              <w:jc w:val="left"/>
            </w:pPr>
            <w:r>
              <w:t xml:space="preserve">EW</w:t>
            </w:r>
          </w:p>
        </w:tc>
        <w:tc>
          <w:tcPr/>
          <w:p>
            <w:pPr>
              <w:pStyle w:val="Compact"/>
              <w:jc w:val="right"/>
            </w:pPr>
            <w:r>
              <w:t xml:space="preserve">+1.10</w:t>
            </w:r>
          </w:p>
        </w:tc>
        <w:tc>
          <w:tcPr/>
          <w:p>
            <w:pPr>
              <w:pStyle w:val="Compact"/>
              <w:jc w:val="right"/>
            </w:pPr>
            <w:r>
              <w:t xml:space="preserve">+92.1%</w:t>
            </w:r>
          </w:p>
        </w:tc>
        <w:tc>
          <w:tcPr/>
          <w:p>
            <w:pPr>
              <w:pStyle w:val="Compact"/>
              <w:jc w:val="right"/>
            </w:pPr>
            <w:r>
              <w:t xml:space="preserve">83.4%</w:t>
            </w:r>
          </w:p>
        </w:tc>
        <w:tc>
          <w:tcPr/>
          <w:p>
            <w:pPr>
              <w:pStyle w:val="Compact"/>
              <w:jc w:val="right"/>
            </w:pPr>
            <w:r>
              <w:t xml:space="preserve">-80.6%</w:t>
            </w:r>
          </w:p>
        </w:tc>
        <w:tc>
          <w:tcPr/>
          <w:p>
            <w:pPr>
              <w:pStyle w:val="Compact"/>
              <w:jc w:val="right"/>
            </w:pPr>
            <w:r>
              <w:t xml:space="preserve">58%</w:t>
            </w:r>
          </w:p>
        </w:tc>
        <w:tc>
          <w:tcPr/>
          <w:p>
            <w:pPr>
              <w:pStyle w:val="Compact"/>
              <w:jc w:val="right"/>
            </w:pPr>
            <w:r>
              <w:t xml:space="preserve">295</w:t>
            </w:r>
          </w:p>
        </w:tc>
      </w:tr>
      <w:tr>
        <w:tc>
          <w:tcPr/>
          <w:p>
            <w:pPr>
              <w:pStyle w:val="Compact"/>
              <w:jc w:val="left"/>
            </w:pPr>
            <w:r>
              <w:t xml:space="preserve">BTC</w:t>
            </w:r>
          </w:p>
        </w:tc>
        <w:tc>
          <w:tcPr/>
          <w:p>
            <w:pPr>
              <w:pStyle w:val="Compact"/>
              <w:jc w:val="right"/>
            </w:pPr>
            <w:r>
              <w:t xml:space="preserve">+1.14</w:t>
            </w:r>
          </w:p>
        </w:tc>
        <w:tc>
          <w:tcPr/>
          <w:p>
            <w:pPr>
              <w:pStyle w:val="Compact"/>
              <w:jc w:val="right"/>
            </w:pPr>
            <w:r>
              <w:t xml:space="preserve">+72.1%</w:t>
            </w:r>
          </w:p>
        </w:tc>
        <w:tc>
          <w:tcPr/>
          <w:p>
            <w:pPr>
              <w:pStyle w:val="Compact"/>
              <w:jc w:val="right"/>
            </w:pPr>
            <w:r>
              <w:t xml:space="preserve">63.2%</w:t>
            </w:r>
          </w:p>
        </w:tc>
        <w:tc>
          <w:tcPr/>
          <w:p>
            <w:pPr>
              <w:pStyle w:val="Compact"/>
              <w:jc w:val="right"/>
            </w:pPr>
            <w:r>
              <w:t xml:space="preserve">-75.2%</w:t>
            </w:r>
          </w:p>
        </w:tc>
        <w:tc>
          <w:tcPr/>
          <w:p>
            <w:pPr>
              <w:pStyle w:val="Compact"/>
              <w:jc w:val="right"/>
            </w:pPr>
            <w:r>
              <w:t xml:space="preserve">54%</w:t>
            </w:r>
          </w:p>
        </w:tc>
        <w:tc>
          <w:tcPr/>
          <w:p>
            <w:pPr>
              <w:pStyle w:val="Compact"/>
              <w:jc w:val="right"/>
            </w:pPr>
            <w:r>
              <w:t xml:space="preserve">295</w:t>
            </w:r>
          </w:p>
        </w:tc>
      </w:tr>
    </w:tbl>
    <w:p>
      <w:pPr>
        <w:pStyle w:val="BodyText"/>
      </w:pPr>
      <w:r>
        <w:t xml:space="preserve">Out-of-sample, Bitcoin and the equal-weight market both lose money. All three ensembles remain positive with materially smaller drawdowns.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Hit rate</w:t>
            </w:r>
          </w:p>
        </w:tc>
        <w:tc>
          <w:tcPr/>
          <w:p>
            <w:pPr>
              <w:pStyle w:val="Compact"/>
              <w:jc w:val="right"/>
            </w:pPr>
            <w:r>
              <w:t xml:space="preserve">Weeks</w:t>
            </w:r>
          </w:p>
        </w:tc>
      </w:tr>
      <w:tr>
        <w:tc>
          <w:tcPr/>
          <w:p>
            <w:pPr>
              <w:pStyle w:val="Compact"/>
              <w:jc w:val="left"/>
            </w:pPr>
            <w:r>
              <w:t xml:space="preserve">SE</w:t>
            </w:r>
          </w:p>
        </w:tc>
        <w:tc>
          <w:tcPr/>
          <w:p>
            <w:pPr>
              <w:pStyle w:val="Compact"/>
              <w:jc w:val="right"/>
            </w:pPr>
            <w:r>
              <w:t xml:space="preserve">+0.84</w:t>
            </w:r>
          </w:p>
        </w:tc>
        <w:tc>
          <w:tcPr/>
          <w:p>
            <w:pPr>
              <w:pStyle w:val="Compact"/>
              <w:jc w:val="right"/>
            </w:pPr>
            <w:r>
              <w:t xml:space="preserve">+29.9%</w:t>
            </w:r>
          </w:p>
        </w:tc>
        <w:tc>
          <w:tcPr/>
          <w:p>
            <w:pPr>
              <w:pStyle w:val="Compact"/>
              <w:jc w:val="right"/>
            </w:pPr>
            <w:r>
              <w:t xml:space="preserve">35.8%</w:t>
            </w:r>
          </w:p>
        </w:tc>
        <w:tc>
          <w:tcPr/>
          <w:p>
            <w:pPr>
              <w:pStyle w:val="Compact"/>
              <w:jc w:val="right"/>
            </w:pPr>
            <w:r>
              <w:t xml:space="preserve">-24.7%</w:t>
            </w:r>
          </w:p>
        </w:tc>
        <w:tc>
          <w:tcPr/>
          <w:p>
            <w:pPr>
              <w:pStyle w:val="Compact"/>
              <w:jc w:val="right"/>
            </w:pPr>
            <w:r>
              <w:t xml:space="preserve">51%</w:t>
            </w:r>
          </w:p>
        </w:tc>
        <w:tc>
          <w:tcPr/>
          <w:p>
            <w:pPr>
              <w:pStyle w:val="Compact"/>
              <w:jc w:val="right"/>
            </w:pPr>
            <w:r>
              <w:t xml:space="preserve">79</w:t>
            </w:r>
          </w:p>
        </w:tc>
      </w:tr>
      <w:tr>
        <w:tc>
          <w:tcPr/>
          <w:p>
            <w:pPr>
              <w:pStyle w:val="Compact"/>
              <w:jc w:val="left"/>
            </w:pPr>
            <w:r>
              <w:t xml:space="preserve">BE</w:t>
            </w:r>
          </w:p>
        </w:tc>
        <w:tc>
          <w:tcPr/>
          <w:p>
            <w:pPr>
              <w:pStyle w:val="Compact"/>
              <w:jc w:val="right"/>
            </w:pPr>
            <w:r>
              <w:t xml:space="preserve">+0.68</w:t>
            </w:r>
          </w:p>
        </w:tc>
        <w:tc>
          <w:tcPr/>
          <w:p>
            <w:pPr>
              <w:pStyle w:val="Compact"/>
              <w:jc w:val="right"/>
            </w:pPr>
            <w:r>
              <w:t xml:space="preserve">+18.8%</w:t>
            </w:r>
          </w:p>
        </w:tc>
        <w:tc>
          <w:tcPr/>
          <w:p>
            <w:pPr>
              <w:pStyle w:val="Compact"/>
              <w:jc w:val="right"/>
            </w:pPr>
            <w:r>
              <w:t xml:space="preserve">27.6%</w:t>
            </w:r>
          </w:p>
        </w:tc>
        <w:tc>
          <w:tcPr/>
          <w:p>
            <w:pPr>
              <w:pStyle w:val="Compact"/>
              <w:jc w:val="right"/>
            </w:pPr>
            <w:r>
              <w:t xml:space="preserve">-18.3%</w:t>
            </w:r>
          </w:p>
        </w:tc>
        <w:tc>
          <w:tcPr/>
          <w:p>
            <w:pPr>
              <w:pStyle w:val="Compact"/>
              <w:jc w:val="right"/>
            </w:pPr>
            <w:r>
              <w:t xml:space="preserve">53%</w:t>
            </w:r>
          </w:p>
        </w:tc>
        <w:tc>
          <w:tcPr/>
          <w:p>
            <w:pPr>
              <w:pStyle w:val="Compact"/>
              <w:jc w:val="right"/>
            </w:pPr>
            <w:r>
              <w:t xml:space="preserve">79</w:t>
            </w:r>
          </w:p>
        </w:tc>
      </w:tr>
      <w:tr>
        <w:tc>
          <w:tcPr/>
          <w:p>
            <w:pPr>
              <w:pStyle w:val="Compact"/>
              <w:jc w:val="left"/>
            </w:pPr>
            <w:r>
              <w:t xml:space="preserve">DE</w:t>
            </w:r>
          </w:p>
        </w:tc>
        <w:tc>
          <w:tcPr/>
          <w:p>
            <w:pPr>
              <w:pStyle w:val="Compact"/>
              <w:jc w:val="right"/>
            </w:pPr>
            <w:r>
              <w:t xml:space="preserve">+0.75</w:t>
            </w:r>
          </w:p>
        </w:tc>
        <w:tc>
          <w:tcPr/>
          <w:p>
            <w:pPr>
              <w:pStyle w:val="Compact"/>
              <w:jc w:val="right"/>
            </w:pPr>
            <w:r>
              <w:t xml:space="preserve">+21.6%</w:t>
            </w:r>
          </w:p>
        </w:tc>
        <w:tc>
          <w:tcPr/>
          <w:p>
            <w:pPr>
              <w:pStyle w:val="Compact"/>
              <w:jc w:val="right"/>
            </w:pPr>
            <w:r>
              <w:t xml:space="preserve">29.0%</w:t>
            </w:r>
          </w:p>
        </w:tc>
        <w:tc>
          <w:tcPr/>
          <w:p>
            <w:pPr>
              <w:pStyle w:val="Compact"/>
              <w:jc w:val="right"/>
            </w:pPr>
            <w:r>
              <w:t xml:space="preserve">-19.7%</w:t>
            </w:r>
          </w:p>
        </w:tc>
        <w:tc>
          <w:tcPr/>
          <w:p>
            <w:pPr>
              <w:pStyle w:val="Compact"/>
              <w:jc w:val="right"/>
            </w:pPr>
            <w:r>
              <w:t xml:space="preserve">53%</w:t>
            </w:r>
          </w:p>
        </w:tc>
        <w:tc>
          <w:tcPr/>
          <w:p>
            <w:pPr>
              <w:pStyle w:val="Compact"/>
              <w:jc w:val="right"/>
            </w:pPr>
            <w:r>
              <w:t xml:space="preserve">79</w:t>
            </w:r>
          </w:p>
        </w:tc>
      </w:tr>
      <w:tr>
        <w:tc>
          <w:tcPr/>
          <w:p>
            <w:pPr>
              <w:pStyle w:val="Compact"/>
              <w:jc w:val="left"/>
            </w:pPr>
            <w:r>
              <w:t xml:space="preserve">MM</w:t>
            </w:r>
          </w:p>
        </w:tc>
        <w:tc>
          <w:tcPr/>
          <w:p>
            <w:pPr>
              <w:pStyle w:val="Compact"/>
              <w:jc w:val="right"/>
            </w:pPr>
            <w:r>
              <w:t xml:space="preserve">+0.85</w:t>
            </w:r>
          </w:p>
        </w:tc>
        <w:tc>
          <w:tcPr/>
          <w:p>
            <w:pPr>
              <w:pStyle w:val="Compact"/>
              <w:jc w:val="right"/>
            </w:pPr>
            <w:r>
              <w:t xml:space="preserve">+37.2%</w:t>
            </w:r>
          </w:p>
        </w:tc>
        <w:tc>
          <w:tcPr/>
          <w:p>
            <w:pPr>
              <w:pStyle w:val="Compact"/>
              <w:jc w:val="right"/>
            </w:pPr>
            <w:r>
              <w:t xml:space="preserve">44.1%</w:t>
            </w:r>
          </w:p>
        </w:tc>
        <w:tc>
          <w:tcPr/>
          <w:p>
            <w:pPr>
              <w:pStyle w:val="Compact"/>
              <w:jc w:val="right"/>
            </w:pPr>
            <w:r>
              <w:t xml:space="preserve">-29.9%</w:t>
            </w:r>
          </w:p>
        </w:tc>
        <w:tc>
          <w:tcPr/>
          <w:p>
            <w:pPr>
              <w:pStyle w:val="Compact"/>
              <w:jc w:val="right"/>
            </w:pPr>
            <w:r>
              <w:t xml:space="preserve">52%</w:t>
            </w:r>
          </w:p>
        </w:tc>
        <w:tc>
          <w:tcPr/>
          <w:p>
            <w:pPr>
              <w:pStyle w:val="Compact"/>
              <w:jc w:val="right"/>
            </w:pPr>
            <w:r>
              <w:t xml:space="preserve">79</w:t>
            </w:r>
          </w:p>
        </w:tc>
      </w:tr>
      <w:tr>
        <w:tc>
          <w:tcPr/>
          <w:p>
            <w:pPr>
              <w:pStyle w:val="Compact"/>
              <w:jc w:val="left"/>
            </w:pPr>
            <w:r>
              <w:t xml:space="preserve">CR</w:t>
            </w:r>
          </w:p>
        </w:tc>
        <w:tc>
          <w:tcPr/>
          <w:p>
            <w:pPr>
              <w:pStyle w:val="Compact"/>
              <w:jc w:val="right"/>
            </w:pPr>
            <w:r>
              <w:t xml:space="preserve">+0.11</w:t>
            </w:r>
          </w:p>
        </w:tc>
        <w:tc>
          <w:tcPr/>
          <w:p>
            <w:pPr>
              <w:pStyle w:val="Compact"/>
              <w:jc w:val="right"/>
            </w:pPr>
            <w:r>
              <w:t xml:space="preserve">+2.0%</w:t>
            </w:r>
          </w:p>
        </w:tc>
        <w:tc>
          <w:tcPr/>
          <w:p>
            <w:pPr>
              <w:pStyle w:val="Compact"/>
              <w:jc w:val="right"/>
            </w:pPr>
            <w:r>
              <w:t xml:space="preserve">18.1%</w:t>
            </w:r>
          </w:p>
        </w:tc>
        <w:tc>
          <w:tcPr/>
          <w:p>
            <w:pPr>
              <w:pStyle w:val="Compact"/>
              <w:jc w:val="right"/>
            </w:pPr>
            <w:r>
              <w:t xml:space="preserve">-18.8%</w:t>
            </w:r>
          </w:p>
        </w:tc>
        <w:tc>
          <w:tcPr/>
          <w:p>
            <w:pPr>
              <w:pStyle w:val="Compact"/>
              <w:jc w:val="right"/>
            </w:pPr>
            <w:r>
              <w:t xml:space="preserve">47%</w:t>
            </w:r>
          </w:p>
        </w:tc>
        <w:tc>
          <w:tcPr/>
          <w:p>
            <w:pPr>
              <w:pStyle w:val="Compact"/>
              <w:jc w:val="right"/>
            </w:pPr>
            <w:r>
              <w:t xml:space="preserve">79</w:t>
            </w:r>
          </w:p>
        </w:tc>
      </w:tr>
      <w:tr>
        <w:tc>
          <w:tcPr/>
          <w:p>
            <w:pPr>
              <w:pStyle w:val="Compact"/>
              <w:jc w:val="left"/>
            </w:pPr>
            <w:r>
              <w:t xml:space="preserve">PT</w:t>
            </w:r>
          </w:p>
        </w:tc>
        <w:tc>
          <w:tcPr/>
          <w:p>
            <w:pPr>
              <w:pStyle w:val="Compact"/>
              <w:jc w:val="right"/>
            </w:pPr>
            <w:r>
              <w:t xml:space="preserve">-0.43</w:t>
            </w:r>
          </w:p>
        </w:tc>
        <w:tc>
          <w:tcPr/>
          <w:p>
            <w:pPr>
              <w:pStyle w:val="Compact"/>
              <w:jc w:val="right"/>
            </w:pPr>
            <w:r>
              <w:t xml:space="preserve">-13.7%</w:t>
            </w:r>
          </w:p>
        </w:tc>
        <w:tc>
          <w:tcPr/>
          <w:p>
            <w:pPr>
              <w:pStyle w:val="Compact"/>
              <w:jc w:val="right"/>
            </w:pPr>
            <w:r>
              <w:t xml:space="preserve">31.8%</w:t>
            </w:r>
          </w:p>
        </w:tc>
        <w:tc>
          <w:tcPr/>
          <w:p>
            <w:pPr>
              <w:pStyle w:val="Compact"/>
              <w:jc w:val="right"/>
            </w:pPr>
            <w:r>
              <w:t xml:space="preserve">-32.6%</w:t>
            </w:r>
          </w:p>
        </w:tc>
        <w:tc>
          <w:tcPr/>
          <w:p>
            <w:pPr>
              <w:pStyle w:val="Compact"/>
              <w:jc w:val="right"/>
            </w:pPr>
            <w:r>
              <w:t xml:space="preserve">39%</w:t>
            </w:r>
          </w:p>
        </w:tc>
        <w:tc>
          <w:tcPr/>
          <w:p>
            <w:pPr>
              <w:pStyle w:val="Compact"/>
              <w:jc w:val="right"/>
            </w:pPr>
            <w:r>
              <w:t xml:space="preserve">79</w:t>
            </w:r>
          </w:p>
        </w:tc>
      </w:tr>
      <w:tr>
        <w:tc>
          <w:tcPr/>
          <w:p>
            <w:pPr>
              <w:pStyle w:val="Compact"/>
              <w:jc w:val="left"/>
            </w:pPr>
            <w:r>
              <w:t xml:space="preserve">EW</w:t>
            </w:r>
          </w:p>
        </w:tc>
        <w:tc>
          <w:tcPr/>
          <w:p>
            <w:pPr>
              <w:pStyle w:val="Compact"/>
              <w:jc w:val="right"/>
            </w:pPr>
            <w:r>
              <w:t xml:space="preserve">-0.51</w:t>
            </w:r>
          </w:p>
        </w:tc>
        <w:tc>
          <w:tcPr/>
          <w:p>
            <w:pPr>
              <w:pStyle w:val="Compact"/>
              <w:jc w:val="right"/>
            </w:pPr>
            <w:r>
              <w:t xml:space="preserve">-34.4%</w:t>
            </w:r>
          </w:p>
        </w:tc>
        <w:tc>
          <w:tcPr/>
          <w:p>
            <w:pPr>
              <w:pStyle w:val="Compact"/>
              <w:jc w:val="right"/>
            </w:pPr>
            <w:r>
              <w:t xml:space="preserve">67.2%</w:t>
            </w:r>
          </w:p>
        </w:tc>
        <w:tc>
          <w:tcPr/>
          <w:p>
            <w:pPr>
              <w:pStyle w:val="Compact"/>
              <w:jc w:val="right"/>
            </w:pPr>
            <w:r>
              <w:t xml:space="preserve">-68.3%</w:t>
            </w:r>
          </w:p>
        </w:tc>
        <w:tc>
          <w:tcPr/>
          <w:p>
            <w:pPr>
              <w:pStyle w:val="Compact"/>
              <w:jc w:val="right"/>
            </w:pPr>
            <w:r>
              <w:t xml:space="preserve">45%</w:t>
            </w:r>
          </w:p>
        </w:tc>
        <w:tc>
          <w:tcPr/>
          <w:p>
            <w:pPr>
              <w:pStyle w:val="Compact"/>
              <w:jc w:val="right"/>
            </w:pPr>
            <w:r>
              <w:t xml:space="preserve">78</w:t>
            </w:r>
          </w:p>
        </w:tc>
      </w:tr>
      <w:tr>
        <w:tc>
          <w:tcPr/>
          <w:p>
            <w:pPr>
              <w:pStyle w:val="Compact"/>
              <w:jc w:val="left"/>
            </w:pPr>
            <w:r>
              <w:t xml:space="preserve">BTC</w:t>
            </w:r>
          </w:p>
        </w:tc>
        <w:tc>
          <w:tcPr/>
          <w:p>
            <w:pPr>
              <w:pStyle w:val="Compact"/>
              <w:jc w:val="right"/>
            </w:pPr>
            <w:r>
              <w:t xml:space="preserve">-0.33</w:t>
            </w:r>
          </w:p>
        </w:tc>
        <w:tc>
          <w:tcPr/>
          <w:p>
            <w:pPr>
              <w:pStyle w:val="Compact"/>
              <w:jc w:val="right"/>
            </w:pPr>
            <w:r>
              <w:t xml:space="preserve">-12.3%</w:t>
            </w:r>
          </w:p>
        </w:tc>
        <w:tc>
          <w:tcPr/>
          <w:p>
            <w:pPr>
              <w:pStyle w:val="Compact"/>
              <w:jc w:val="right"/>
            </w:pPr>
            <w:r>
              <w:t xml:space="preserve">37.7%</w:t>
            </w:r>
          </w:p>
        </w:tc>
        <w:tc>
          <w:tcPr/>
          <w:p>
            <w:pPr>
              <w:pStyle w:val="Compact"/>
              <w:jc w:val="right"/>
            </w:pPr>
            <w:r>
              <w:t xml:space="preserve">-46.7%</w:t>
            </w:r>
          </w:p>
        </w:tc>
        <w:tc>
          <w:tcPr/>
          <w:p>
            <w:pPr>
              <w:pStyle w:val="Compact"/>
              <w:jc w:val="right"/>
            </w:pPr>
            <w:r>
              <w:t xml:space="preserve">47%</w:t>
            </w:r>
          </w:p>
        </w:tc>
        <w:tc>
          <w:tcPr/>
          <w:p>
            <w:pPr>
              <w:pStyle w:val="Compact"/>
              <w:jc w:val="right"/>
            </w:pPr>
            <w:r>
              <w:t xml:space="preserve">78</w:t>
            </w:r>
          </w:p>
        </w:tc>
      </w:tr>
    </w:tbl>
    <w:p>
      <w:pPr>
        <w:pStyle w:val="BodyText"/>
      </w:pPr>
      <w:r>
        <w:drawing>
          <wp:inline>
            <wp:extent cx="5334000" cy="3111499"/>
            <wp:effectExtent b="0" l="0" r="0" t="0"/>
            <wp:docPr descr="" title="" id="55" name="Picture"/>
            <a:graphic>
              <a:graphicData uri="http://schemas.openxmlformats.org/drawingml/2006/picture">
                <pic:pic>
                  <pic:nvPicPr>
                    <pic:cNvPr descr="15_factor_ensemble_strategy/artifacts/figures/cumulative_returns.png" id="56" name="Picture"/>
                    <pic:cNvPicPr>
                      <a:picLocks noChangeArrowheads="1" noChangeAspect="1"/>
                    </pic:cNvPicPr>
                  </pic:nvPicPr>
                  <pic:blipFill>
                    <a:blip r:embed="rId54"/>
                    <a:stretch>
                      <a:fillRect/>
                    </a:stretch>
                  </pic:blipFill>
                  <pic:spPr bwMode="auto">
                    <a:xfrm>
                      <a:off x="0" y="0"/>
                      <a:ext cx="5334000" cy="3111499"/>
                    </a:xfrm>
                    <a:prstGeom prst="rect">
                      <a:avLst/>
                    </a:prstGeom>
                    <a:noFill/>
                    <a:ln w="9525">
                      <a:noFill/>
                      <a:headEnd/>
                      <a:tailEnd/>
                    </a:ln>
                  </pic:spPr>
                </pic:pic>
              </a:graphicData>
            </a:graphic>
          </wp:inline>
        </w:drawing>
      </w:r>
    </w:p>
    <w:p>
      <w:pPr>
        <w:pStyle w:val="BodyText"/>
      </w:pPr>
      <w:r>
        <w:t xml:space="preserve">Figure 6. Cumulative returns. The final ensembles keep positive out-of-sample performance while Bitcoin and the equal-weight market decline.</w:t>
      </w:r>
    </w:p>
    <w:p>
      <w:pPr>
        <w:pStyle w:val="BodyText"/>
      </w:pPr>
      <w:r>
        <w:t xml:space="preserve">The results support three conclusions. First, the Sharpe Ensemble has the best return and risk-adjusted return. Second, Balanced and Defensive variants reduce drawdown by shifting more capital toward Core Rank and risk control. Third, the Priced Tilt sub-book is economically interesting but weak as a standalone weekly strategy, which supports keeping it capped.</w:t>
      </w:r>
    </w:p>
    <w:bookmarkEnd w:id="57"/>
    <w:bookmarkStart w:id="58" w:name="critical-evaluation"/>
    <w:p>
      <w:pPr>
        <w:pStyle w:val="Heading1"/>
      </w:pPr>
      <w:r>
        <w:rPr>
          <w:rStyle w:val="SectionNumber"/>
        </w:rPr>
        <w:t xml:space="preserve">9</w:t>
      </w:r>
      <w:r>
        <w:tab/>
      </w:r>
      <w:r>
        <w:t xml:space="preserve">Critical Evaluation</w:t>
      </w:r>
    </w:p>
    <w:p>
      <w:pPr>
        <w:pStyle w:val="FirstParagraph"/>
      </w:pPr>
      <w:r>
        <w:t xml:space="preserve">The strongest weakness is sample length. The final out-of-sample test has only 79 weeks. That is useful, but it is not enough to prove the strategy will work across every future crypto cycle.</w:t>
      </w:r>
    </w:p>
    <w:p>
      <w:pPr>
        <w:pStyle w:val="BodyText"/>
      </w:pPr>
      <w:r>
        <w:t xml:space="preserve">There is also selection risk. The final strategy was designed after earlier experiments showed what did not work. That is a normal research process, but it means the final result should not be described as a pure untouched holdout.</w:t>
      </w:r>
    </w:p>
    <w:p>
      <w:pPr>
        <w:pStyle w:val="BodyText"/>
      </w:pPr>
      <w:r>
        <w:t xml:space="preserve">The regime model is heuristic. XGBoost regime labels are based on market-state features such as market momentum, cross-sectional dispersion, BTC dominance, and volatility. They are useful for sizing risk, but they are not ground truth.</w:t>
      </w:r>
    </w:p>
    <w:p>
      <w:pPr>
        <w:pStyle w:val="BodyText"/>
      </w:pPr>
      <w:r>
        <w:t xml:space="preserve">Transaction costs are simplified. Real execution would depend on exchange venue, slippage, spreads, borrow availability, order size, and liquidity. This is especially important for smaller crypto assets.</w:t>
      </w:r>
    </w:p>
    <w:p>
      <w:pPr>
        <w:pStyle w:val="BodyText"/>
      </w:pPr>
      <w:r>
        <w:t xml:space="preserve">Universe construction is another risk. If the historical universe is not fully point-in-time, survivorship bias can make results look better than they would have looked in real time.</w:t>
      </w:r>
    </w:p>
    <w:p>
      <w:pPr>
        <w:pStyle w:val="BodyText"/>
      </w:pPr>
      <w:r>
        <w:t xml:space="preserve">The strategy would likely fail or weaken if MispricingM stopped working, small-cap liquidity disappeared, trading costs rose, factor crowding compressed returns, or the regime-sizing model became unreliable in a new market environment.</w:t>
      </w:r>
    </w:p>
    <w:bookmarkEnd w:id="58"/>
    <w:bookmarkStart w:id="60" w:name="X4ea22f9629e8a84ade38440169b2352a6f94954"/>
    <w:p>
      <w:pPr>
        <w:pStyle w:val="Heading1"/>
      </w:pPr>
      <w:r>
        <w:rPr>
          <w:rStyle w:val="SectionNumber"/>
        </w:rPr>
        <w:t xml:space="preserve">10</w:t>
      </w:r>
      <w:r>
        <w:tab/>
      </w:r>
      <w:r>
        <w:t xml:space="preserve">Appendix A: Regime Conditioning Experiments</w:t>
      </w:r>
    </w:p>
    <w:p>
      <w:pPr>
        <w:pStyle w:val="FirstParagraph"/>
      </w:pPr>
      <w:r>
        <w:t xml:space="preserve">Before the final strategy, two simpler regime-conditioning plans were tested. Plan A used an economic classifier based on dispersion and BTC dominance changes. Plan B used a hidden Markov model, a statistical model that estimates unobserved market states from observed variables.</w:t>
      </w:r>
      <w:r>
        <w:rPr>
          <w:rStyle w:val="FootnoteReference"/>
        </w:rPr>
        <w:footnoteReference w:id="59"/>
      </w:r>
    </w:p>
    <w:p>
      <w:pPr>
        <w:pStyle w:val="BodyText"/>
      </w:pPr>
      <w:r>
        <w:t xml:space="preserve">The result was useful but not sufficient. Regime conditioning helped risk control, but it did not create enough standalone alpha.</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Weeks</w:t>
            </w:r>
          </w:p>
        </w:tc>
      </w:tr>
      <w:tr>
        <w:tc>
          <w:tcPr/>
          <w:p>
            <w:pPr>
              <w:pStyle w:val="Compact"/>
              <w:jc w:val="left"/>
            </w:pPr>
            <w:r>
              <w:t xml:space="preserve">Plan A</w:t>
            </w:r>
          </w:p>
        </w:tc>
        <w:tc>
          <w:tcPr/>
          <w:p>
            <w:pPr>
              <w:pStyle w:val="Compact"/>
              <w:jc w:val="right"/>
            </w:pPr>
            <w:r>
              <w:t xml:space="preserve">+0.19</w:t>
            </w:r>
          </w:p>
        </w:tc>
        <w:tc>
          <w:tcPr/>
          <w:p>
            <w:pPr>
              <w:pStyle w:val="Compact"/>
              <w:jc w:val="right"/>
            </w:pPr>
            <w:r>
              <w:t xml:space="preserve">+2.6%</w:t>
            </w:r>
          </w:p>
        </w:tc>
        <w:tc>
          <w:tcPr/>
          <w:p>
            <w:pPr>
              <w:pStyle w:val="Compact"/>
              <w:jc w:val="right"/>
            </w:pPr>
            <w:r>
              <w:t xml:space="preserve">13.4%</w:t>
            </w:r>
          </w:p>
        </w:tc>
        <w:tc>
          <w:tcPr/>
          <w:p>
            <w:pPr>
              <w:pStyle w:val="Compact"/>
              <w:jc w:val="right"/>
            </w:pPr>
            <w:r>
              <w:t xml:space="preserve">-16.7%</w:t>
            </w:r>
          </w:p>
        </w:tc>
        <w:tc>
          <w:tcPr/>
          <w:p>
            <w:pPr>
              <w:pStyle w:val="Compact"/>
              <w:jc w:val="right"/>
            </w:pPr>
            <w:r>
              <w:t xml:space="preserve">79</w:t>
            </w:r>
          </w:p>
        </w:tc>
      </w:tr>
      <w:tr>
        <w:tc>
          <w:tcPr/>
          <w:p>
            <w:pPr>
              <w:pStyle w:val="Compact"/>
              <w:jc w:val="left"/>
            </w:pPr>
            <w:r>
              <w:t xml:space="preserve">Plan B</w:t>
            </w:r>
          </w:p>
        </w:tc>
        <w:tc>
          <w:tcPr/>
          <w:p>
            <w:pPr>
              <w:pStyle w:val="Compact"/>
              <w:jc w:val="right"/>
            </w:pPr>
            <w:r>
              <w:t xml:space="preserve">+0.36</w:t>
            </w:r>
          </w:p>
        </w:tc>
        <w:tc>
          <w:tcPr/>
          <w:p>
            <w:pPr>
              <w:pStyle w:val="Compact"/>
              <w:jc w:val="right"/>
            </w:pPr>
            <w:r>
              <w:t xml:space="preserve">+4.6%</w:t>
            </w:r>
          </w:p>
        </w:tc>
        <w:tc>
          <w:tcPr/>
          <w:p>
            <w:pPr>
              <w:pStyle w:val="Compact"/>
              <w:jc w:val="right"/>
            </w:pPr>
            <w:r>
              <w:t xml:space="preserve">13.0%</w:t>
            </w:r>
          </w:p>
        </w:tc>
        <w:tc>
          <w:tcPr/>
          <w:p>
            <w:pPr>
              <w:pStyle w:val="Compact"/>
              <w:jc w:val="right"/>
            </w:pPr>
            <w:r>
              <w:t xml:space="preserve">-12.9%</w:t>
            </w:r>
          </w:p>
        </w:tc>
        <w:tc>
          <w:tcPr/>
          <w:p>
            <w:pPr>
              <w:pStyle w:val="Compact"/>
              <w:jc w:val="right"/>
            </w:pPr>
            <w:r>
              <w:t xml:space="preserve">79</w:t>
            </w:r>
          </w:p>
        </w:tc>
      </w:tr>
      <w:tr>
        <w:tc>
          <w:tcPr/>
          <w:p>
            <w:pPr>
              <w:pStyle w:val="Compact"/>
              <w:jc w:val="left"/>
            </w:pPr>
            <w:r>
              <w:t xml:space="preserve">EW</w:t>
            </w:r>
          </w:p>
        </w:tc>
        <w:tc>
          <w:tcPr/>
          <w:p>
            <w:pPr>
              <w:pStyle w:val="Compact"/>
              <w:jc w:val="right"/>
            </w:pPr>
            <w:r>
              <w:t xml:space="preserve">-0.51</w:t>
            </w:r>
          </w:p>
        </w:tc>
        <w:tc>
          <w:tcPr/>
          <w:p>
            <w:pPr>
              <w:pStyle w:val="Compact"/>
              <w:jc w:val="right"/>
            </w:pPr>
            <w:r>
              <w:t xml:space="preserve">-34.4%</w:t>
            </w:r>
          </w:p>
        </w:tc>
        <w:tc>
          <w:tcPr/>
          <w:p>
            <w:pPr>
              <w:pStyle w:val="Compact"/>
              <w:jc w:val="right"/>
            </w:pPr>
            <w:r>
              <w:t xml:space="preserve">67.2%</w:t>
            </w:r>
          </w:p>
        </w:tc>
        <w:tc>
          <w:tcPr/>
          <w:p>
            <w:pPr>
              <w:pStyle w:val="Compact"/>
              <w:jc w:val="right"/>
            </w:pPr>
            <w:r>
              <w:t xml:space="preserve">-68.3%</w:t>
            </w:r>
          </w:p>
        </w:tc>
        <w:tc>
          <w:tcPr/>
          <w:p>
            <w:pPr>
              <w:pStyle w:val="Compact"/>
              <w:jc w:val="right"/>
            </w:pPr>
            <w:r>
              <w:t xml:space="preserve">78</w:t>
            </w:r>
          </w:p>
        </w:tc>
      </w:tr>
    </w:tbl>
    <w:p>
      <w:pPr>
        <w:pStyle w:val="BodyText"/>
      </w:pPr>
      <w:r>
        <w:t xml:space="preserve">The lesson is that regimes are useful for risk sizing, but they should not be the entire strategy.</w:t>
      </w:r>
    </w:p>
    <w:bookmarkEnd w:id="60"/>
    <w:bookmarkStart w:id="64" w:name="appendix-b-machine-learning-lessons"/>
    <w:p>
      <w:pPr>
        <w:pStyle w:val="Heading1"/>
      </w:pPr>
      <w:r>
        <w:rPr>
          <w:rStyle w:val="SectionNumber"/>
        </w:rPr>
        <w:t xml:space="preserve">11</w:t>
      </w:r>
      <w:r>
        <w:tab/>
      </w:r>
      <w:r>
        <w:t xml:space="preserve">Appendix B: Machine-Learning Lessons</w:t>
      </w:r>
    </w:p>
    <w:p>
      <w:pPr>
        <w:pStyle w:val="FirstParagraph"/>
      </w:pPr>
      <w:r>
        <w:t xml:space="preserve">The next experiment used XGBoost regime probabilities and tested several optimizer variants. The best version stayed positive out-of-sample, but more aggressive and more complex versions failed.</w:t>
      </w:r>
    </w:p>
    <w:p>
      <w:pPr>
        <w:pStyle w:val="BodyText"/>
      </w:pPr>
      <w:r>
        <w:drawing>
          <wp:inline>
            <wp:extent cx="5334000" cy="2667000"/>
            <wp:effectExtent b="0" l="0" r="0" t="0"/>
            <wp:docPr descr="" title="" id="62" name="Picture"/>
            <a:graphic>
              <a:graphicData uri="http://schemas.openxmlformats.org/drawingml/2006/picture">
                <pic:pic>
                  <pic:nvPicPr>
                    <pic:cNvPr descr="14_regime_factor_strategy/artifacts/figures/xgboost_regimes.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7. XGBoost regime probabilities. The final strategy uses these probabilities for sizing risk, not as a complete return forecast.</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Annual return</w:t>
            </w:r>
          </w:p>
        </w:tc>
        <w:tc>
          <w:tcPr/>
          <w:p>
            <w:pPr>
              <w:pStyle w:val="Compact"/>
              <w:jc w:val="right"/>
            </w:pPr>
            <w:r>
              <w:t xml:space="preserve">Volatility</w:t>
            </w:r>
          </w:p>
        </w:tc>
        <w:tc>
          <w:tcPr/>
          <w:p>
            <w:pPr>
              <w:pStyle w:val="Compact"/>
              <w:jc w:val="right"/>
            </w:pPr>
            <w:r>
              <w:t xml:space="preserve">Max drawdown</w:t>
            </w:r>
          </w:p>
        </w:tc>
        <w:tc>
          <w:tcPr/>
          <w:p>
            <w:pPr>
              <w:pStyle w:val="Compact"/>
              <w:jc w:val="right"/>
            </w:pPr>
            <w:r>
              <w:t xml:space="preserve">Weeks</w:t>
            </w:r>
          </w:p>
        </w:tc>
      </w:tr>
      <w:tr>
        <w:tc>
          <w:tcPr/>
          <w:p>
            <w:pPr>
              <w:pStyle w:val="Compact"/>
              <w:jc w:val="left"/>
            </w:pPr>
            <w:r>
              <w:t xml:space="preserve">Sharpe optimized</w:t>
            </w:r>
          </w:p>
        </w:tc>
        <w:tc>
          <w:tcPr/>
          <w:p>
            <w:pPr>
              <w:pStyle w:val="Compact"/>
              <w:jc w:val="right"/>
            </w:pPr>
            <w:r>
              <w:t xml:space="preserve">+0.61</w:t>
            </w:r>
          </w:p>
        </w:tc>
        <w:tc>
          <w:tcPr/>
          <w:p>
            <w:pPr>
              <w:pStyle w:val="Compact"/>
              <w:jc w:val="right"/>
            </w:pPr>
            <w:r>
              <w:t xml:space="preserve">+26.8%</w:t>
            </w:r>
          </w:p>
        </w:tc>
        <w:tc>
          <w:tcPr/>
          <w:p>
            <w:pPr>
              <w:pStyle w:val="Compact"/>
              <w:jc w:val="right"/>
            </w:pPr>
            <w:r>
              <w:t xml:space="preserve">44.3%</w:t>
            </w:r>
          </w:p>
        </w:tc>
        <w:tc>
          <w:tcPr/>
          <w:p>
            <w:pPr>
              <w:pStyle w:val="Compact"/>
              <w:jc w:val="right"/>
            </w:pPr>
            <w:r>
              <w:t xml:space="preserve">-24.2%</w:t>
            </w:r>
          </w:p>
        </w:tc>
        <w:tc>
          <w:tcPr/>
          <w:p>
            <w:pPr>
              <w:pStyle w:val="Compact"/>
              <w:jc w:val="right"/>
            </w:pPr>
            <w:r>
              <w:t xml:space="preserve">79</w:t>
            </w:r>
          </w:p>
        </w:tc>
      </w:tr>
      <w:tr>
        <w:tc>
          <w:tcPr/>
          <w:p>
            <w:pPr>
              <w:pStyle w:val="Compact"/>
              <w:jc w:val="left"/>
            </w:pPr>
            <w:r>
              <w:t xml:space="preserve">Return optimized</w:t>
            </w:r>
          </w:p>
        </w:tc>
        <w:tc>
          <w:tcPr/>
          <w:p>
            <w:pPr>
              <w:pStyle w:val="Compact"/>
              <w:jc w:val="right"/>
            </w:pPr>
            <w:r>
              <w:t xml:space="preserve">-0.52</w:t>
            </w:r>
          </w:p>
        </w:tc>
        <w:tc>
          <w:tcPr/>
          <w:p>
            <w:pPr>
              <w:pStyle w:val="Compact"/>
              <w:jc w:val="right"/>
            </w:pPr>
            <w:r>
              <w:t xml:space="preserve">-27.1%</w:t>
            </w:r>
          </w:p>
        </w:tc>
        <w:tc>
          <w:tcPr/>
          <w:p>
            <w:pPr>
              <w:pStyle w:val="Compact"/>
              <w:jc w:val="right"/>
            </w:pPr>
            <w:r>
              <w:t xml:space="preserve">52.4%</w:t>
            </w:r>
          </w:p>
        </w:tc>
        <w:tc>
          <w:tcPr/>
          <w:p>
            <w:pPr>
              <w:pStyle w:val="Compact"/>
              <w:jc w:val="right"/>
            </w:pPr>
            <w:r>
              <w:t xml:space="preserve">-58.9%</w:t>
            </w:r>
          </w:p>
        </w:tc>
        <w:tc>
          <w:tcPr/>
          <w:p>
            <w:pPr>
              <w:pStyle w:val="Compact"/>
              <w:jc w:val="right"/>
            </w:pPr>
            <w:r>
              <w:t xml:space="preserve">79</w:t>
            </w:r>
          </w:p>
        </w:tc>
      </w:tr>
      <w:tr>
        <w:tc>
          <w:tcPr/>
          <w:p>
            <w:pPr>
              <w:pStyle w:val="Compact"/>
              <w:jc w:val="left"/>
            </w:pPr>
            <w:r>
              <w:t xml:space="preserve">Balanced</w:t>
            </w:r>
          </w:p>
        </w:tc>
        <w:tc>
          <w:tcPr/>
          <w:p>
            <w:pPr>
              <w:pStyle w:val="Compact"/>
              <w:jc w:val="right"/>
            </w:pPr>
            <w:r>
              <w:t xml:space="preserve">-0.53</w:t>
            </w:r>
          </w:p>
        </w:tc>
        <w:tc>
          <w:tcPr/>
          <w:p>
            <w:pPr>
              <w:pStyle w:val="Compact"/>
              <w:jc w:val="right"/>
            </w:pPr>
            <w:r>
              <w:t xml:space="preserve">-29.7%</w:t>
            </w:r>
          </w:p>
        </w:tc>
        <w:tc>
          <w:tcPr/>
          <w:p>
            <w:pPr>
              <w:pStyle w:val="Compact"/>
              <w:jc w:val="right"/>
            </w:pPr>
            <w:r>
              <w:t xml:space="preserve">55.6%</w:t>
            </w:r>
          </w:p>
        </w:tc>
        <w:tc>
          <w:tcPr/>
          <w:p>
            <w:pPr>
              <w:pStyle w:val="Compact"/>
              <w:jc w:val="right"/>
            </w:pPr>
            <w:r>
              <w:t xml:space="preserve">-62.8%</w:t>
            </w:r>
          </w:p>
        </w:tc>
        <w:tc>
          <w:tcPr/>
          <w:p>
            <w:pPr>
              <w:pStyle w:val="Compact"/>
              <w:jc w:val="right"/>
            </w:pPr>
            <w:r>
              <w:t xml:space="preserve">79</w:t>
            </w:r>
          </w:p>
        </w:tc>
      </w:tr>
      <w:tr>
        <w:tc>
          <w:tcPr/>
          <w:p>
            <w:pPr>
              <w:pStyle w:val="Compact"/>
              <w:jc w:val="left"/>
            </w:pPr>
            <w:r>
              <w:t xml:space="preserve">Neural network optimizer</w:t>
            </w:r>
          </w:p>
        </w:tc>
        <w:tc>
          <w:tcPr/>
          <w:p>
            <w:pPr>
              <w:pStyle w:val="Compact"/>
              <w:jc w:val="right"/>
            </w:pPr>
            <w:r>
              <w:t xml:space="preserve">-0.46</w:t>
            </w:r>
          </w:p>
        </w:tc>
        <w:tc>
          <w:tcPr/>
          <w:p>
            <w:pPr>
              <w:pStyle w:val="Compact"/>
              <w:jc w:val="right"/>
            </w:pPr>
            <w:r>
              <w:t xml:space="preserve">-19.1%</w:t>
            </w:r>
          </w:p>
        </w:tc>
        <w:tc>
          <w:tcPr/>
          <w:p>
            <w:pPr>
              <w:pStyle w:val="Compact"/>
              <w:jc w:val="right"/>
            </w:pPr>
            <w:r>
              <w:t xml:space="preserve">41.0%</w:t>
            </w:r>
          </w:p>
        </w:tc>
        <w:tc>
          <w:tcPr/>
          <w:p>
            <w:pPr>
              <w:pStyle w:val="Compact"/>
              <w:jc w:val="right"/>
            </w:pPr>
            <w:r>
              <w:t xml:space="preserve">-45.5%</w:t>
            </w:r>
          </w:p>
        </w:tc>
        <w:tc>
          <w:tcPr/>
          <w:p>
            <w:pPr>
              <w:pStyle w:val="Compact"/>
              <w:jc w:val="right"/>
            </w:pPr>
            <w:r>
              <w:t xml:space="preserve">79</w:t>
            </w:r>
          </w:p>
        </w:tc>
      </w:tr>
    </w:tbl>
    <w:p>
      <w:pPr>
        <w:pStyle w:val="BodyText"/>
      </w:pPr>
      <w:r>
        <w:t xml:space="preserve">The lesson is that more model complexity did not improve out-of-sample robustness. The final strategy therefore constrains model freedom, separates factor roles, caps priced-risk exposure, and uses machine learning only for risk sizing.</w:t>
      </w:r>
    </w:p>
    <w:bookmarkEnd w:id="64"/>
    <w:bookmarkStart w:id="65" w:name="appendix-c-reproducibility-note"/>
    <w:p>
      <w:pPr>
        <w:pStyle w:val="Heading1"/>
      </w:pPr>
      <w:r>
        <w:rPr>
          <w:rStyle w:val="SectionNumber"/>
        </w:rPr>
        <w:t xml:space="preserve">12</w:t>
      </w:r>
      <w:r>
        <w:tab/>
      </w:r>
      <w:r>
        <w:t xml:space="preserve">Appendix C: Reproducibility Note</w:t>
      </w:r>
    </w:p>
    <w:p>
      <w:pPr>
        <w:pStyle w:val="FirstParagraph"/>
      </w:pPr>
      <w:r>
        <w:t xml:space="preserve">This document is written so that the reader can evaluate the strategy without access to code. The tables and figures are included directly in the report. If the competition submission includes a code package, that package can be used to reproduce the numbers, but the report does not require readers to inspect the code to understand the method.</w:t>
      </w:r>
    </w:p>
    <w:bookmarkEnd w:id="65"/>
    <w:bookmarkStart w:id="66" w:name="bibliography"/>
    <w:p>
      <w:pPr>
        <w:pStyle w:val="Heading1"/>
      </w:pPr>
      <w:r>
        <w:rPr>
          <w:rStyle w:val="SectionNumber"/>
        </w:rPr>
        <w:t xml:space="preserve">13</w:t>
      </w:r>
      <w:r>
        <w:tab/>
      </w:r>
      <w:r>
        <w:t xml:space="preserve">Bibliography</w:t>
      </w:r>
    </w:p>
    <w:p>
      <w:pPr>
        <w:pStyle w:val="FirstParagraph"/>
      </w:pPr>
      <w:r>
        <w:t xml:space="preserve">Bali, T. G., Cakici, N., and Whitelaw, R. F. (2011). Maxing out: Stocks as lotteries and the cross-section of expected returns.</w:t>
      </w:r>
      <w:r>
        <w:t xml:space="preserve"> </w:t>
      </w:r>
      <w:r>
        <w:rPr>
          <w:iCs/>
          <w:i/>
        </w:rPr>
        <w:t xml:space="preserve">Journal of Financial Economics</w:t>
      </w:r>
      <w:r>
        <w:t xml:space="preserve">, 99(2), 427-446.</w:t>
      </w:r>
    </w:p>
    <w:p>
      <w:pPr>
        <w:pStyle w:val="BodyText"/>
      </w:pPr>
      <w:r>
        <w:t xml:space="preserve">Brigida, M. (2025). The surprising irrelevance of total-value-locked on cryptocurrency returns.</w:t>
      </w:r>
      <w:r>
        <w:t xml:space="preserve"> </w:t>
      </w:r>
      <w:r>
        <w:rPr>
          <w:iCs/>
          <w:i/>
        </w:rPr>
        <w:t xml:space="preserve">Economics Letters</w:t>
      </w:r>
      <w:r>
        <w:t xml:space="preserve">, 257, 112673. DOI: 10.1016/j.econlet.2025.112673.</w:t>
      </w:r>
    </w:p>
    <w:p>
      <w:pPr>
        <w:pStyle w:val="BodyText"/>
      </w:pPr>
      <w:r>
        <w:t xml:space="preserve">Brigida, M. (2026).</w:t>
      </w:r>
      <w:r>
        <w:t xml:space="preserve"> </w:t>
      </w:r>
      <w:r>
        <w:rPr>
          <w:iCs/>
          <w:i/>
        </w:rPr>
        <w:t xml:space="preserve">Crypto Pricing with Hidden Factors</w:t>
      </w:r>
      <w:r>
        <w:t xml:space="preserve">. arXiv:2601.07664.</w:t>
      </w:r>
    </w:p>
    <w:p>
      <w:pPr>
        <w:pStyle w:val="BodyText"/>
      </w:pPr>
      <w:r>
        <w:t xml:space="preserve">Carhart, M. M. (1997). On persistence in mutual fund performance.</w:t>
      </w:r>
      <w:r>
        <w:t xml:space="preserve"> </w:t>
      </w:r>
      <w:r>
        <w:rPr>
          <w:iCs/>
          <w:i/>
        </w:rPr>
        <w:t xml:space="preserve">Journal of Finance</w:t>
      </w:r>
      <w:r>
        <w:t xml:space="preserve">, 52(1), 57-82.</w:t>
      </w:r>
    </w:p>
    <w:p>
      <w:pPr>
        <w:pStyle w:val="BodyText"/>
      </w:pPr>
      <w:r>
        <w:t xml:space="preserve">Chen, T., and Guestrin, C. (2016). XGBoost: A scalable tree boosting system.</w:t>
      </w:r>
      <w:r>
        <w:t xml:space="preserve"> </w:t>
      </w:r>
      <w:r>
        <w:rPr>
          <w:iCs/>
          <w:i/>
        </w:rPr>
        <w:t xml:space="preserve">Proceedings of the 22nd ACM SIGKDD International Conference on Knowledge Discovery and Data Mining</w:t>
      </w:r>
      <w:r>
        <w:t xml:space="preserve">, 785-794.</w:t>
      </w:r>
    </w:p>
    <w:p>
      <w:pPr>
        <w:pStyle w:val="BodyText"/>
      </w:pPr>
      <w:r>
        <w:t xml:space="preserve">DeMiguel, V., Garlappi, L., and Uppal, R. (2009). Optimal versus naive diversification: How inefficient is the 1/N portfolio strategy?</w:t>
      </w:r>
      <w:r>
        <w:t xml:space="preserve"> </w:t>
      </w:r>
      <w:r>
        <w:rPr>
          <w:iCs/>
          <w:i/>
        </w:rPr>
        <w:t xml:space="preserve">Review of Financial Studies</w:t>
      </w:r>
      <w:r>
        <w:t xml:space="preserve">, 22(5), 1915-1953.</w:t>
      </w:r>
    </w:p>
    <w:p>
      <w:pPr>
        <w:pStyle w:val="BodyText"/>
      </w:pPr>
      <w:r>
        <w:t xml:space="preserve">Fama, E. F., and French, K. R. (1993). Common risk factors in the returns on stocks and bonds.</w:t>
      </w:r>
      <w:r>
        <w:t xml:space="preserve"> </w:t>
      </w:r>
      <w:r>
        <w:rPr>
          <w:iCs/>
          <w:i/>
        </w:rPr>
        <w:t xml:space="preserve">Journal of Financial Economics</w:t>
      </w:r>
      <w:r>
        <w:t xml:space="preserve">, 33(1), 3-56.</w:t>
      </w:r>
    </w:p>
    <w:p>
      <w:pPr>
        <w:pStyle w:val="BodyText"/>
      </w:pPr>
      <w:r>
        <w:t xml:space="preserve">Frazzini, A., and Pedersen, L. H. (2014). Betting against beta.</w:t>
      </w:r>
      <w:r>
        <w:t xml:space="preserve"> </w:t>
      </w:r>
      <w:r>
        <w:rPr>
          <w:iCs/>
          <w:i/>
        </w:rPr>
        <w:t xml:space="preserve">Journal of Financial Economics</w:t>
      </w:r>
      <w:r>
        <w:t xml:space="preserve">, 111(1), 1-25.</w:t>
      </w:r>
    </w:p>
    <w:p>
      <w:pPr>
        <w:pStyle w:val="BodyText"/>
      </w:pPr>
      <w:r>
        <w:t xml:space="preserve">Giglio, S., and Xiu, D. (2021). Asset pricing with omitted factors.</w:t>
      </w:r>
      <w:r>
        <w:t xml:space="preserve"> </w:t>
      </w:r>
      <w:r>
        <w:rPr>
          <w:iCs/>
          <w:i/>
        </w:rPr>
        <w:t xml:space="preserve">Journal of Political Economy</w:t>
      </w:r>
      <w:r>
        <w:t xml:space="preserve">, 129(7), 1947-1990.</w:t>
      </w:r>
    </w:p>
    <w:p>
      <w:pPr>
        <w:pStyle w:val="BodyText"/>
      </w:pPr>
      <w:r>
        <w:t xml:space="preserve">Grinold, R. C., and Kahn, R. N. (2000).</w:t>
      </w:r>
      <w:r>
        <w:t xml:space="preserve"> </w:t>
      </w:r>
      <w:r>
        <w:rPr>
          <w:iCs/>
          <w:i/>
        </w:rPr>
        <w:t xml:space="preserve">Active Portfolio Management</w:t>
      </w:r>
      <w:r>
        <w:t xml:space="preserve">. McGraw-Hill.</w:t>
      </w:r>
    </w:p>
    <w:p>
      <w:pPr>
        <w:pStyle w:val="BodyText"/>
      </w:pPr>
      <w:r>
        <w:t xml:space="preserve">Han, W., Newton, D., Platanakis, E., Sutcliffe, C., and Ye, X. (2024). On the almost stochastic dominance of cryptocurrency factor portfolios and implications for cryptocurrency asset pricing.</w:t>
      </w:r>
      <w:r>
        <w:t xml:space="preserve"> </w:t>
      </w:r>
      <w:r>
        <w:rPr>
          <w:iCs/>
          <w:i/>
        </w:rPr>
        <w:t xml:space="preserve">European Financial Management</w:t>
      </w:r>
      <w:r>
        <w:t xml:space="preserve">, 30, 1125-1164. DOI: 10.1111/eufm.12431.</w:t>
      </w:r>
    </w:p>
    <w:p>
      <w:pPr>
        <w:pStyle w:val="BodyText"/>
      </w:pPr>
      <w:r>
        <w:t xml:space="preserve">Guo, L., Haerdle, W. K., and Tao, Y. (2024). A time-varying network for cryptocurrencies.</w:t>
      </w:r>
      <w:r>
        <w:t xml:space="preserve"> </w:t>
      </w:r>
      <w:r>
        <w:rPr>
          <w:iCs/>
          <w:i/>
        </w:rPr>
        <w:t xml:space="preserve">Journal of Business and Economic Statistics</w:t>
      </w:r>
      <w:r>
        <w:t xml:space="preserve">, 42(2), 437-456.</w:t>
      </w:r>
    </w:p>
    <w:p>
      <w:pPr>
        <w:pStyle w:val="BodyText"/>
      </w:pPr>
      <w:r>
        <w:t xml:space="preserve">Leshno, M., and Levy, H. (2002). Preferred by all and preferred by most decision makers: Almost stochastic dominance.</w:t>
      </w:r>
      <w:r>
        <w:t xml:space="preserve"> </w:t>
      </w:r>
      <w:r>
        <w:rPr>
          <w:iCs/>
          <w:i/>
        </w:rPr>
        <w:t xml:space="preserve">Management Science</w:t>
      </w:r>
      <w:r>
        <w:t xml:space="preserve">, 48(8), 1074-1085.</w:t>
      </w:r>
    </w:p>
    <w:p>
      <w:pPr>
        <w:pStyle w:val="BodyText"/>
      </w:pPr>
      <w:r>
        <w:t xml:space="preserve">Magdon-Ismail, M., and Atiya, A. F. (2004). Maximum drawdown.</w:t>
      </w:r>
      <w:r>
        <w:t xml:space="preserve"> </w:t>
      </w:r>
      <w:r>
        <w:rPr>
          <w:iCs/>
          <w:i/>
        </w:rPr>
        <w:t xml:space="preserve">Risk Magazine</w:t>
      </w:r>
      <w:r>
        <w:t xml:space="preserve">, 17(10), 99-102.</w:t>
      </w:r>
    </w:p>
    <w:p>
      <w:pPr>
        <w:pStyle w:val="BodyText"/>
      </w:pPr>
      <w:r>
        <w:t xml:space="preserve">Newey, W. K., and West, K. D. (1987). A simple, positive semi-definite, heteroskedasticity and autocorrelation consistent covariance matrix.</w:t>
      </w:r>
      <w:r>
        <w:t xml:space="preserve"> </w:t>
      </w:r>
      <w:r>
        <w:rPr>
          <w:iCs/>
          <w:i/>
        </w:rPr>
        <w:t xml:space="preserve">Econometrica</w:t>
      </w:r>
      <w:r>
        <w:t xml:space="preserve">, 55(3), 703-708.</w:t>
      </w:r>
    </w:p>
    <w:p>
      <w:pPr>
        <w:pStyle w:val="BodyText"/>
      </w:pPr>
      <w:r>
        <w:t xml:space="preserve">Sharpe, W. F. (1966). Mutual fund performance.</w:t>
      </w:r>
      <w:r>
        <w:t xml:space="preserve"> </w:t>
      </w:r>
      <w:r>
        <w:rPr>
          <w:iCs/>
          <w:i/>
        </w:rPr>
        <w:t xml:space="preserve">Journal of Business</w:t>
      </w:r>
      <w:r>
        <w:t xml:space="preserve">, 39(1), 119-138.</w:t>
      </w:r>
    </w:p>
    <w:p>
      <w:pPr>
        <w:pStyle w:val="BodyText"/>
      </w:pPr>
      <w:r>
        <w:t xml:space="preserve">Spearman, C. (1904). The proof and measurement of association between two things.</w:t>
      </w:r>
      <w:r>
        <w:t xml:space="preserve"> </w:t>
      </w:r>
      <w:r>
        <w:rPr>
          <w:iCs/>
          <w:i/>
        </w:rPr>
        <w:t xml:space="preserve">American Journal of Psychology</w:t>
      </w:r>
      <w:r>
        <w:t xml:space="preserve">, 15(1), 72-101.</w:t>
      </w:r>
    </w:p>
    <w:p>
      <w:pPr>
        <w:pStyle w:val="BodyText"/>
      </w:pPr>
      <w:r>
        <w:t xml:space="preserve">Stambaugh, R. F., and Yuan, Y. (2017). Mispricing factors.</w:t>
      </w:r>
      <w:r>
        <w:t xml:space="preserve"> </w:t>
      </w:r>
      <w:r>
        <w:rPr>
          <w:iCs/>
          <w:i/>
        </w:rPr>
        <w:t xml:space="preserve">Review of Financial Studies</w:t>
      </w:r>
      <w:r>
        <w:t xml:space="preserve">, 30(4), 1270-1315.</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 factor is a measurable asset characteristic used to explain or predict returns. The idea is central to modern asset-pricing research, including Fama and French (1993), Carhart (1997), and the crypto studies reviewed in this report.</w:t>
      </w:r>
    </w:p>
  </w:footnote>
  <w:footnote w:id="21">
    <w:p>
      <w:pPr>
        <w:pStyle w:val="FootnoteText"/>
      </w:pPr>
      <w:r>
        <w:rPr>
          <w:rStyle w:val="FootnoteReference"/>
        </w:rPr>
        <w:footnoteRef/>
      </w:r>
      <w:r>
        <w:t xml:space="preserve"> </w:t>
      </w:r>
      <w:r>
        <w:t xml:space="preserve">Out-of-sample means a time period reserved for testing after the strategy design is chosen. This is the standard way to reduce the risk of overfitting, although one holdout window is still not definitive.</w:t>
      </w:r>
    </w:p>
  </w:footnote>
  <w:footnote w:id="26">
    <w:p>
      <w:pPr>
        <w:pStyle w:val="FootnoteText"/>
      </w:pPr>
      <w:r>
        <w:rPr>
          <w:rStyle w:val="FootnoteReference"/>
        </w:rPr>
        <w:footnoteRef/>
      </w:r>
      <w:r>
        <w:t xml:space="preserve"> </w:t>
      </w:r>
      <w:r>
        <w:t xml:space="preserve">Han, Newton, Platanakis, Sutcliffe, and Ye (2024) apply almost stochastic dominance to cryptocurrency factor portfolios and show why standard mean-variance metrics can be incomplete for crypto.</w:t>
      </w:r>
    </w:p>
  </w:footnote>
  <w:footnote w:id="27">
    <w:p>
      <w:pPr>
        <w:pStyle w:val="FootnoteText"/>
      </w:pPr>
      <w:r>
        <w:rPr>
          <w:rStyle w:val="FootnoteReference"/>
        </w:rPr>
        <w:footnoteRef/>
      </w:r>
      <w:r>
        <w:t xml:space="preserve"> </w:t>
      </w:r>
      <w:r>
        <w:t xml:space="preserve">Giglio and Xiu (2021) develop a latent-factor asset-pricing framework that helps avoid overstating a factor premium when hidden common risks are omitted.</w:t>
      </w:r>
    </w:p>
  </w:footnote>
  <w:footnote w:id="29">
    <w:p>
      <w:pPr>
        <w:pStyle w:val="FootnoteText"/>
      </w:pPr>
      <w:r>
        <w:rPr>
          <w:rStyle w:val="FootnoteReference"/>
        </w:rPr>
        <w:footnoteRef/>
      </w:r>
      <w:r>
        <w:t xml:space="preserve"> </w:t>
      </w:r>
      <w:r>
        <w:t xml:space="preserve">The low-volatility interpretation is related to Frazzini and Pedersen (2014), who argue that leverage constraints can make safer assets earn better risk-adjusted returns than standard theory predicts.</w:t>
      </w:r>
    </w:p>
  </w:footnote>
  <w:footnote w:id="30">
    <w:p>
      <w:pPr>
        <w:pStyle w:val="FootnoteText"/>
      </w:pPr>
      <w:r>
        <w:rPr>
          <w:rStyle w:val="FootnoteReference"/>
        </w:rPr>
        <w:footnoteRef/>
      </w:r>
      <w:r>
        <w:t xml:space="preserve"> </w:t>
      </w:r>
      <w:r>
        <w:t xml:space="preserve">Bali, Cakici, and Whitelaw (2011) study lottery-like payoffs in equities. Han et al. (2024) extend related factor ideas to cryptocurrency portfolios.</w:t>
      </w:r>
    </w:p>
  </w:footnote>
  <w:footnote w:id="38">
    <w:p>
      <w:pPr>
        <w:pStyle w:val="FootnoteText"/>
      </w:pPr>
      <w:r>
        <w:rPr>
          <w:rStyle w:val="FootnoteReference"/>
        </w:rPr>
        <w:footnoteRef/>
      </w:r>
      <w:r>
        <w:t xml:space="preserve"> </w:t>
      </w:r>
      <w:r>
        <w:t xml:space="preserve">Fama and French (1993) introduce size and value factors in equities. In this project, SMBC adapts the size idea to crypto by comparing smaller and larger crypto assets.</w:t>
      </w:r>
    </w:p>
  </w:footnote>
  <w:footnote w:id="39">
    <w:p>
      <w:pPr>
        <w:pStyle w:val="FootnoteText"/>
      </w:pPr>
      <w:r>
        <w:rPr>
          <w:rStyle w:val="FootnoteReference"/>
        </w:rPr>
        <w:footnoteRef/>
      </w:r>
      <w:r>
        <w:t xml:space="preserve"> </w:t>
      </w:r>
      <w:r>
        <w:t xml:space="preserve">Stambaugh and Yuan (2017) build a mispricing composite in equities. Han et al. (2024) show that a crypto mispricing factor based on size and risk-adjusted momentum improves cryptocurrency asset-pricing performance.</w:t>
      </w:r>
    </w:p>
  </w:footnote>
  <w:footnote w:id="46">
    <w:p>
      <w:pPr>
        <w:pStyle w:val="FootnoteText"/>
      </w:pPr>
      <w:r>
        <w:rPr>
          <w:rStyle w:val="FootnoteReference"/>
        </w:rPr>
        <w:footnoteRef/>
      </w:r>
      <w:r>
        <w:t xml:space="preserve"> </w:t>
      </w:r>
      <w:r>
        <w:t xml:space="preserve">Chen and Guestrin (2016) introduce XGBoost, a regularized gradient-boosted tree system. In this report it is used only to estimate market-state probabilities.</w:t>
      </w:r>
    </w:p>
  </w:footnote>
  <w:footnote w:id="59">
    <w:p>
      <w:pPr>
        <w:pStyle w:val="FootnoteText"/>
      </w:pPr>
      <w:r>
        <w:rPr>
          <w:rStyle w:val="FootnoteReference"/>
        </w:rPr>
        <w:footnoteRef/>
      </w:r>
      <w:r>
        <w:t xml:space="preserve"> </w:t>
      </w:r>
      <w:r>
        <w:t xml:space="preserve">Hidden Markov models are commonly used for regime-switching problems. In finance they are often used to classify markets into risk-on and risk-off states.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61" Target="media/rId61.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Alpha, Risk Premia, and Regime Sizing in Crypto Factor Portfolios</dc:title>
  <dc:creator>shenron0101</dc:creator>
  <cp:keywords/>
  <dcterms:created xsi:type="dcterms:W3CDTF">2026-05-31T10:16:21Z</dcterms:created>
  <dcterms:modified xsi:type="dcterms:W3CDTF">2026-05-31T10:16:21Z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31, 2026</vt:lpwstr>
  </property>
  <property fmtid="{D5CDD505-2E9C-101B-9397-08002B2CF9AE}" pid="3" name="subtitle">
    <vt:lpwstr>A systematic weekly crypto rebalancing strategy based on validated factor signals</vt:lpwstr>
  </property>
</Properties>
</file>