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669CA">
      <w:pPr>
        <w:ind w:firstLine="720" w:firstLineChars="200"/>
        <w:jc w:val="center"/>
        <w:outlineLvl w:val="0"/>
        <w:rPr>
          <w:b/>
          <w:sz w:val="36"/>
        </w:rPr>
      </w:pPr>
      <w:bookmarkStart w:id="0" w:name="_Toc167904687"/>
      <w:r>
        <w:rPr>
          <w:rFonts w:hAnsi="宋体"/>
          <w:b/>
          <w:sz w:val="36"/>
        </w:rPr>
        <w:t>第三章</w:t>
      </w:r>
      <w:r>
        <w:rPr>
          <w:b/>
          <w:sz w:val="36"/>
        </w:rPr>
        <w:t xml:space="preserve">  </w:t>
      </w:r>
      <w:r>
        <w:rPr>
          <w:rFonts w:hint="eastAsia"/>
          <w:b/>
          <w:sz w:val="36"/>
        </w:rPr>
        <w:tab/>
      </w:r>
      <w:r>
        <w:rPr>
          <w:rFonts w:hAnsi="宋体"/>
          <w:b/>
          <w:sz w:val="36"/>
        </w:rPr>
        <w:t>招标内容及需求</w:t>
      </w:r>
      <w:bookmarkEnd w:id="0"/>
      <w:bookmarkStart w:id="1" w:name="_Toc143273545"/>
    </w:p>
    <w:bookmarkEnd w:id="1"/>
    <w:p w14:paraId="216F4A84">
      <w:pPr>
        <w:snapToGrid w:val="0"/>
        <w:spacing w:line="600" w:lineRule="exact"/>
        <w:ind w:firstLine="480" w:firstLineChars="200"/>
        <w:rPr>
          <w:rFonts w:hint="eastAsia" w:ascii="宋体" w:hAnsi="宋体" w:cs="仿宋_GB2312"/>
          <w:b/>
          <w:sz w:val="24"/>
          <w:szCs w:val="24"/>
        </w:rPr>
      </w:pPr>
      <w:r>
        <w:rPr>
          <w:rFonts w:hint="eastAsia" w:ascii="宋体" w:hAnsi="宋体" w:cs="仿宋_GB2312"/>
          <w:b/>
          <w:sz w:val="24"/>
          <w:szCs w:val="24"/>
        </w:rPr>
        <w:t xml:space="preserve"> </w:t>
      </w:r>
    </w:p>
    <w:p w14:paraId="3E2D62F9">
      <w:pPr>
        <w:snapToGrid w:val="0"/>
        <w:spacing w:line="600" w:lineRule="exact"/>
        <w:ind w:firstLine="480" w:firstLineChars="200"/>
        <w:outlineLvl w:val="1"/>
        <w:rPr>
          <w:rFonts w:hint="eastAsia" w:ascii="宋体" w:hAnsi="宋体" w:cs="宋体"/>
          <w:b/>
          <w:bCs/>
          <w:sz w:val="24"/>
          <w:szCs w:val="24"/>
        </w:rPr>
      </w:pPr>
      <w:r>
        <w:rPr>
          <w:rFonts w:hint="eastAsia" w:ascii="宋体" w:hAnsi="宋体" w:cs="宋体"/>
          <w:b/>
          <w:bCs/>
          <w:sz w:val="24"/>
          <w:szCs w:val="24"/>
        </w:rPr>
        <w:t>一、项目背景</w:t>
      </w:r>
    </w:p>
    <w:p w14:paraId="34F99235">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为转型升级VIP客户亲情关爱类服务模式，提升招标人金卡及以上高端客户生日尊享礼遇和年度奢享礼遇服务体验，招标人需在“信泰保险官微”搭建积分商城，在根据VIP客户层级差异化匹配生日积分和年度积分的基础上，客户可使用该积分在积分商城自助、便捷地兑换心仪的商品，提升招标人公司的服务品牌。</w:t>
      </w:r>
    </w:p>
    <w:p w14:paraId="563EE94C">
      <w:pPr>
        <w:widowControl/>
        <w:spacing w:line="560" w:lineRule="exact"/>
        <w:ind w:right="420" w:rightChars="200" w:firstLine="480" w:firstLineChars="200"/>
        <w:outlineLvl w:val="1"/>
        <w:rPr>
          <w:rFonts w:hint="eastAsia" w:ascii="宋体" w:hAnsi="宋体" w:cs="宋体"/>
          <w:b/>
          <w:bCs/>
          <w:sz w:val="24"/>
          <w:szCs w:val="24"/>
        </w:rPr>
      </w:pPr>
      <w:r>
        <w:rPr>
          <w:rFonts w:hint="eastAsia" w:ascii="宋体" w:hAnsi="宋体" w:cs="宋体"/>
          <w:b/>
          <w:bCs/>
          <w:sz w:val="24"/>
          <w:szCs w:val="24"/>
        </w:rPr>
        <w:t>二、项目需求</w:t>
      </w:r>
    </w:p>
    <w:p w14:paraId="77FCFAC7">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项目名称：信泰保险积分商城服务项目</w:t>
      </w:r>
    </w:p>
    <w:p w14:paraId="482E60E5">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b/>
          <w:bCs/>
          <w:sz w:val="24"/>
          <w:szCs w:val="24"/>
        </w:rPr>
        <w:t>（一）合作前提：</w:t>
      </w:r>
      <w:r>
        <w:rPr>
          <w:rFonts w:hint="eastAsia" w:ascii="宋体" w:hAnsi="宋体" w:cs="宋体"/>
          <w:sz w:val="24"/>
          <w:szCs w:val="24"/>
        </w:rPr>
        <w:t>拥有稳定、成熟、完整的系统架构，</w:t>
      </w:r>
      <w:bookmarkStart w:id="2" w:name="OLE_LINK1"/>
      <w:r>
        <w:rPr>
          <w:rFonts w:hint="eastAsia" w:ascii="宋体" w:hAnsi="宋体" w:cs="宋体"/>
          <w:sz w:val="24"/>
          <w:szCs w:val="24"/>
        </w:rPr>
        <w:t>提供API接口，支持与招标人业务系统（如官微、集采平台、核心系统）及招标人提供的各类供应商系统的对接</w:t>
      </w:r>
      <w:bookmarkEnd w:id="2"/>
      <w:r>
        <w:rPr>
          <w:rFonts w:hint="eastAsia" w:ascii="宋体" w:hAnsi="宋体" w:cs="宋体"/>
          <w:sz w:val="24"/>
          <w:szCs w:val="24"/>
        </w:rPr>
        <w:t>；基于《中华人民共和国网络安全法》《中华人民共和国数据安全法》《中华人民共和国个人信息保护法》要求，有完备的数据安全技术保护措施和资质。</w:t>
      </w:r>
    </w:p>
    <w:p w14:paraId="1EC7F671">
      <w:pPr>
        <w:widowControl/>
        <w:spacing w:line="560" w:lineRule="exact"/>
        <w:ind w:right="420" w:rightChars="200" w:firstLine="480" w:firstLineChars="200"/>
        <w:rPr>
          <w:rFonts w:hint="eastAsia" w:ascii="宋体" w:hAnsi="宋体" w:cs="宋体"/>
          <w:sz w:val="24"/>
          <w:szCs w:val="24"/>
        </w:rPr>
      </w:pPr>
      <w:bookmarkStart w:id="3" w:name="OLE_LINK4"/>
      <w:r>
        <w:rPr>
          <w:rFonts w:hint="eastAsia" w:ascii="宋体" w:hAnsi="宋体" w:cs="宋体"/>
          <w:b/>
          <w:bCs/>
          <w:sz w:val="24"/>
          <w:szCs w:val="24"/>
        </w:rPr>
        <w:t>（二）采购服务期</w:t>
      </w:r>
      <w:r>
        <w:rPr>
          <w:rFonts w:hint="eastAsia" w:ascii="宋体" w:hAnsi="宋体" w:cs="宋体"/>
          <w:bCs/>
          <w:sz w:val="24"/>
          <w:szCs w:val="24"/>
        </w:rPr>
        <w:t>：</w:t>
      </w:r>
      <w:bookmarkEnd w:id="3"/>
      <w:r>
        <w:rPr>
          <w:rFonts w:hint="eastAsia" w:ascii="宋体" w:hAnsi="宋体" w:cs="宋体"/>
          <w:sz w:val="24"/>
          <w:szCs w:val="24"/>
        </w:rPr>
        <w:t>3年，合同一年一签，招标人每年对服务单位的服务开展情况进行综合评价，服务单位应配合招标人进行服务项目及内容的优化。</w:t>
      </w:r>
    </w:p>
    <w:p w14:paraId="160EA1C2">
      <w:pPr>
        <w:widowControl/>
        <w:spacing w:line="560" w:lineRule="exact"/>
        <w:ind w:right="420" w:rightChars="200" w:firstLine="420" w:firstLineChars="200"/>
        <w:rPr>
          <w:rFonts w:hint="eastAsia" w:ascii="宋体" w:hAnsi="宋体" w:cs="宋体"/>
          <w:sz w:val="24"/>
          <w:szCs w:val="24"/>
        </w:rPr>
      </w:pPr>
      <w:r>
        <w:rPr>
          <w:rFonts w:hint="eastAsia"/>
        </w:rPr>
        <w:t>★</w:t>
      </w:r>
      <w:r>
        <w:rPr>
          <w:rFonts w:hint="eastAsia" w:ascii="宋体" w:hAnsi="宋体" w:cs="宋体"/>
          <w:b/>
          <w:bCs/>
          <w:sz w:val="24"/>
          <w:szCs w:val="24"/>
        </w:rPr>
        <w:t>（三）合作方的主要工作任务：</w:t>
      </w:r>
      <w:r>
        <w:rPr>
          <w:rFonts w:hint="eastAsia" w:ascii="宋体" w:hAnsi="宋体" w:cs="宋体"/>
          <w:sz w:val="24"/>
          <w:szCs w:val="24"/>
        </w:rPr>
        <w:t xml:space="preserve"> </w:t>
      </w:r>
    </w:p>
    <w:p w14:paraId="5725849A">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1.积分商城团队的搭建与支持</w:t>
      </w:r>
    </w:p>
    <w:p w14:paraId="626CD42D">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2.积分商城整体系统的架设与对接</w:t>
      </w:r>
    </w:p>
    <w:p w14:paraId="6F85B676">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3.积分商城界面设计及功能布局</w:t>
      </w:r>
    </w:p>
    <w:p w14:paraId="16043250">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4.积分商城的整体运营与活动运维</w:t>
      </w:r>
    </w:p>
    <w:p w14:paraId="08749D63">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5.积分商城的客户服务与售后支持</w:t>
      </w:r>
    </w:p>
    <w:p w14:paraId="25BCC02A">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6.积分商城的数据管理与使用分析</w:t>
      </w:r>
    </w:p>
    <w:p w14:paraId="58F2C547">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7.积分商城的商品供应与质量管控</w:t>
      </w:r>
    </w:p>
    <w:p w14:paraId="5D4DBC27">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8.积分兑换商品比率设置</w:t>
      </w:r>
    </w:p>
    <w:p w14:paraId="573003D6">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9.安全保护管理机制</w:t>
      </w:r>
    </w:p>
    <w:p w14:paraId="0334DC99">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sz w:val="24"/>
          <w:szCs w:val="24"/>
        </w:rPr>
        <w:t>10.对账与结算</w:t>
      </w:r>
    </w:p>
    <w:p w14:paraId="156F72D4">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（四）完成上述任务需要考虑的细节：</w:t>
      </w:r>
    </w:p>
    <w:p w14:paraId="41685DD7">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1.积分商城团队的搭建与支持</w:t>
      </w:r>
    </w:p>
    <w:p w14:paraId="4EE94702">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需根据招标人的积分商城搭建需求、运营需求和服务需求建立专门的服务队伍，</w:t>
      </w:r>
      <w:bookmarkStart w:id="4" w:name="OLE_LINK7"/>
      <w:r>
        <w:rPr>
          <w:rFonts w:hint="eastAsia" w:ascii="宋体" w:hAnsi="宋体" w:cs="宋体"/>
          <w:sz w:val="24"/>
          <w:szCs w:val="24"/>
        </w:rPr>
        <w:t>该服务队伍需包含技术研发人员(含信息科技安全人员)</w:t>
      </w:r>
      <w:bookmarkEnd w:id="4"/>
      <w:r>
        <w:rPr>
          <w:rFonts w:hint="eastAsia" w:ascii="宋体" w:hAnsi="宋体" w:cs="宋体"/>
          <w:sz w:val="24"/>
          <w:szCs w:val="24"/>
        </w:rPr>
        <w:t>、商城运营人员、售后服务人员、供应链管理（资源整合）人员等关键岗位人员，服务队伍人数不少于8人，以保障本次优化升级及后续运营需求。</w:t>
      </w:r>
    </w:p>
    <w:p w14:paraId="13B8C486">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2.积分商城整体系统的架设与对接</w:t>
      </w:r>
    </w:p>
    <w:p w14:paraId="36096250">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积分商城系统需架设在招标人“信泰保险官微”公众号上，客户点击即可快速实现跳转；相关数据需通过“信泰保险官微”进行传输、交互；客户积分需在积分商城上予以体现，便于客户随时了解积分情况，提升积分兑换便捷度。</w:t>
      </w:r>
    </w:p>
    <w:p w14:paraId="1F409EDC">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lang w:val="en-US" w:eastAsia="zh-CN"/>
        </w:rPr>
        <w:t xml:space="preserve"> </w:t>
      </w:r>
      <w:r>
        <w:rPr>
          <w:rFonts w:hint="eastAsia" w:ascii="宋体" w:hAnsi="宋体" w:cs="宋体"/>
          <w:sz w:val="24"/>
          <w:szCs w:val="24"/>
        </w:rPr>
        <w:t>（3）在标准版积分商城的基础上，需根据招标人的个性化需求，支持积分商城整体系统、部分功能的定制化设计及开发，提升兑换体验，包括但不限于会员专区、活动专区、兑换专区、特色商品专区（如康养、农产品、家政保洁及生活服务）等专属模块的搭建。</w:t>
      </w:r>
    </w:p>
    <w:p w14:paraId="6368E268">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（4）提供API接口，支持与招标人业务系统（如官微、集采平台、核心系统）及招标人现有或未来引入的多家供应商系统的对接，实现客户、商品、订单及运营数据的无缝衔接与统一管理。</w:t>
      </w:r>
    </w:p>
    <w:p w14:paraId="25B81C91">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（5）针对客户行为进行数据埋点，后续可根据需要进行客户行为分析；需支持详细的订单及交易记录查询功能，确保销售数据透明化，方便后期对账。</w:t>
      </w:r>
    </w:p>
    <w:p w14:paraId="346AE869">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（6）建有全面的、自动化数据管理后台系统及报表体系，可针对招标人积分商城运行情况实现相关运营数据的自动化分析，并可支持导出相应的报表。</w:t>
      </w:r>
    </w:p>
    <w:p w14:paraId="1718A11C">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7）供应商管理平台能力：投标人须拥有独立的供应商管理后台或成熟模块，能够证明其可实现对多供应商的标准化入驻、合同与资质管理、商品审核与上下架、绩效评估与汰换的全生命周期管理，并支持招标人相关人员查看相关数据。</w:t>
      </w:r>
    </w:p>
    <w:p w14:paraId="03FE8FCE">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3.积分商城界面设计及功能布局</w:t>
      </w:r>
    </w:p>
    <w:p w14:paraId="691BEF5C">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（1）商城整体界面的设计和布局需参考淘宝、京东等知名电商平台，给人简约、明快、舒适、温暖的视觉体验，并可根据招标人的个性化需求随时予以调整和更新。</w:t>
      </w:r>
    </w:p>
    <w:p w14:paraId="662323ED">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2）商城需围绕客户的兑换需求和应用体验进行功能设计，包括但不限于商品分类、商品关键字筛选、商品关键字搜索、商品兑换、订单支付（需支持积分支付、积分+现金支付、现金支付三种模式）、订单追踪、售后服务等，切实满足客户全流程服务需求；售后服务模块需支持可查看整单退换货或部分退换货信息，并根据客户的具体操作进行积分的返还，确保客户端无异议。</w:t>
      </w:r>
    </w:p>
    <w:p w14:paraId="2C3E8CDB">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（3）根据传统节假日或招标人公司要求，进行特定时点界面设计、上线与推广；</w:t>
      </w:r>
    </w:p>
    <w:p w14:paraId="672B6288">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（4）提供清晰的操作指引，支持积分查询、积分兑换、商品收藏、分享等功能，提升用户粘性。</w:t>
      </w:r>
    </w:p>
    <w:p w14:paraId="2B5D183D">
      <w:pPr>
        <w:pStyle w:val="3"/>
        <w:widowControl/>
        <w:ind w:firstLine="480" w:firstLineChars="200"/>
        <w:rPr>
          <w:rFonts w:hint="eastAsia"/>
        </w:rPr>
      </w:pPr>
      <w:r>
        <w:rPr>
          <w:rFonts w:hint="eastAsia" w:ascii="宋体" w:hAnsi="宋体" w:eastAsia="宋体" w:cs="宋体"/>
          <w:b w:val="0"/>
          <w:bCs w:val="0"/>
          <w:sz w:val="24"/>
          <w:szCs w:val="24"/>
        </w:rPr>
        <w:t>（5）可实现“千人千面”智能推荐。</w:t>
      </w:r>
    </w:p>
    <w:p w14:paraId="0749ADC3">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4.积分商城的整体运营与活动运维</w:t>
      </w:r>
    </w:p>
    <w:p w14:paraId="23F49323">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（1）整体运营内容</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3"/>
        <w:gridCol w:w="6425"/>
      </w:tblGrid>
      <w:tr w14:paraId="47C9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923" w:type="dxa"/>
            <w:noWrap w:val="0"/>
            <w:vAlign w:val="center"/>
          </w:tcPr>
          <w:p w14:paraId="4B68D22B">
            <w:pPr>
              <w:ind w:right="420" w:rightChars="200"/>
              <w:jc w:val="center"/>
              <w:rPr>
                <w:rFonts w:hint="eastAsia" w:ascii="宋体" w:hAnsi="宋体" w:cs="宋体"/>
                <w:b/>
                <w:bCs/>
                <w:sz w:val="24"/>
                <w:szCs w:val="24"/>
              </w:rPr>
            </w:pPr>
            <w:r>
              <w:rPr>
                <w:rFonts w:hint="eastAsia" w:ascii="宋体" w:hAnsi="宋体" w:cs="宋体"/>
                <w:b/>
                <w:bCs/>
                <w:sz w:val="24"/>
                <w:szCs w:val="24"/>
              </w:rPr>
              <w:t>运营模块</w:t>
            </w:r>
          </w:p>
        </w:tc>
        <w:tc>
          <w:tcPr>
            <w:tcW w:w="6425" w:type="dxa"/>
            <w:noWrap w:val="0"/>
            <w:vAlign w:val="center"/>
          </w:tcPr>
          <w:p w14:paraId="4530F5A1">
            <w:pPr>
              <w:ind w:right="420" w:rightChars="200"/>
              <w:jc w:val="center"/>
              <w:rPr>
                <w:rFonts w:hint="eastAsia" w:ascii="宋体" w:hAnsi="宋体" w:cs="宋体"/>
                <w:b/>
                <w:bCs/>
                <w:sz w:val="24"/>
                <w:szCs w:val="24"/>
              </w:rPr>
            </w:pPr>
            <w:r>
              <w:rPr>
                <w:rFonts w:hint="eastAsia" w:ascii="宋体" w:hAnsi="宋体" w:cs="宋体"/>
                <w:b/>
                <w:bCs/>
                <w:sz w:val="24"/>
                <w:szCs w:val="24"/>
              </w:rPr>
              <w:t>运营内容</w:t>
            </w:r>
          </w:p>
        </w:tc>
      </w:tr>
      <w:tr w14:paraId="32C8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1923" w:type="dxa"/>
            <w:vMerge w:val="restart"/>
            <w:noWrap w:val="0"/>
            <w:vAlign w:val="center"/>
          </w:tcPr>
          <w:p w14:paraId="5DD52693">
            <w:pPr>
              <w:ind w:right="420" w:rightChars="200"/>
              <w:rPr>
                <w:rFonts w:hint="eastAsia" w:ascii="宋体" w:hAnsi="宋体" w:cs="宋体"/>
                <w:sz w:val="24"/>
                <w:szCs w:val="24"/>
              </w:rPr>
            </w:pPr>
            <w:r>
              <w:rPr>
                <w:rFonts w:hint="eastAsia" w:ascii="宋体" w:hAnsi="宋体" w:cs="宋体"/>
                <w:sz w:val="24"/>
                <w:szCs w:val="24"/>
              </w:rPr>
              <w:t>资源整合与供应链管理</w:t>
            </w:r>
          </w:p>
        </w:tc>
        <w:tc>
          <w:tcPr>
            <w:tcW w:w="6425" w:type="dxa"/>
            <w:noWrap w:val="0"/>
            <w:vAlign w:val="center"/>
          </w:tcPr>
          <w:p w14:paraId="71483AE0">
            <w:pPr>
              <w:ind w:right="420" w:rightChars="200"/>
              <w:rPr>
                <w:rFonts w:hint="eastAsia" w:ascii="宋体" w:hAnsi="宋体" w:cs="宋体"/>
                <w:sz w:val="24"/>
                <w:szCs w:val="24"/>
              </w:rPr>
            </w:pPr>
            <w:r>
              <w:rPr>
                <w:rFonts w:hint="eastAsia" w:ascii="宋体" w:hAnsi="宋体" w:cs="宋体"/>
                <w:sz w:val="24"/>
                <w:szCs w:val="24"/>
              </w:rPr>
              <w:t>1.具备多供应商资源整合与统一管理能力，可支持信泰保险自有商品、现有签约供应商商品及本次招标后新增供应商商品的统一接入、上架与销售管理。</w:t>
            </w:r>
          </w:p>
        </w:tc>
      </w:tr>
      <w:tr w14:paraId="3689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923" w:type="dxa"/>
            <w:vMerge w:val="continue"/>
            <w:noWrap w:val="0"/>
            <w:vAlign w:val="center"/>
          </w:tcPr>
          <w:p w14:paraId="76C308B9">
            <w:pPr>
              <w:ind w:right="420" w:rightChars="200"/>
              <w:rPr>
                <w:rFonts w:hint="eastAsia" w:ascii="宋体" w:hAnsi="宋体" w:cs="宋体"/>
                <w:sz w:val="24"/>
                <w:szCs w:val="24"/>
              </w:rPr>
            </w:pPr>
          </w:p>
        </w:tc>
        <w:tc>
          <w:tcPr>
            <w:tcW w:w="6425" w:type="dxa"/>
            <w:noWrap w:val="0"/>
            <w:vAlign w:val="center"/>
          </w:tcPr>
          <w:p w14:paraId="5CFE396A">
            <w:pPr>
              <w:ind w:right="420" w:rightChars="200"/>
              <w:rPr>
                <w:rFonts w:hint="eastAsia" w:ascii="宋体" w:hAnsi="宋体" w:cs="宋体"/>
                <w:sz w:val="24"/>
                <w:szCs w:val="24"/>
              </w:rPr>
            </w:pPr>
            <w:r>
              <w:rPr>
                <w:rFonts w:hint="eastAsia" w:ascii="宋体" w:hAnsi="宋体" w:cs="宋体"/>
                <w:sz w:val="24"/>
                <w:szCs w:val="24"/>
              </w:rPr>
              <w:t>2.支持与京东、苏宁、中粮或其他电商平台的API对接，充分满足客户丰富多样的个性化兑换需求。</w:t>
            </w:r>
          </w:p>
        </w:tc>
      </w:tr>
      <w:tr w14:paraId="7A87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1923" w:type="dxa"/>
            <w:vMerge w:val="continue"/>
            <w:noWrap w:val="0"/>
            <w:vAlign w:val="center"/>
          </w:tcPr>
          <w:p w14:paraId="4F3C37EA">
            <w:pPr>
              <w:ind w:right="420" w:rightChars="200"/>
              <w:rPr>
                <w:rFonts w:hint="eastAsia" w:ascii="宋体" w:hAnsi="宋体" w:cs="宋体"/>
                <w:sz w:val="24"/>
                <w:szCs w:val="24"/>
              </w:rPr>
            </w:pPr>
          </w:p>
        </w:tc>
        <w:tc>
          <w:tcPr>
            <w:tcW w:w="6425" w:type="dxa"/>
            <w:noWrap w:val="0"/>
            <w:vAlign w:val="center"/>
          </w:tcPr>
          <w:p w14:paraId="474D16B2">
            <w:pPr>
              <w:ind w:right="420" w:rightChars="200" w:firstLine="480" w:firstLineChars="200"/>
              <w:rPr>
                <w:rFonts w:hint="eastAsia" w:ascii="宋体" w:hAnsi="宋体" w:cs="宋体"/>
                <w:sz w:val="24"/>
                <w:szCs w:val="24"/>
              </w:rPr>
            </w:pPr>
            <w:r>
              <w:rPr>
                <w:rFonts w:hint="eastAsia" w:ascii="宋体" w:hAnsi="宋体" w:cs="宋体"/>
                <w:sz w:val="24"/>
                <w:szCs w:val="24"/>
              </w:rPr>
              <w:t>3.能够积极探索并接入特色权益与生活服务类资源（如康养、农产品、特色商品，以及家政保洁等服务），并设立相应专区进行运营。</w:t>
            </w:r>
          </w:p>
          <w:p w14:paraId="421F173B">
            <w:pPr>
              <w:ind w:right="420" w:rightChars="200" w:firstLine="480" w:firstLineChars="200"/>
              <w:rPr>
                <w:rFonts w:hint="eastAsia" w:ascii="宋体" w:hAnsi="宋体" w:cs="宋体"/>
                <w:sz w:val="24"/>
                <w:szCs w:val="24"/>
              </w:rPr>
            </w:pPr>
            <w:r>
              <w:rPr>
                <w:rFonts w:hint="eastAsia" w:ascii="宋体" w:hAnsi="宋体" w:cs="宋体"/>
                <w:sz w:val="24"/>
                <w:szCs w:val="24"/>
              </w:rPr>
              <w:t>4.支持鲜花、水果等生鲜配送，其中针对鲜花、水果可实现客户针对实物在指定日期、指定地点的保质保量配送，满足客户需要。</w:t>
            </w:r>
          </w:p>
        </w:tc>
      </w:tr>
      <w:tr w14:paraId="5D4D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jc w:val="center"/>
        </w:trPr>
        <w:tc>
          <w:tcPr>
            <w:tcW w:w="1923" w:type="dxa"/>
            <w:noWrap w:val="0"/>
            <w:vAlign w:val="center"/>
          </w:tcPr>
          <w:p w14:paraId="3A939DF0">
            <w:pPr>
              <w:ind w:right="420" w:rightChars="200"/>
              <w:rPr>
                <w:rFonts w:hint="eastAsia" w:ascii="宋体" w:hAnsi="宋体" w:cs="宋体"/>
                <w:sz w:val="24"/>
                <w:szCs w:val="24"/>
              </w:rPr>
            </w:pPr>
            <w:r>
              <w:rPr>
                <w:rFonts w:hint="eastAsia" w:ascii="宋体" w:hAnsi="宋体" w:cs="宋体"/>
                <w:sz w:val="24"/>
                <w:szCs w:val="24"/>
              </w:rPr>
              <w:t>商品库存管理</w:t>
            </w:r>
          </w:p>
        </w:tc>
        <w:tc>
          <w:tcPr>
            <w:tcW w:w="6425" w:type="dxa"/>
            <w:noWrap w:val="0"/>
            <w:vAlign w:val="center"/>
          </w:tcPr>
          <w:p w14:paraId="64ED0BB2">
            <w:pPr>
              <w:ind w:right="420" w:rightChars="200"/>
              <w:rPr>
                <w:rFonts w:hint="eastAsia" w:ascii="宋体" w:hAnsi="宋体" w:cs="宋体"/>
                <w:sz w:val="24"/>
                <w:szCs w:val="24"/>
              </w:rPr>
            </w:pPr>
            <w:r>
              <w:rPr>
                <w:rFonts w:hint="eastAsia" w:ascii="宋体" w:hAnsi="宋体" w:cs="宋体"/>
                <w:sz w:val="24"/>
                <w:szCs w:val="24"/>
              </w:rPr>
              <w:t>拥有完善的商品库存动态监测管理体系，可根据兑换数量、上架周期等维度精准设定商品库存警戒值，并及时联系供应商补充低于警戒值的商品，确保客户正常兑换。</w:t>
            </w:r>
          </w:p>
        </w:tc>
      </w:tr>
      <w:tr w14:paraId="6C5E0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923" w:type="dxa"/>
            <w:noWrap w:val="0"/>
            <w:vAlign w:val="center"/>
          </w:tcPr>
          <w:p w14:paraId="4A66F41A">
            <w:pPr>
              <w:ind w:right="420" w:rightChars="200"/>
              <w:rPr>
                <w:rFonts w:hint="eastAsia" w:ascii="宋体" w:hAnsi="宋体" w:cs="宋体"/>
                <w:sz w:val="24"/>
                <w:szCs w:val="24"/>
              </w:rPr>
            </w:pPr>
            <w:r>
              <w:rPr>
                <w:rFonts w:hint="eastAsia" w:ascii="宋体" w:hAnsi="宋体" w:cs="宋体"/>
                <w:sz w:val="24"/>
                <w:szCs w:val="24"/>
              </w:rPr>
              <w:t>订单支付管理</w:t>
            </w:r>
          </w:p>
        </w:tc>
        <w:tc>
          <w:tcPr>
            <w:tcW w:w="6425" w:type="dxa"/>
            <w:noWrap w:val="0"/>
            <w:vAlign w:val="center"/>
          </w:tcPr>
          <w:p w14:paraId="1522C138">
            <w:pPr>
              <w:ind w:right="420" w:rightChars="200"/>
              <w:rPr>
                <w:rFonts w:hint="eastAsia" w:ascii="宋体" w:hAnsi="宋体" w:cs="宋体"/>
                <w:sz w:val="24"/>
                <w:szCs w:val="24"/>
              </w:rPr>
            </w:pPr>
            <w:r>
              <w:rPr>
                <w:rFonts w:hint="eastAsia" w:ascii="宋体" w:hAnsi="宋体" w:cs="宋体"/>
                <w:sz w:val="24"/>
                <w:szCs w:val="24"/>
              </w:rPr>
              <w:t>订单需支持积分支付、积分+现金支付、现金支付三种方式；现金支付部分支持借记卡、信用卡、微信、支付宝等多种主流支付手段。</w:t>
            </w:r>
          </w:p>
        </w:tc>
      </w:tr>
      <w:tr w14:paraId="53B6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3" w:hRule="atLeast"/>
          <w:jc w:val="center"/>
        </w:trPr>
        <w:tc>
          <w:tcPr>
            <w:tcW w:w="1923" w:type="dxa"/>
            <w:noWrap w:val="0"/>
            <w:vAlign w:val="center"/>
          </w:tcPr>
          <w:p w14:paraId="71D8623D">
            <w:pPr>
              <w:ind w:right="420" w:rightChars="200"/>
              <w:rPr>
                <w:rFonts w:hint="eastAsia" w:ascii="宋体" w:hAnsi="宋体" w:cs="宋体"/>
                <w:sz w:val="24"/>
                <w:szCs w:val="24"/>
              </w:rPr>
            </w:pPr>
            <w:r>
              <w:rPr>
                <w:rFonts w:hint="eastAsia" w:ascii="宋体" w:hAnsi="宋体" w:cs="宋体"/>
                <w:sz w:val="24"/>
                <w:szCs w:val="24"/>
              </w:rPr>
              <w:t>一体化订单与物流管理</w:t>
            </w:r>
          </w:p>
        </w:tc>
        <w:tc>
          <w:tcPr>
            <w:tcW w:w="6425" w:type="dxa"/>
            <w:noWrap w:val="0"/>
            <w:vAlign w:val="center"/>
          </w:tcPr>
          <w:p w14:paraId="6E82E50E">
            <w:pPr>
              <w:ind w:right="420" w:rightChars="200"/>
              <w:rPr>
                <w:rFonts w:hint="eastAsia" w:ascii="宋体" w:hAnsi="宋体" w:cs="宋体"/>
                <w:sz w:val="24"/>
                <w:szCs w:val="24"/>
              </w:rPr>
            </w:pPr>
            <w:r>
              <w:rPr>
                <w:rFonts w:hint="eastAsia" w:ascii="宋体" w:hAnsi="宋体" w:cs="宋体"/>
                <w:sz w:val="24"/>
                <w:szCs w:val="24"/>
              </w:rPr>
              <w:t>建立涵盖售前咨询、下单、物流跟踪的一体化运营流程，确保客户咨询响应时间不超过2小时，订单处理（确认、分拣）时间不超过24小时，并承诺核心城市订单从下单至送达的全程时效（如72小时内）。订单支持顺丰、EMS、京东及其他物流配送服务，确保商品及时、准确、有效地送达至客户手中；支持与第三方物流系统对接，实时更新物流信息，并提供可视化的物流追踪体验。</w:t>
            </w:r>
          </w:p>
        </w:tc>
      </w:tr>
    </w:tbl>
    <w:p w14:paraId="61CEBF7C">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（2）活动运维内容</w:t>
      </w:r>
    </w:p>
    <w:p w14:paraId="5BC7CD61">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①支持积分商城链接转发功能（客户点击链接可直接跳转到积分商城相应界面）；</w:t>
      </w:r>
    </w:p>
    <w:p w14:paraId="1D7E235F">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②根据招标人的个性化需求，支持在积分商城内上线相关的推送活动，包括但不限于生日礼遇活动、年度礼遇活动、主题节日活动、抽奖及签到活动、商品秒杀活动、有奖问答、限时兑换、积分盲盒、积分游戏等，满足客户多元化的活动参与需求；投标人须承诺在合作期内，每年策划并执行不少于4次全平台大型主题营销活动（如618、双11）及12次以上月度特色活动（如秒杀周）。其中，“限时秒杀”必须作为常态化营销工具，每月至少上线一个秒杀专场，并具备完整的流量控制、库存锁定与订单压测方案，确保活动期间系统稳定、体验流畅。</w:t>
      </w:r>
    </w:p>
    <w:p w14:paraId="3BB7A03A">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5.积分商城的客户服务与售后支持</w:t>
      </w:r>
    </w:p>
    <w:p w14:paraId="1D489856">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①投标人需具备成熟的售后服务体系和售后服务团队（含自有客服热线）、完善的权益服务售后工作处理机制；</w:t>
      </w:r>
    </w:p>
    <w:p w14:paraId="5DF5C80C">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②随时接受客户服务咨询及投诉处理，实现客户反馈的及时跟进和有效闭环，切实保障客户体验。</w:t>
      </w:r>
    </w:p>
    <w:p w14:paraId="7983C72E">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建立平台一体化售后服务体系，支持整单退换货或部分退换货，并根据客户的具体操作进行积分、现金的返还，确保客户端无异议。电话服务体系中设立客户服务专线，支持7*12小时电话服务，并强化与前端运营的协同。建有高效的在线客户服务体系，支持7*24小时线上自助应答服务与人工服务接入。</w:t>
      </w:r>
    </w:p>
    <w:p w14:paraId="44D4380C">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6.积分商城的数据管理与使用分析</w:t>
      </w:r>
    </w:p>
    <w:p w14:paraId="3F6858EF">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投标人需具备合法合规的数据采集和分析能力，为积分商城的运营提供数据支撑和分析决策。须确保订单及交易数据的完整性与透明性，支持详细的交易记录查询与导出功能，便于双方进行数据核对与结算对账。</w:t>
      </w:r>
    </w:p>
    <w:p w14:paraId="5AB59DE2">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7.积分商城的商品供应与质量管控</w:t>
      </w:r>
    </w:p>
    <w:p w14:paraId="519AFE8C">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（1）供应商与品控标准：</w:t>
      </w:r>
    </w:p>
    <w:p w14:paraId="36CFA1F7">
      <w:pPr>
        <w:widowControl/>
        <w:spacing w:line="560" w:lineRule="exact"/>
        <w:ind w:right="420" w:rightChars="200" w:firstLine="480" w:firstLineChars="200"/>
        <w:rPr>
          <w:rFonts w:ascii="宋体" w:hAnsi="宋体" w:cs="宋体"/>
          <w:sz w:val="24"/>
          <w:szCs w:val="24"/>
        </w:rPr>
      </w:pPr>
      <w:r>
        <w:rPr>
          <w:rFonts w:hint="eastAsia" w:ascii="宋体" w:hAnsi="宋体" w:cs="宋体"/>
          <w:sz w:val="24"/>
          <w:szCs w:val="24"/>
        </w:rPr>
        <w:t>1.1 商品供应：按招标文件明确的商品品类分类清单，应保证京东自营店或官方旗舰店在售同款商品均可提供上架。</w:t>
      </w:r>
    </w:p>
    <w:p w14:paraId="4D1D42E0">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1.2 提供此类商品的供应商须为全国性知名品牌或优质供应链企业，需提供过往服务大型企业客户的成功案例。</w:t>
      </w:r>
    </w:p>
    <w:p w14:paraId="04951781">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1.3 商品需有明确、公开的等级标准（如鲜花需明确主花材品种、数量、辅材搭配及保鲜标准；水果需明确产地、规格、糖度、品牌等），每批次发货前须提供标准化包装的实物照片存档。</w:t>
      </w:r>
    </w:p>
    <w:p w14:paraId="1D51140A">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（2）服务履约标准：须支持全国地级市以上城市的配送覆盖，承诺非偏远地区下单后72小时内送达的履约率不低于95%，必须提供至少提前7天的预约配送服务，并保证预约日期当日送达。</w:t>
      </w:r>
    </w:p>
    <w:p w14:paraId="19738A3C">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（3）定制商品支持要求</w:t>
      </w:r>
    </w:p>
    <w:p w14:paraId="517B109E">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3.1.定制商品定义及服务要求</w:t>
      </w:r>
    </w:p>
    <w:p w14:paraId="494F65EF">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本项目所称定制商品，是指根据招标人要求，由供应商或其合作供应商开发、采购、生产或提供的，带有招标人品牌标识、联名元素、专属包装、专属配置或专属价格政策的商品，包括但不限于食品饮料、米面粮油、数码产品、文创礼品、联名商品及其他定制类商品。</w:t>
      </w:r>
    </w:p>
    <w:p w14:paraId="42704B16">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供应商应根据招标人要求提供定制方案、选品建议、打样支持、价格方案、供应商协调、商品上架、库存保障、发货履约及售后服务支持。除另有书面约定外，由供应商或其合作供应商供货的定制商品，其生产、供货、发货及售后责任均由供应商承担。</w:t>
      </w:r>
    </w:p>
    <w:p w14:paraId="6A4BC973">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3.2.定制商品质量与履约要求</w:t>
      </w:r>
    </w:p>
    <w:p w14:paraId="5C1CB741">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供应商应确保定制商品的价格、品质、交付周期及售后服务水平不低于同类非定制商品的商业合理标准，不得因增加品牌标识、联名元素、专属包装、专属配置或其他定制要求而明显降低商品质量、交付效率或售后服务水平。</w:t>
      </w:r>
    </w:p>
    <w:p w14:paraId="6EFF981E">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供应商提供定制商品时，应明确相应商品的材质、规格、配置、包装标准、工艺要求、品牌信息、质量标准、验收依据及交货周期；涉及食品、农产品、米面粮油等商品的，还应明确产地、生产批次、保质期、储运标准及相关合规资质；涉及数码产品、电器产品及其他耐用品的，还应明确品牌型号、技术参数、质保期限、售后方式及维修更换标准。</w:t>
      </w:r>
    </w:p>
    <w:p w14:paraId="79BC391F">
      <w:pPr>
        <w:widowControl/>
        <w:spacing w:line="560" w:lineRule="exact"/>
        <w:ind w:firstLine="480" w:firstLineChars="200"/>
        <w:jc w:val="left"/>
        <w:rPr>
          <w:rFonts w:ascii="Calibri" w:hAnsi="Calibri"/>
          <w:szCs w:val="21"/>
        </w:rPr>
      </w:pPr>
      <w:r>
        <w:rPr>
          <w:rFonts w:hint="eastAsia" w:ascii="宋体" w:hAnsi="宋体" w:cs="宋体"/>
          <w:kern w:val="0"/>
          <w:sz w:val="24"/>
          <w:szCs w:val="24"/>
          <w:lang w:bidi="ar"/>
        </w:rPr>
        <w:t>对于定制商品，供应商应根据招标人要求提供打样确认服务。未经招标人确认的样品、设计稿、包装稿或联名元素，不得直接进入批量生产或上线销售。批量供货商品应与最终确认样品或确认稿保持一致。</w:t>
      </w:r>
    </w:p>
    <w:p w14:paraId="266B6A6F">
      <w:pPr>
        <w:widowControl/>
        <w:spacing w:line="560" w:lineRule="exact"/>
        <w:ind w:firstLine="480" w:firstLineChars="200"/>
        <w:rPr>
          <w:rFonts w:hint="eastAsia" w:ascii="宋体" w:hAnsi="宋体" w:cs="宋体"/>
          <w:b/>
          <w:bCs/>
          <w:color w:val="000000"/>
          <w:sz w:val="24"/>
          <w:szCs w:val="24"/>
        </w:rPr>
      </w:pPr>
      <w:r>
        <w:rPr>
          <w:rFonts w:hint="eastAsia" w:ascii="宋体" w:hAnsi="宋体" w:cs="宋体"/>
          <w:b/>
          <w:bCs/>
          <w:color w:val="000000"/>
          <w:sz w:val="24"/>
          <w:szCs w:val="24"/>
        </w:rPr>
        <w:t>8.积分兑换商品比率设置</w:t>
      </w:r>
    </w:p>
    <w:p w14:paraId="6A8C1F77">
      <w:pPr>
        <w:widowControl/>
        <w:spacing w:line="560" w:lineRule="exact"/>
        <w:ind w:right="420" w:rightChars="200" w:firstLine="480" w:firstLineChars="200"/>
        <w:rPr>
          <w:rFonts w:hint="eastAsia" w:ascii="宋体" w:hAnsi="宋体" w:cs="宋体"/>
          <w:color w:val="000000"/>
          <w:sz w:val="24"/>
          <w:szCs w:val="24"/>
        </w:rPr>
      </w:pPr>
      <w:r>
        <w:rPr>
          <w:rFonts w:hint="eastAsia" w:ascii="宋体" w:hAnsi="宋体" w:cs="宋体"/>
          <w:color w:val="000000"/>
          <w:sz w:val="24"/>
          <w:szCs w:val="24"/>
        </w:rPr>
        <w:t>各商品的客户积分兑换比率，服务期内由招标人另行确定，以双方合同约定为准。</w:t>
      </w:r>
    </w:p>
    <w:p w14:paraId="12F6DE68">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9.安全保护管理机制</w:t>
      </w:r>
    </w:p>
    <w:p w14:paraId="5A8812C3">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建立完善的数据安全保护管理机制，构建多层次网络安全防护体系，对客户积分读取、客户信息验证、订单信息流转等关键核心环节实施数据传输加密、实时监控、日志记录与定期追踪，确保数据操作全程可追溯、可预警。定期开展渗透测试与漏洞扫描，针对发现的高危漏洞，需在立即启动响应，及时修复，并出具漏洞修复验证报告。</w:t>
      </w:r>
      <w:bookmarkStart w:id="5" w:name="OLE_LINK11"/>
      <w:r>
        <w:rPr>
          <w:rFonts w:hint="eastAsia" w:ascii="宋体" w:hAnsi="宋体" w:cs="宋体"/>
          <w:sz w:val="24"/>
          <w:szCs w:val="24"/>
        </w:rPr>
        <w:t>制定完备的数据安全事件应急响应预案</w:t>
      </w:r>
      <w:bookmarkEnd w:id="5"/>
      <w:r>
        <w:rPr>
          <w:rFonts w:hint="eastAsia" w:ascii="宋体" w:hAnsi="宋体" w:cs="宋体"/>
          <w:sz w:val="24"/>
          <w:szCs w:val="24"/>
        </w:rPr>
        <w:t>，明确积分异常兑换、账户被盗等安全事件的处置流程，组建应急响应团队，承诺在安全事件发生后立即响应，原则上每年至少组织1次应急演练，提交演练评估报告及改进方案。</w:t>
      </w:r>
    </w:p>
    <w:p w14:paraId="37ACA449">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10.对账与结算</w:t>
      </w:r>
    </w:p>
    <w:p w14:paraId="3744138D">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双方合作期内，积分商城采用先发货后付款模式进行费用结算，无押金、无预付费。设有专人负责与招标人进行积分商城订单的核对及结算金额统计，需提供清晰的对账报表，包含积分消耗、积分返还、商品销售件数、金额，方便对账结算；结算周期为一季一结，积分兑换产生的销售金额向招标人统一开具增值税专用发票，现金支付部分产生的销售金额根据客户需要提供个性化的开票支持。</w:t>
      </w:r>
    </w:p>
    <w:p w14:paraId="50BB099C">
      <w:pPr>
        <w:widowControl/>
        <w:spacing w:line="560" w:lineRule="exact"/>
        <w:ind w:right="420" w:rightChars="200" w:firstLine="480" w:firstLineChars="200"/>
        <w:rPr>
          <w:rFonts w:hint="eastAsia" w:ascii="宋体" w:hAnsi="宋体" w:cs="宋体"/>
          <w:b/>
          <w:bCs/>
          <w:sz w:val="24"/>
          <w:szCs w:val="24"/>
        </w:rPr>
      </w:pPr>
    </w:p>
    <w:p w14:paraId="523AFD4F">
      <w:pPr>
        <w:widowControl/>
        <w:spacing w:line="560" w:lineRule="exact"/>
        <w:ind w:right="420" w:rightChars="200" w:firstLine="480" w:firstLineChars="200"/>
        <w:outlineLvl w:val="1"/>
        <w:rPr>
          <w:rFonts w:hint="eastAsia" w:ascii="宋体" w:hAnsi="宋体" w:cs="宋体"/>
          <w:b/>
          <w:bCs/>
          <w:sz w:val="24"/>
          <w:szCs w:val="24"/>
        </w:rPr>
      </w:pPr>
      <w:r>
        <w:rPr>
          <w:rFonts w:hint="eastAsia" w:ascii="宋体" w:hAnsi="宋体" w:cs="宋体"/>
          <w:b/>
          <w:bCs/>
          <w:sz w:val="24"/>
          <w:szCs w:val="24"/>
        </w:rPr>
        <w:t>三、项目报价要求</w:t>
      </w:r>
    </w:p>
    <w:p w14:paraId="509CA0B6">
      <w:pPr>
        <w:widowControl/>
        <w:spacing w:line="560" w:lineRule="exact"/>
        <w:ind w:right="420" w:rightChars="200" w:firstLine="480" w:firstLineChars="200"/>
        <w:rPr>
          <w:rFonts w:hint="eastAsia" w:ascii="宋体" w:hAnsi="宋体" w:cs="宋体"/>
          <w:sz w:val="24"/>
          <w:szCs w:val="24"/>
        </w:rPr>
      </w:pPr>
      <w:bookmarkStart w:id="6" w:name="OLE_LINK10"/>
      <w:r>
        <w:rPr>
          <w:rFonts w:hint="eastAsia" w:ascii="宋体" w:hAnsi="宋体" w:cs="宋体"/>
          <w:sz w:val="24"/>
          <w:szCs w:val="24"/>
        </w:rPr>
        <w:t>投标人按招标人需求进行方案设计，招标人根据方案进行评选，投标人应根据方案进行报价，内容包括以下3项：</w:t>
      </w:r>
    </w:p>
    <w:p w14:paraId="6D2AF801">
      <w:pPr>
        <w:widowControl/>
        <w:spacing w:line="560" w:lineRule="exact"/>
        <w:ind w:right="420" w:rightChars="200" w:firstLine="480" w:firstLineChars="200"/>
        <w:outlineLvl w:val="2"/>
        <w:rPr>
          <w:rFonts w:hint="eastAsia" w:ascii="宋体" w:hAnsi="宋体" w:cs="宋体"/>
          <w:b/>
          <w:bCs/>
          <w:sz w:val="24"/>
          <w:szCs w:val="24"/>
        </w:rPr>
      </w:pPr>
      <w:bookmarkStart w:id="7" w:name="OLE_LINK13"/>
      <w:r>
        <w:rPr>
          <w:rFonts w:hint="eastAsia" w:ascii="宋体" w:hAnsi="宋体" w:cs="宋体"/>
          <w:b/>
          <w:bCs/>
          <w:sz w:val="24"/>
          <w:szCs w:val="24"/>
        </w:rPr>
        <w:t>1.实物商品报价规则</w:t>
      </w:r>
    </w:p>
    <w:p w14:paraId="795C50F0">
      <w:pPr>
        <w:widowControl/>
        <w:spacing w:line="560" w:lineRule="exact"/>
        <w:ind w:right="420" w:rightChars="200" w:firstLine="480" w:firstLineChars="200"/>
        <w:rPr>
          <w:rFonts w:hint="eastAsia" w:ascii="宋体" w:hAnsi="宋体" w:cs="宋体"/>
          <w:sz w:val="24"/>
          <w:szCs w:val="24"/>
        </w:rPr>
      </w:pPr>
      <w:bookmarkStart w:id="8" w:name="OLE_LINK9"/>
      <w:bookmarkStart w:id="9" w:name="OLE_LINK3"/>
      <w:r>
        <w:rPr>
          <w:rFonts w:hint="eastAsia" w:ascii="宋体" w:hAnsi="宋体" w:cs="宋体"/>
          <w:sz w:val="24"/>
          <w:szCs w:val="24"/>
        </w:rPr>
        <w:t>（1）实物商品报价以京东自营店、商品旗舰店在售同款商品京东价（618、双11、双12等活动期间价格除外）为基准价（两者价格如有不一致，则以低者为准），其中定制品以该品类对标品牌</w:t>
      </w:r>
      <w:r>
        <w:rPr>
          <w:rFonts w:ascii="宋体" w:hAnsi="宋体" w:cs="宋体"/>
          <w:sz w:val="24"/>
          <w:szCs w:val="24"/>
        </w:rPr>
        <w:t>通用标准版商品的京东自营</w:t>
      </w:r>
      <w:r>
        <w:rPr>
          <w:rFonts w:hint="eastAsia" w:ascii="宋体" w:hAnsi="宋体" w:cs="宋体"/>
          <w:sz w:val="24"/>
          <w:szCs w:val="24"/>
        </w:rPr>
        <w:t>店、</w:t>
      </w:r>
      <w:r>
        <w:rPr>
          <w:rFonts w:ascii="宋体" w:hAnsi="宋体" w:cs="宋体"/>
          <w:sz w:val="24"/>
          <w:szCs w:val="24"/>
        </w:rPr>
        <w:t>旗舰店</w:t>
      </w:r>
      <w:r>
        <w:rPr>
          <w:rFonts w:hint="eastAsia" w:ascii="宋体" w:hAnsi="宋体" w:cs="宋体"/>
          <w:sz w:val="24"/>
          <w:szCs w:val="24"/>
        </w:rPr>
        <w:t>京东价</w:t>
      </w:r>
      <w:r>
        <w:rPr>
          <w:rFonts w:ascii="宋体" w:hAnsi="宋体" w:cs="宋体"/>
          <w:sz w:val="24"/>
          <w:szCs w:val="24"/>
        </w:rPr>
        <w:t>为基准价</w:t>
      </w:r>
      <w:r>
        <w:rPr>
          <w:rFonts w:hint="eastAsia" w:ascii="宋体" w:hAnsi="宋体" w:cs="宋体"/>
          <w:sz w:val="24"/>
          <w:szCs w:val="24"/>
        </w:rPr>
        <w:t>，具体对标品牌详见表格；</w:t>
      </w:r>
    </w:p>
    <w:p w14:paraId="4F037AA0">
      <w:pPr>
        <w:widowControl/>
        <w:spacing w:line="560" w:lineRule="exact"/>
        <w:ind w:right="420" w:rightChars="200" w:firstLine="480" w:firstLineChars="200"/>
        <w:rPr>
          <w:rStyle w:val="8"/>
        </w:rPr>
      </w:pPr>
      <w:r>
        <w:rPr>
          <w:rFonts w:hint="eastAsia" w:ascii="宋体" w:hAnsi="宋体" w:cs="宋体"/>
          <w:sz w:val="24"/>
          <w:szCs w:val="24"/>
        </w:rPr>
        <w:t>（2）针对所有上架实物商品，投标人需明确给予招标人折扣率。</w:t>
      </w:r>
      <w:bookmarkStart w:id="10" w:name="OLE_LINK6"/>
      <w:r>
        <w:rPr>
          <w:rFonts w:hint="eastAsia" w:ascii="宋体" w:hAnsi="宋体" w:cs="宋体"/>
          <w:sz w:val="24"/>
          <w:szCs w:val="24"/>
        </w:rPr>
        <w:t>实物品类包括但不限于</w:t>
      </w:r>
      <w:bookmarkEnd w:id="10"/>
      <w:r>
        <w:rPr>
          <w:rFonts w:hint="eastAsia" w:ascii="宋体" w:hAnsi="宋体" w:cs="宋体"/>
          <w:sz w:val="24"/>
          <w:szCs w:val="24"/>
        </w:rPr>
        <w:t>生活日用、食品饮料、3C数码、定制品及其他商品，并进行分类报价，如某商品品类分类不明确的，则以涉及品类中的中标折扣率较优为准，后期可根据实际兑换数据与客户偏好进行定期评估与优化调整。）</w:t>
      </w:r>
      <w:bookmarkEnd w:id="7"/>
      <w:bookmarkEnd w:id="8"/>
    </w:p>
    <w:bookmarkEnd w:id="9"/>
    <w:p w14:paraId="59DDB451">
      <w:pPr>
        <w:widowControl/>
        <w:spacing w:line="560" w:lineRule="exact"/>
        <w:ind w:right="420" w:rightChars="200" w:firstLine="480" w:firstLineChars="200"/>
        <w:outlineLvl w:val="2"/>
        <w:rPr>
          <w:rFonts w:hint="eastAsia" w:ascii="宋体" w:hAnsi="宋体" w:cs="宋体"/>
          <w:b/>
          <w:bCs/>
          <w:sz w:val="24"/>
          <w:szCs w:val="24"/>
        </w:rPr>
      </w:pPr>
      <w:r>
        <w:rPr>
          <w:rFonts w:hint="eastAsia" w:ascii="宋体" w:hAnsi="宋体" w:cs="宋体"/>
          <w:b/>
          <w:bCs/>
          <w:sz w:val="24"/>
          <w:szCs w:val="24"/>
        </w:rPr>
        <w:t>2.虚拟商品报价规则</w:t>
      </w:r>
    </w:p>
    <w:p w14:paraId="6E50E584">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（1）虚拟卡券权益类商品报价以京东自营店、商品旗舰店在售同款商品京东价（618、双11、双12等活动期间价格除外）为基准价（两者价格如有不一致，则以低者为准）。</w:t>
      </w:r>
    </w:p>
    <w:p w14:paraId="6A0CBF7A">
      <w:pPr>
        <w:widowControl/>
        <w:spacing w:line="560" w:lineRule="exact"/>
        <w:ind w:right="420" w:rightChars="200" w:firstLine="480" w:firstLineChars="200"/>
        <w:rPr>
          <w:rStyle w:val="8"/>
          <w:rFonts w:hint="eastAsia" w:ascii="宋体" w:hAnsi="宋体" w:cs="宋体"/>
          <w:sz w:val="24"/>
          <w:szCs w:val="24"/>
        </w:rPr>
      </w:pPr>
      <w:r>
        <w:rPr>
          <w:rFonts w:hint="eastAsia" w:ascii="宋体" w:hAnsi="宋体" w:cs="宋体"/>
          <w:sz w:val="24"/>
          <w:szCs w:val="24"/>
        </w:rPr>
        <w:t>（2）针对所有上架虚拟商品，投标人需明确给予招标人折扣率。虚拟商品品类包括但不限于类现金券和兑换卡券等，并进行分类报价，如分类不明确的，则以折扣率较优为准，后期可根据实际兑换数据与客户偏好进行定期评估与优化调整。）</w:t>
      </w:r>
      <w:r>
        <w:rPr>
          <w:rStyle w:val="8"/>
          <w:rFonts w:hint="eastAsia" w:ascii="宋体" w:hAnsi="宋体" w:cs="宋体"/>
          <w:sz w:val="24"/>
          <w:szCs w:val="24"/>
        </w:rPr>
        <w:t>其中类现金券根据实际情况进行控量上架。</w:t>
      </w:r>
    </w:p>
    <w:tbl>
      <w:tblPr>
        <w:tblStyle w:val="5"/>
        <w:tblpPr w:leftFromText="180" w:rightFromText="180" w:vertAnchor="text" w:horzAnchor="page" w:tblpX="1808" w:tblpY="805"/>
        <w:tblOverlap w:val="never"/>
        <w:tblW w:w="0" w:type="auto"/>
        <w:tblInd w:w="0" w:type="dxa"/>
        <w:tblLayout w:type="fixed"/>
        <w:tblCellMar>
          <w:top w:w="0" w:type="dxa"/>
          <w:left w:w="0" w:type="dxa"/>
          <w:bottom w:w="0" w:type="dxa"/>
          <w:right w:w="0" w:type="dxa"/>
        </w:tblCellMar>
      </w:tblPr>
      <w:tblGrid>
        <w:gridCol w:w="1064"/>
        <w:gridCol w:w="2454"/>
        <w:gridCol w:w="4818"/>
      </w:tblGrid>
      <w:tr w14:paraId="25C17050">
        <w:tblPrEx>
          <w:tblCellMar>
            <w:top w:w="0" w:type="dxa"/>
            <w:left w:w="0" w:type="dxa"/>
            <w:bottom w:w="0" w:type="dxa"/>
            <w:right w:w="0" w:type="dxa"/>
          </w:tblCellMar>
        </w:tblPrEx>
        <w:trPr>
          <w:trHeight w:val="368" w:hRule="atLeast"/>
        </w:trPr>
        <w:tc>
          <w:tcPr>
            <w:tcW w:w="106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0366884C">
            <w:pPr>
              <w:widowControl/>
              <w:jc w:val="center"/>
              <w:textAlignment w:val="center"/>
              <w:rPr>
                <w:rFonts w:hint="eastAsia" w:ascii="宋体" w:hAnsi="宋体" w:cs="宋体"/>
                <w:b/>
                <w:color w:val="0F1115"/>
                <w:sz w:val="24"/>
                <w:szCs w:val="24"/>
              </w:rPr>
            </w:pPr>
            <w:r>
              <w:rPr>
                <w:rFonts w:hint="eastAsia" w:ascii="宋体" w:hAnsi="宋体" w:cs="宋体"/>
                <w:b/>
                <w:color w:val="0F1115"/>
                <w:kern w:val="0"/>
                <w:sz w:val="24"/>
                <w:szCs w:val="24"/>
                <w:lang w:bidi="ar"/>
              </w:rPr>
              <w:t>商品分类</w:t>
            </w: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4C9874CF">
            <w:pPr>
              <w:widowControl/>
              <w:jc w:val="center"/>
              <w:textAlignment w:val="center"/>
              <w:rPr>
                <w:rFonts w:hint="eastAsia" w:ascii="宋体" w:hAnsi="宋体" w:cs="宋体"/>
                <w:b/>
                <w:color w:val="0F1115"/>
                <w:sz w:val="24"/>
                <w:szCs w:val="24"/>
              </w:rPr>
            </w:pPr>
            <w:r>
              <w:rPr>
                <w:rFonts w:hint="eastAsia" w:ascii="宋体" w:hAnsi="宋体" w:cs="宋体"/>
                <w:b/>
                <w:color w:val="0F1115"/>
                <w:kern w:val="0"/>
                <w:sz w:val="24"/>
                <w:szCs w:val="24"/>
                <w:lang w:bidi="ar"/>
              </w:rPr>
              <w:t>二级分类</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457317F2">
            <w:pPr>
              <w:widowControl/>
              <w:jc w:val="center"/>
              <w:textAlignment w:val="center"/>
              <w:rPr>
                <w:rFonts w:hint="eastAsia" w:ascii="宋体" w:hAnsi="宋体" w:cs="宋体"/>
                <w:b/>
                <w:color w:val="0F1115"/>
                <w:sz w:val="24"/>
                <w:szCs w:val="24"/>
              </w:rPr>
            </w:pPr>
            <w:r>
              <w:rPr>
                <w:rFonts w:hint="eastAsia" w:ascii="宋体" w:hAnsi="宋体" w:cs="宋体"/>
                <w:b/>
                <w:color w:val="0F1115"/>
                <w:kern w:val="0"/>
                <w:sz w:val="24"/>
                <w:szCs w:val="24"/>
                <w:lang w:bidi="ar"/>
              </w:rPr>
              <w:t>涵盖内容</w:t>
            </w:r>
          </w:p>
        </w:tc>
      </w:tr>
      <w:tr w14:paraId="4089EE90">
        <w:tblPrEx>
          <w:tblCellMar>
            <w:top w:w="0" w:type="dxa"/>
            <w:left w:w="0" w:type="dxa"/>
            <w:bottom w:w="0" w:type="dxa"/>
            <w:right w:w="0" w:type="dxa"/>
          </w:tblCellMar>
        </w:tblPrEx>
        <w:trPr>
          <w:trHeight w:val="626" w:hRule="atLeast"/>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3DEE276B">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实物商品</w:t>
            </w: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342F29F0">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生活日用</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44BACE13">
            <w:pPr>
              <w:widowControl/>
              <w:jc w:val="left"/>
              <w:textAlignment w:val="center"/>
              <w:rPr>
                <w:rFonts w:ascii="宋体" w:hAnsi="宋体" w:cs="宋体"/>
                <w:color w:val="0F1115"/>
                <w:sz w:val="24"/>
                <w:szCs w:val="24"/>
              </w:rPr>
            </w:pPr>
            <w:r>
              <w:rPr>
                <w:rFonts w:hint="eastAsia" w:ascii="宋体" w:hAnsi="宋体" w:cs="宋体"/>
                <w:color w:val="0F1115"/>
                <w:kern w:val="0"/>
                <w:sz w:val="24"/>
                <w:szCs w:val="24"/>
                <w:lang w:bidi="ar"/>
              </w:rPr>
              <w:t>纸巾清洁、生活日用、床上用品、烹饪锅具、刀剪菜板、厨房储物、水具、茶具、功能箱包、宠物用品、母婴用品、玩具、户外装备、体育用品、家用电器、美妆个护等</w:t>
            </w:r>
          </w:p>
        </w:tc>
      </w:tr>
      <w:tr w14:paraId="0A0041E2">
        <w:tblPrEx>
          <w:tblCellMar>
            <w:top w:w="0" w:type="dxa"/>
            <w:left w:w="0" w:type="dxa"/>
            <w:bottom w:w="0" w:type="dxa"/>
            <w:right w:w="0" w:type="dxa"/>
          </w:tblCellMar>
        </w:tblPrEx>
        <w:trPr>
          <w:trHeight w:val="551" w:hRule="atLeast"/>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384A989F">
            <w:pPr>
              <w:jc w:val="center"/>
              <w:rPr>
                <w:rFonts w:hint="eastAsia" w:ascii="宋体" w:hAnsi="宋体" w:cs="宋体"/>
                <w:color w:val="0F1115"/>
                <w:sz w:val="24"/>
                <w:szCs w:val="24"/>
              </w:rPr>
            </w:pP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6AC77B0D">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食品饮料</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641B6A08">
            <w:pPr>
              <w:widowControl/>
              <w:jc w:val="left"/>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休闲食品、饮料冲调、营养保健、米面粮油等</w:t>
            </w:r>
          </w:p>
        </w:tc>
      </w:tr>
      <w:tr w14:paraId="5B23942E">
        <w:tblPrEx>
          <w:tblCellMar>
            <w:top w:w="0" w:type="dxa"/>
            <w:left w:w="0" w:type="dxa"/>
            <w:bottom w:w="0" w:type="dxa"/>
            <w:right w:w="0" w:type="dxa"/>
          </w:tblCellMar>
        </w:tblPrEx>
        <w:trPr>
          <w:trHeight w:val="688" w:hRule="atLeast"/>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2A5D839">
            <w:pPr>
              <w:jc w:val="center"/>
              <w:rPr>
                <w:rFonts w:hint="eastAsia" w:ascii="宋体" w:hAnsi="宋体" w:cs="宋体"/>
                <w:color w:val="0F1115"/>
                <w:sz w:val="24"/>
                <w:szCs w:val="24"/>
              </w:rPr>
            </w:pP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673D2F4A">
            <w:pPr>
              <w:widowControl/>
              <w:jc w:val="center"/>
              <w:textAlignment w:val="center"/>
              <w:rPr>
                <w:rFonts w:hint="eastAsia" w:ascii="宋体" w:hAnsi="宋体" w:cs="宋体"/>
                <w:color w:val="0F1115"/>
                <w:sz w:val="24"/>
                <w:szCs w:val="24"/>
              </w:rPr>
            </w:pPr>
            <w:r>
              <w:rPr>
                <w:rFonts w:hint="eastAsia" w:ascii="宋体" w:hAnsi="宋体" w:cs="宋体"/>
                <w:color w:val="0F1115"/>
                <w:sz w:val="24"/>
                <w:szCs w:val="24"/>
              </w:rPr>
              <w:t>3C数码</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4A60715">
            <w:pPr>
              <w:widowControl/>
              <w:jc w:val="left"/>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手机、手机配件、摄影摄像、数码配件、影音娱乐设备、智能设备等</w:t>
            </w:r>
          </w:p>
        </w:tc>
      </w:tr>
      <w:tr w14:paraId="14C79847">
        <w:tblPrEx>
          <w:tblCellMar>
            <w:top w:w="0" w:type="dxa"/>
            <w:left w:w="0" w:type="dxa"/>
            <w:bottom w:w="0" w:type="dxa"/>
            <w:right w:w="0" w:type="dxa"/>
          </w:tblCellMar>
        </w:tblPrEx>
        <w:trPr>
          <w:trHeight w:val="483" w:hRule="atLeast"/>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279AEF0A">
            <w:pPr>
              <w:jc w:val="center"/>
              <w:rPr>
                <w:rFonts w:hint="eastAsia" w:ascii="宋体" w:hAnsi="宋体" w:cs="宋体"/>
                <w:color w:val="0F1115"/>
                <w:sz w:val="24"/>
                <w:szCs w:val="24"/>
              </w:rPr>
            </w:pP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73C3471">
            <w:pPr>
              <w:widowControl/>
              <w:jc w:val="center"/>
              <w:textAlignment w:val="center"/>
              <w:rPr>
                <w:rFonts w:hint="eastAsia" w:ascii="宋体" w:hAnsi="宋体" w:cs="宋体"/>
                <w:color w:val="0F1115"/>
                <w:sz w:val="24"/>
                <w:szCs w:val="24"/>
              </w:rPr>
            </w:pPr>
            <w:r>
              <w:rPr>
                <w:rFonts w:hint="eastAsia" w:ascii="宋体" w:hAnsi="宋体" w:cs="宋体"/>
                <w:color w:val="0F1115"/>
                <w:sz w:val="24"/>
                <w:szCs w:val="24"/>
              </w:rPr>
              <w:t>定制品</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2F7D487">
            <w:pPr>
              <w:widowControl/>
              <w:jc w:val="left"/>
              <w:textAlignment w:val="center"/>
              <w:rPr>
                <w:rFonts w:hint="eastAsia" w:ascii="宋体" w:hAnsi="宋体" w:cs="宋体"/>
                <w:color w:val="0F1115"/>
                <w:sz w:val="24"/>
                <w:szCs w:val="24"/>
              </w:rPr>
            </w:pPr>
            <w:r>
              <w:rPr>
                <w:rFonts w:hint="eastAsia" w:ascii="宋体" w:hAnsi="宋体" w:cs="宋体"/>
                <w:color w:val="0F1115"/>
                <w:sz w:val="24"/>
                <w:szCs w:val="24"/>
              </w:rPr>
              <w:t>含公司主题类的定制品</w:t>
            </w:r>
          </w:p>
        </w:tc>
      </w:tr>
      <w:tr w14:paraId="2E7D4B0F">
        <w:tblPrEx>
          <w:tblCellMar>
            <w:top w:w="0" w:type="dxa"/>
            <w:left w:w="0" w:type="dxa"/>
            <w:bottom w:w="0" w:type="dxa"/>
            <w:right w:w="0" w:type="dxa"/>
          </w:tblCellMar>
        </w:tblPrEx>
        <w:trPr>
          <w:trHeight w:val="483" w:hRule="atLeast"/>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5879809C">
            <w:pPr>
              <w:jc w:val="center"/>
              <w:rPr>
                <w:rFonts w:hint="eastAsia" w:ascii="宋体" w:hAnsi="宋体" w:cs="宋体"/>
                <w:color w:val="0F1115"/>
                <w:sz w:val="24"/>
                <w:szCs w:val="24"/>
              </w:rPr>
            </w:pP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270AAB4D">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其他商品</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3F2F0667">
            <w:pPr>
              <w:widowControl/>
              <w:jc w:val="left"/>
              <w:textAlignment w:val="center"/>
              <w:rPr>
                <w:rFonts w:hint="eastAsia" w:ascii="宋体" w:hAnsi="宋体" w:cs="宋体"/>
                <w:color w:val="0F1115"/>
                <w:sz w:val="24"/>
                <w:szCs w:val="24"/>
              </w:rPr>
            </w:pPr>
            <w:bookmarkStart w:id="11" w:name="OLE_LINK12"/>
            <w:r>
              <w:rPr>
                <w:rFonts w:hint="eastAsia" w:ascii="宋体" w:hAnsi="宋体" w:cs="宋体"/>
                <w:color w:val="0F1115"/>
                <w:kern w:val="0"/>
                <w:sz w:val="24"/>
                <w:szCs w:val="24"/>
                <w:lang w:bidi="ar"/>
              </w:rPr>
              <w:t>除上述外的其他商品</w:t>
            </w:r>
            <w:bookmarkEnd w:id="11"/>
          </w:p>
        </w:tc>
      </w:tr>
      <w:tr w14:paraId="6D8618CA">
        <w:tblPrEx>
          <w:tblCellMar>
            <w:top w:w="0" w:type="dxa"/>
            <w:left w:w="0" w:type="dxa"/>
            <w:bottom w:w="0" w:type="dxa"/>
            <w:right w:w="0" w:type="dxa"/>
          </w:tblCellMar>
        </w:tblPrEx>
        <w:trPr>
          <w:trHeight w:val="483" w:hRule="atLeast"/>
        </w:trPr>
        <w:tc>
          <w:tcPr>
            <w:tcW w:w="106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1C68B0CE">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虚拟卡券</w:t>
            </w: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F632F24">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类现金券</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083C6E39">
            <w:pPr>
              <w:widowControl/>
              <w:jc w:val="left"/>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话费、油卡、京东E卡、天猫超市卡等平台购物卡</w:t>
            </w:r>
          </w:p>
        </w:tc>
      </w:tr>
      <w:tr w14:paraId="4ACB8F29">
        <w:tblPrEx>
          <w:tblCellMar>
            <w:top w:w="0" w:type="dxa"/>
            <w:left w:w="0" w:type="dxa"/>
            <w:bottom w:w="0" w:type="dxa"/>
            <w:right w:w="0" w:type="dxa"/>
          </w:tblCellMar>
        </w:tblPrEx>
        <w:trPr>
          <w:trHeight w:val="632" w:hRule="atLeast"/>
        </w:trPr>
        <w:tc>
          <w:tcPr>
            <w:tcW w:w="106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52669634">
            <w:pPr>
              <w:jc w:val="center"/>
              <w:rPr>
                <w:rFonts w:hint="eastAsia" w:ascii="宋体" w:hAnsi="宋体" w:cs="宋体"/>
                <w:color w:val="0F1115"/>
                <w:sz w:val="24"/>
                <w:szCs w:val="24"/>
              </w:rPr>
            </w:pPr>
          </w:p>
        </w:tc>
        <w:tc>
          <w:tcPr>
            <w:tcW w:w="2454"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228371AB">
            <w:pPr>
              <w:widowControl/>
              <w:jc w:val="center"/>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兑换卡券</w:t>
            </w:r>
          </w:p>
        </w:tc>
        <w:tc>
          <w:tcPr>
            <w:tcW w:w="4818" w:type="dxa"/>
            <w:tcBorders>
              <w:top w:val="single" w:color="000000" w:sz="4" w:space="0"/>
              <w:left w:val="single" w:color="000000" w:sz="4" w:space="0"/>
              <w:bottom w:val="single" w:color="000000" w:sz="4" w:space="0"/>
              <w:right w:val="single" w:color="000000" w:sz="4" w:space="0"/>
            </w:tcBorders>
            <w:shd w:val="clear" w:color="auto" w:fill="FFFFFF"/>
            <w:noWrap w:val="0"/>
            <w:tcMar>
              <w:top w:w="15" w:type="dxa"/>
              <w:left w:w="15" w:type="dxa"/>
              <w:right w:w="15" w:type="dxa"/>
            </w:tcMar>
            <w:vAlign w:val="center"/>
          </w:tcPr>
          <w:p w14:paraId="781601EE">
            <w:pPr>
              <w:widowControl/>
              <w:jc w:val="left"/>
              <w:textAlignment w:val="center"/>
              <w:rPr>
                <w:rFonts w:hint="eastAsia" w:ascii="宋体" w:hAnsi="宋体" w:cs="宋体"/>
                <w:color w:val="0F1115"/>
                <w:sz w:val="24"/>
                <w:szCs w:val="24"/>
              </w:rPr>
            </w:pPr>
            <w:r>
              <w:rPr>
                <w:rFonts w:hint="eastAsia" w:ascii="宋体" w:hAnsi="宋体" w:cs="宋体"/>
                <w:color w:val="0F1115"/>
                <w:kern w:val="0"/>
                <w:sz w:val="24"/>
                <w:szCs w:val="24"/>
                <w:lang w:bidi="ar"/>
              </w:rPr>
              <w:t>影音视听会员、电影代金券、咖啡饮品券、出行外卖券、家政保洁券等</w:t>
            </w:r>
          </w:p>
        </w:tc>
      </w:tr>
      <w:bookmarkEnd w:id="6"/>
    </w:tbl>
    <w:p w14:paraId="2D8B8566">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实物商品与虚拟类商品分类表：</w:t>
      </w:r>
    </w:p>
    <w:p w14:paraId="02C5A66F">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定制品对标品牌表：</w:t>
      </w:r>
    </w:p>
    <w:tbl>
      <w:tblPr>
        <w:tblStyle w:val="5"/>
        <w:tblW w:w="0" w:type="auto"/>
        <w:tblInd w:w="93" w:type="dxa"/>
        <w:tblLayout w:type="fixed"/>
        <w:tblCellMar>
          <w:top w:w="0" w:type="dxa"/>
          <w:left w:w="108" w:type="dxa"/>
          <w:bottom w:w="0" w:type="dxa"/>
          <w:right w:w="108" w:type="dxa"/>
        </w:tblCellMar>
      </w:tblPr>
      <w:tblGrid>
        <w:gridCol w:w="1633"/>
        <w:gridCol w:w="1633"/>
        <w:gridCol w:w="3553"/>
        <w:gridCol w:w="1610"/>
      </w:tblGrid>
      <w:tr w14:paraId="275A489F">
        <w:tblPrEx>
          <w:tblCellMar>
            <w:top w:w="0" w:type="dxa"/>
            <w:left w:w="108" w:type="dxa"/>
            <w:bottom w:w="0" w:type="dxa"/>
            <w:right w:w="108" w:type="dxa"/>
          </w:tblCellMar>
        </w:tblPrEx>
        <w:trPr>
          <w:trHeight w:val="440" w:hRule="atLeast"/>
        </w:trPr>
        <w:tc>
          <w:tcPr>
            <w:tcW w:w="6819" w:type="dxa"/>
            <w:gridSpan w:val="3"/>
            <w:tcBorders>
              <w:top w:val="single" w:color="000000" w:sz="8" w:space="0"/>
              <w:left w:val="single" w:color="000000" w:sz="8" w:space="0"/>
              <w:bottom w:val="nil"/>
              <w:right w:val="single" w:color="000000" w:sz="8" w:space="0"/>
            </w:tcBorders>
            <w:shd w:val="clear" w:color="auto" w:fill="FFFFFF"/>
            <w:noWrap/>
            <w:vAlign w:val="center"/>
          </w:tcPr>
          <w:p w14:paraId="20585EF3">
            <w:pPr>
              <w:widowControl/>
              <w:jc w:val="center"/>
              <w:textAlignment w:val="center"/>
              <w:rPr>
                <w:rFonts w:hint="eastAsia" w:ascii="宋体" w:hAnsi="宋体" w:cs="宋体"/>
                <w:b/>
                <w:bCs/>
                <w:color w:val="000000"/>
                <w:sz w:val="24"/>
                <w:szCs w:val="24"/>
              </w:rPr>
            </w:pPr>
            <w:r>
              <w:rPr>
                <w:rFonts w:hint="eastAsia" w:ascii="宋体" w:hAnsi="宋体" w:cs="宋体"/>
                <w:b/>
                <w:bCs/>
                <w:color w:val="000000"/>
                <w:kern w:val="0"/>
                <w:sz w:val="24"/>
                <w:szCs w:val="24"/>
                <w:lang w:bidi="ar"/>
              </w:rPr>
              <w:t>定制品对标品牌</w:t>
            </w:r>
          </w:p>
        </w:tc>
        <w:tc>
          <w:tcPr>
            <w:tcW w:w="1610" w:type="dxa"/>
            <w:vMerge w:val="restart"/>
            <w:tcBorders>
              <w:top w:val="single" w:color="000000" w:sz="8" w:space="0"/>
              <w:left w:val="single" w:color="000000" w:sz="8" w:space="0"/>
              <w:right w:val="single" w:color="000000" w:sz="8" w:space="0"/>
            </w:tcBorders>
            <w:shd w:val="clear" w:color="auto" w:fill="FFFFFF"/>
            <w:noWrap w:val="0"/>
            <w:vAlign w:val="center"/>
          </w:tcPr>
          <w:p w14:paraId="04C8983E">
            <w:pPr>
              <w:widowControl/>
              <w:jc w:val="center"/>
              <w:textAlignment w:val="center"/>
              <w:rPr>
                <w:rFonts w:hint="eastAsia" w:ascii="宋体" w:hAnsi="宋体" w:cs="宋体"/>
                <w:b/>
                <w:bCs/>
                <w:color w:val="000000"/>
                <w:kern w:val="0"/>
                <w:sz w:val="24"/>
                <w:szCs w:val="24"/>
                <w:lang w:bidi="ar"/>
              </w:rPr>
            </w:pPr>
            <w:r>
              <w:rPr>
                <w:rFonts w:hint="eastAsia" w:ascii="宋体" w:hAnsi="宋体" w:cs="宋体"/>
                <w:b/>
                <w:bCs/>
                <w:color w:val="000000"/>
                <w:kern w:val="0"/>
                <w:sz w:val="24"/>
                <w:szCs w:val="24"/>
                <w:lang w:bidi="ar"/>
              </w:rPr>
              <w:t>基准价</w:t>
            </w:r>
          </w:p>
        </w:tc>
      </w:tr>
      <w:tr w14:paraId="39F6D266">
        <w:tblPrEx>
          <w:tblCellMar>
            <w:top w:w="0" w:type="dxa"/>
            <w:left w:w="108" w:type="dxa"/>
            <w:bottom w:w="0" w:type="dxa"/>
            <w:right w:w="108" w:type="dxa"/>
          </w:tblCellMar>
        </w:tblPrEx>
        <w:trPr>
          <w:trHeight w:val="431" w:hRule="atLeast"/>
        </w:trPr>
        <w:tc>
          <w:tcPr>
            <w:tcW w:w="1633" w:type="dxa"/>
            <w:tcBorders>
              <w:top w:val="single" w:color="000000" w:sz="4" w:space="0"/>
              <w:left w:val="single" w:color="000000" w:sz="8" w:space="0"/>
              <w:bottom w:val="single" w:color="000000" w:sz="4" w:space="0"/>
              <w:right w:val="single" w:color="000000" w:sz="4" w:space="0"/>
            </w:tcBorders>
            <w:shd w:val="clear" w:color="auto" w:fill="FFFFFF"/>
            <w:noWrap/>
            <w:vAlign w:val="center"/>
          </w:tcPr>
          <w:p w14:paraId="1ADF052E">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一级分类</w:t>
            </w: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E1AC87">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二级分类</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14D00043">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对标品牌</w:t>
            </w:r>
          </w:p>
        </w:tc>
        <w:tc>
          <w:tcPr>
            <w:tcW w:w="1610" w:type="dxa"/>
            <w:vMerge w:val="continue"/>
            <w:tcBorders>
              <w:left w:val="single" w:color="000000" w:sz="8" w:space="0"/>
              <w:bottom w:val="single" w:color="000000" w:sz="4" w:space="0"/>
              <w:right w:val="single" w:color="000000" w:sz="8" w:space="0"/>
            </w:tcBorders>
            <w:shd w:val="clear" w:color="auto" w:fill="FFFFFF"/>
            <w:noWrap w:val="0"/>
            <w:vAlign w:val="top"/>
          </w:tcPr>
          <w:p w14:paraId="00F68DE1">
            <w:pPr>
              <w:widowControl/>
              <w:jc w:val="center"/>
              <w:textAlignment w:val="center"/>
              <w:rPr>
                <w:rFonts w:hint="eastAsia" w:ascii="宋体" w:hAnsi="宋体" w:cs="宋体"/>
                <w:color w:val="0F1115"/>
                <w:kern w:val="0"/>
                <w:sz w:val="24"/>
                <w:szCs w:val="24"/>
                <w:lang w:bidi="ar"/>
              </w:rPr>
            </w:pPr>
          </w:p>
        </w:tc>
      </w:tr>
      <w:tr w14:paraId="38BF19F7">
        <w:tblPrEx>
          <w:tblCellMar>
            <w:top w:w="0" w:type="dxa"/>
            <w:left w:w="108" w:type="dxa"/>
            <w:bottom w:w="0" w:type="dxa"/>
            <w:right w:w="108" w:type="dxa"/>
          </w:tblCellMar>
        </w:tblPrEx>
        <w:trPr>
          <w:trHeight w:val="389" w:hRule="atLeast"/>
        </w:trPr>
        <w:tc>
          <w:tcPr>
            <w:tcW w:w="1633" w:type="dxa"/>
            <w:vMerge w:val="restart"/>
            <w:tcBorders>
              <w:top w:val="nil"/>
              <w:left w:val="single" w:color="000000" w:sz="8" w:space="0"/>
              <w:bottom w:val="nil"/>
              <w:right w:val="single" w:color="000000" w:sz="4" w:space="0"/>
            </w:tcBorders>
            <w:shd w:val="clear" w:color="auto" w:fill="FFFFFF"/>
            <w:noWrap/>
            <w:vAlign w:val="center"/>
          </w:tcPr>
          <w:p w14:paraId="7F219664">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生活日用</w:t>
            </w: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51294F">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纸巾清洁</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21EA7CE5">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清风、维达、德宝</w:t>
            </w:r>
          </w:p>
        </w:tc>
        <w:tc>
          <w:tcPr>
            <w:tcW w:w="1610" w:type="dxa"/>
            <w:vMerge w:val="restart"/>
            <w:tcBorders>
              <w:top w:val="single" w:color="000000" w:sz="4" w:space="0"/>
              <w:left w:val="single" w:color="000000" w:sz="4" w:space="0"/>
              <w:right w:val="single" w:color="000000" w:sz="8" w:space="0"/>
            </w:tcBorders>
            <w:shd w:val="clear" w:color="auto" w:fill="FFFFFF"/>
            <w:noWrap w:val="0"/>
            <w:vAlign w:val="top"/>
          </w:tcPr>
          <w:p w14:paraId="563773A7">
            <w:pPr>
              <w:widowControl/>
              <w:jc w:val="center"/>
              <w:textAlignment w:val="center"/>
              <w:rPr>
                <w:rFonts w:ascii="宋体" w:hAnsi="宋体" w:cs="宋体"/>
                <w:color w:val="0F1115"/>
                <w:kern w:val="0"/>
                <w:sz w:val="24"/>
                <w:szCs w:val="24"/>
                <w:lang w:bidi="ar"/>
              </w:rPr>
            </w:pPr>
            <w:r>
              <w:rPr>
                <w:rFonts w:hint="eastAsia" w:ascii="宋体" w:hAnsi="宋体" w:cs="宋体"/>
                <w:color w:val="0F1115"/>
                <w:kern w:val="0"/>
                <w:sz w:val="24"/>
                <w:szCs w:val="24"/>
                <w:lang w:bidi="ar"/>
              </w:rPr>
              <w:t>以京东自营店、商品旗舰店</w:t>
            </w:r>
            <w:r>
              <w:rPr>
                <w:rFonts w:hint="eastAsia" w:ascii="宋体" w:hAnsi="宋体" w:cs="宋体"/>
                <w:b/>
                <w:color w:val="0F1115"/>
                <w:kern w:val="0"/>
                <w:sz w:val="24"/>
                <w:szCs w:val="24"/>
                <w:lang w:bidi="ar"/>
              </w:rPr>
              <w:t>对标品牌通用标准版</w:t>
            </w:r>
            <w:r>
              <w:rPr>
                <w:rFonts w:hint="eastAsia" w:ascii="宋体" w:hAnsi="宋体" w:cs="宋体"/>
                <w:color w:val="0F1115"/>
                <w:kern w:val="0"/>
                <w:sz w:val="24"/>
                <w:szCs w:val="24"/>
                <w:lang w:bidi="ar"/>
              </w:rPr>
              <w:t>商品京东价（618、双11、双12等活动期间价格除外）为基准价（两者价格如有不一致，则以低者为准），</w:t>
            </w:r>
            <w:r>
              <w:rPr>
                <w:rFonts w:hint="eastAsia" w:ascii="宋体" w:hAnsi="宋体" w:cs="宋体"/>
                <w:kern w:val="0"/>
                <w:sz w:val="24"/>
                <w:szCs w:val="24"/>
                <w:lang w:bidi="ar"/>
              </w:rPr>
              <w:t>后期如有添加，则以双方约定为准。</w:t>
            </w:r>
          </w:p>
        </w:tc>
      </w:tr>
      <w:tr w14:paraId="28E63372">
        <w:tblPrEx>
          <w:tblCellMar>
            <w:top w:w="0" w:type="dxa"/>
            <w:left w:w="108" w:type="dxa"/>
            <w:bottom w:w="0" w:type="dxa"/>
            <w:right w:w="108" w:type="dxa"/>
          </w:tblCellMar>
        </w:tblPrEx>
        <w:trPr>
          <w:trHeight w:val="389" w:hRule="atLeast"/>
        </w:trPr>
        <w:tc>
          <w:tcPr>
            <w:tcW w:w="1633" w:type="dxa"/>
            <w:vMerge w:val="continue"/>
            <w:tcBorders>
              <w:top w:val="nil"/>
              <w:left w:val="single" w:color="000000" w:sz="8" w:space="0"/>
              <w:bottom w:val="nil"/>
              <w:right w:val="single" w:color="000000" w:sz="4" w:space="0"/>
            </w:tcBorders>
            <w:shd w:val="clear" w:color="auto" w:fill="FFFFFF"/>
            <w:noWrap/>
            <w:vAlign w:val="center"/>
          </w:tcPr>
          <w:p w14:paraId="69DF0A25">
            <w:pPr>
              <w:jc w:val="center"/>
              <w:textAlignment w:val="center"/>
              <w:rPr>
                <w:rFonts w:hint="eastAsia" w:ascii="宋体" w:hAnsi="宋体" w:cs="宋体"/>
                <w:color w:val="0F1115"/>
                <w:kern w:val="0"/>
                <w:sz w:val="24"/>
                <w:szCs w:val="24"/>
                <w:lang w:bidi="ar"/>
              </w:rPr>
            </w:pP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86FA1A">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生活用品</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006B18F4">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狮王、立白、水星家纺、洁丽雅、美的、苏泊尔、天堂</w:t>
            </w:r>
          </w:p>
        </w:tc>
        <w:tc>
          <w:tcPr>
            <w:tcW w:w="1610" w:type="dxa"/>
            <w:vMerge w:val="continue"/>
            <w:tcBorders>
              <w:left w:val="single" w:color="000000" w:sz="4" w:space="0"/>
              <w:right w:val="single" w:color="000000" w:sz="8" w:space="0"/>
            </w:tcBorders>
            <w:shd w:val="clear" w:color="auto" w:fill="FFFFFF"/>
            <w:noWrap w:val="0"/>
            <w:vAlign w:val="top"/>
          </w:tcPr>
          <w:p w14:paraId="0567C7F1">
            <w:pPr>
              <w:widowControl/>
              <w:jc w:val="center"/>
              <w:textAlignment w:val="center"/>
              <w:rPr>
                <w:rFonts w:hint="eastAsia" w:ascii="宋体" w:hAnsi="宋体" w:cs="宋体"/>
                <w:color w:val="0F1115"/>
                <w:kern w:val="0"/>
                <w:sz w:val="24"/>
                <w:szCs w:val="24"/>
                <w:lang w:bidi="ar"/>
              </w:rPr>
            </w:pPr>
          </w:p>
        </w:tc>
      </w:tr>
      <w:tr w14:paraId="6A09CDA3">
        <w:tblPrEx>
          <w:tblCellMar>
            <w:top w:w="0" w:type="dxa"/>
            <w:left w:w="108" w:type="dxa"/>
            <w:bottom w:w="0" w:type="dxa"/>
            <w:right w:w="108" w:type="dxa"/>
          </w:tblCellMar>
        </w:tblPrEx>
        <w:trPr>
          <w:trHeight w:val="389" w:hRule="atLeast"/>
        </w:trPr>
        <w:tc>
          <w:tcPr>
            <w:tcW w:w="1633" w:type="dxa"/>
            <w:vMerge w:val="continue"/>
            <w:tcBorders>
              <w:top w:val="nil"/>
              <w:left w:val="single" w:color="000000" w:sz="8" w:space="0"/>
              <w:bottom w:val="nil"/>
              <w:right w:val="single" w:color="000000" w:sz="4" w:space="0"/>
            </w:tcBorders>
            <w:shd w:val="clear" w:color="auto" w:fill="FFFFFF"/>
            <w:noWrap/>
            <w:vAlign w:val="center"/>
          </w:tcPr>
          <w:p w14:paraId="60A211A2">
            <w:pPr>
              <w:jc w:val="center"/>
              <w:textAlignment w:val="center"/>
              <w:rPr>
                <w:rFonts w:hint="eastAsia" w:ascii="宋体" w:hAnsi="宋体" w:cs="宋体"/>
                <w:color w:val="0F1115"/>
                <w:kern w:val="0"/>
                <w:sz w:val="24"/>
                <w:szCs w:val="24"/>
                <w:lang w:bidi="ar"/>
              </w:rPr>
            </w:pP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5EFEA2">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水具茶具</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44010EE3">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膳魔师、苏泊尔</w:t>
            </w:r>
          </w:p>
        </w:tc>
        <w:tc>
          <w:tcPr>
            <w:tcW w:w="1610" w:type="dxa"/>
            <w:vMerge w:val="continue"/>
            <w:tcBorders>
              <w:left w:val="single" w:color="000000" w:sz="4" w:space="0"/>
              <w:right w:val="single" w:color="000000" w:sz="8" w:space="0"/>
            </w:tcBorders>
            <w:shd w:val="clear" w:color="auto" w:fill="FFFFFF"/>
            <w:noWrap w:val="0"/>
            <w:vAlign w:val="top"/>
          </w:tcPr>
          <w:p w14:paraId="07C9CAD4">
            <w:pPr>
              <w:widowControl/>
              <w:jc w:val="center"/>
              <w:textAlignment w:val="center"/>
              <w:rPr>
                <w:rFonts w:hint="eastAsia" w:ascii="宋体" w:hAnsi="宋体" w:cs="宋体"/>
                <w:color w:val="0F1115"/>
                <w:kern w:val="0"/>
                <w:sz w:val="24"/>
                <w:szCs w:val="24"/>
                <w:lang w:bidi="ar"/>
              </w:rPr>
            </w:pPr>
          </w:p>
        </w:tc>
      </w:tr>
      <w:tr w14:paraId="27072D5E">
        <w:tblPrEx>
          <w:tblCellMar>
            <w:top w:w="0" w:type="dxa"/>
            <w:left w:w="108" w:type="dxa"/>
            <w:bottom w:w="0" w:type="dxa"/>
            <w:right w:w="108" w:type="dxa"/>
          </w:tblCellMar>
        </w:tblPrEx>
        <w:trPr>
          <w:trHeight w:val="389" w:hRule="atLeast"/>
        </w:trPr>
        <w:tc>
          <w:tcPr>
            <w:tcW w:w="1633" w:type="dxa"/>
            <w:vMerge w:val="continue"/>
            <w:tcBorders>
              <w:top w:val="nil"/>
              <w:left w:val="single" w:color="000000" w:sz="8" w:space="0"/>
              <w:bottom w:val="nil"/>
              <w:right w:val="single" w:color="000000" w:sz="4" w:space="0"/>
            </w:tcBorders>
            <w:shd w:val="clear" w:color="auto" w:fill="FFFFFF"/>
            <w:noWrap/>
            <w:vAlign w:val="center"/>
          </w:tcPr>
          <w:p w14:paraId="10A50AC2">
            <w:pPr>
              <w:jc w:val="center"/>
              <w:textAlignment w:val="center"/>
              <w:rPr>
                <w:rFonts w:hint="eastAsia" w:ascii="宋体" w:hAnsi="宋体" w:cs="宋体"/>
                <w:color w:val="0F1115"/>
                <w:kern w:val="0"/>
                <w:sz w:val="24"/>
                <w:szCs w:val="24"/>
                <w:lang w:bidi="ar"/>
              </w:rPr>
            </w:pP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FC5A17">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功能箱包</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037CC842">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新秀丽、外交官</w:t>
            </w:r>
          </w:p>
        </w:tc>
        <w:tc>
          <w:tcPr>
            <w:tcW w:w="1610" w:type="dxa"/>
            <w:vMerge w:val="continue"/>
            <w:tcBorders>
              <w:left w:val="single" w:color="000000" w:sz="4" w:space="0"/>
              <w:right w:val="single" w:color="000000" w:sz="8" w:space="0"/>
            </w:tcBorders>
            <w:shd w:val="clear" w:color="auto" w:fill="FFFFFF"/>
            <w:noWrap w:val="0"/>
            <w:vAlign w:val="top"/>
          </w:tcPr>
          <w:p w14:paraId="541B13C6">
            <w:pPr>
              <w:widowControl/>
              <w:jc w:val="center"/>
              <w:textAlignment w:val="center"/>
              <w:rPr>
                <w:rFonts w:hint="eastAsia" w:ascii="宋体" w:hAnsi="宋体" w:cs="宋体"/>
                <w:color w:val="0F1115"/>
                <w:kern w:val="0"/>
                <w:sz w:val="24"/>
                <w:szCs w:val="24"/>
                <w:lang w:bidi="ar"/>
              </w:rPr>
            </w:pPr>
          </w:p>
        </w:tc>
      </w:tr>
      <w:tr w14:paraId="14F6CAA7">
        <w:tblPrEx>
          <w:tblCellMar>
            <w:top w:w="0" w:type="dxa"/>
            <w:left w:w="108" w:type="dxa"/>
            <w:bottom w:w="0" w:type="dxa"/>
            <w:right w:w="108" w:type="dxa"/>
          </w:tblCellMar>
        </w:tblPrEx>
        <w:trPr>
          <w:trHeight w:val="389" w:hRule="atLeast"/>
        </w:trPr>
        <w:tc>
          <w:tcPr>
            <w:tcW w:w="1633" w:type="dxa"/>
            <w:vMerge w:val="continue"/>
            <w:tcBorders>
              <w:top w:val="nil"/>
              <w:left w:val="single" w:color="000000" w:sz="8" w:space="0"/>
              <w:bottom w:val="nil"/>
              <w:right w:val="single" w:color="000000" w:sz="4" w:space="0"/>
            </w:tcBorders>
            <w:shd w:val="clear" w:color="auto" w:fill="FFFFFF"/>
            <w:noWrap/>
            <w:vAlign w:val="center"/>
          </w:tcPr>
          <w:p w14:paraId="1691C9D6">
            <w:pPr>
              <w:jc w:val="center"/>
              <w:textAlignment w:val="center"/>
              <w:rPr>
                <w:rFonts w:hint="eastAsia" w:ascii="宋体" w:hAnsi="宋体" w:cs="宋体"/>
                <w:color w:val="0F1115"/>
                <w:kern w:val="0"/>
                <w:sz w:val="24"/>
                <w:szCs w:val="24"/>
                <w:lang w:bidi="ar"/>
              </w:rPr>
            </w:pP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02C965">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体育户外</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0CCE6B4D">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李宁、探路者</w:t>
            </w:r>
          </w:p>
        </w:tc>
        <w:tc>
          <w:tcPr>
            <w:tcW w:w="1610" w:type="dxa"/>
            <w:vMerge w:val="continue"/>
            <w:tcBorders>
              <w:left w:val="single" w:color="000000" w:sz="4" w:space="0"/>
              <w:right w:val="single" w:color="000000" w:sz="8" w:space="0"/>
            </w:tcBorders>
            <w:shd w:val="clear" w:color="auto" w:fill="FFFFFF"/>
            <w:noWrap w:val="0"/>
            <w:vAlign w:val="top"/>
          </w:tcPr>
          <w:p w14:paraId="2F4033DA">
            <w:pPr>
              <w:widowControl/>
              <w:jc w:val="center"/>
              <w:textAlignment w:val="center"/>
              <w:rPr>
                <w:rFonts w:hint="eastAsia" w:ascii="宋体" w:hAnsi="宋体" w:cs="宋体"/>
                <w:color w:val="0F1115"/>
                <w:kern w:val="0"/>
                <w:sz w:val="24"/>
                <w:szCs w:val="24"/>
                <w:lang w:bidi="ar"/>
              </w:rPr>
            </w:pPr>
          </w:p>
        </w:tc>
      </w:tr>
      <w:tr w14:paraId="36B09FB1">
        <w:tblPrEx>
          <w:tblCellMar>
            <w:top w:w="0" w:type="dxa"/>
            <w:left w:w="108" w:type="dxa"/>
            <w:bottom w:w="0" w:type="dxa"/>
            <w:right w:w="108" w:type="dxa"/>
          </w:tblCellMar>
        </w:tblPrEx>
        <w:trPr>
          <w:trHeight w:val="389" w:hRule="atLeast"/>
        </w:trPr>
        <w:tc>
          <w:tcPr>
            <w:tcW w:w="1633" w:type="dxa"/>
            <w:vMerge w:val="continue"/>
            <w:tcBorders>
              <w:top w:val="nil"/>
              <w:left w:val="single" w:color="000000" w:sz="8" w:space="0"/>
              <w:bottom w:val="nil"/>
              <w:right w:val="single" w:color="000000" w:sz="4" w:space="0"/>
            </w:tcBorders>
            <w:shd w:val="clear" w:color="auto" w:fill="FFFFFF"/>
            <w:noWrap/>
            <w:vAlign w:val="center"/>
          </w:tcPr>
          <w:p w14:paraId="25163842">
            <w:pPr>
              <w:jc w:val="center"/>
              <w:textAlignment w:val="center"/>
              <w:rPr>
                <w:rFonts w:hint="eastAsia" w:ascii="宋体" w:hAnsi="宋体" w:cs="宋体"/>
                <w:color w:val="0F1115"/>
                <w:kern w:val="0"/>
                <w:sz w:val="24"/>
                <w:szCs w:val="24"/>
                <w:lang w:bidi="ar"/>
              </w:rPr>
            </w:pP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74E921">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个人护理</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01F26F83">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飘柔、护舒宝、佳洁士、珀莱雅</w:t>
            </w:r>
          </w:p>
        </w:tc>
        <w:tc>
          <w:tcPr>
            <w:tcW w:w="1610" w:type="dxa"/>
            <w:vMerge w:val="continue"/>
            <w:tcBorders>
              <w:left w:val="single" w:color="000000" w:sz="4" w:space="0"/>
              <w:right w:val="single" w:color="000000" w:sz="8" w:space="0"/>
            </w:tcBorders>
            <w:shd w:val="clear" w:color="auto" w:fill="FFFFFF"/>
            <w:noWrap w:val="0"/>
            <w:vAlign w:val="top"/>
          </w:tcPr>
          <w:p w14:paraId="728E6ACC">
            <w:pPr>
              <w:widowControl/>
              <w:jc w:val="center"/>
              <w:textAlignment w:val="center"/>
              <w:rPr>
                <w:rFonts w:hint="eastAsia" w:ascii="宋体" w:hAnsi="宋体" w:cs="宋体"/>
                <w:color w:val="0F1115"/>
                <w:kern w:val="0"/>
                <w:sz w:val="24"/>
                <w:szCs w:val="24"/>
                <w:lang w:bidi="ar"/>
              </w:rPr>
            </w:pPr>
          </w:p>
        </w:tc>
      </w:tr>
      <w:tr w14:paraId="563BE622">
        <w:tblPrEx>
          <w:tblCellMar>
            <w:top w:w="0" w:type="dxa"/>
            <w:left w:w="108" w:type="dxa"/>
            <w:bottom w:w="0" w:type="dxa"/>
            <w:right w:w="108" w:type="dxa"/>
          </w:tblCellMar>
        </w:tblPrEx>
        <w:trPr>
          <w:trHeight w:val="389" w:hRule="atLeast"/>
        </w:trPr>
        <w:tc>
          <w:tcPr>
            <w:tcW w:w="1633" w:type="dxa"/>
            <w:tcBorders>
              <w:top w:val="single" w:color="000000" w:sz="4" w:space="0"/>
              <w:left w:val="single" w:color="000000" w:sz="8" w:space="0"/>
              <w:bottom w:val="single" w:color="000000" w:sz="4" w:space="0"/>
              <w:right w:val="single" w:color="000000" w:sz="4" w:space="0"/>
            </w:tcBorders>
            <w:shd w:val="clear" w:color="auto" w:fill="FFFFFF"/>
            <w:noWrap/>
            <w:vAlign w:val="center"/>
          </w:tcPr>
          <w:p w14:paraId="7458D07E">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3C数码</w:t>
            </w:r>
          </w:p>
        </w:tc>
        <w:tc>
          <w:tcPr>
            <w:tcW w:w="163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BFDF15">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数码配件</w:t>
            </w:r>
          </w:p>
        </w:tc>
        <w:tc>
          <w:tcPr>
            <w:tcW w:w="3553" w:type="dxa"/>
            <w:tcBorders>
              <w:top w:val="single" w:color="000000" w:sz="4" w:space="0"/>
              <w:left w:val="single" w:color="000000" w:sz="4" w:space="0"/>
              <w:bottom w:val="single" w:color="000000" w:sz="4" w:space="0"/>
              <w:right w:val="single" w:color="000000" w:sz="8" w:space="0"/>
            </w:tcBorders>
            <w:shd w:val="clear" w:color="auto" w:fill="FFFFFF"/>
            <w:noWrap w:val="0"/>
            <w:vAlign w:val="center"/>
          </w:tcPr>
          <w:p w14:paraId="3A96EBE4">
            <w:pPr>
              <w:widowControl/>
              <w:jc w:val="center"/>
              <w:textAlignment w:val="center"/>
              <w:rPr>
                <w:rFonts w:hint="eastAsia" w:ascii="宋体" w:hAnsi="宋体" w:cs="宋体"/>
                <w:color w:val="0F1115"/>
                <w:kern w:val="0"/>
                <w:sz w:val="24"/>
                <w:szCs w:val="24"/>
                <w:lang w:bidi="ar"/>
              </w:rPr>
            </w:pPr>
            <w:r>
              <w:rPr>
                <w:rFonts w:hint="eastAsia" w:ascii="宋体" w:hAnsi="宋体" w:cs="宋体"/>
                <w:color w:val="0F1115"/>
                <w:kern w:val="0"/>
                <w:sz w:val="24"/>
                <w:szCs w:val="24"/>
                <w:lang w:bidi="ar"/>
              </w:rPr>
              <w:t>小米、绿联、华为</w:t>
            </w:r>
          </w:p>
        </w:tc>
        <w:tc>
          <w:tcPr>
            <w:tcW w:w="1610" w:type="dxa"/>
            <w:vMerge w:val="continue"/>
            <w:tcBorders>
              <w:left w:val="single" w:color="000000" w:sz="4" w:space="0"/>
              <w:right w:val="single" w:color="000000" w:sz="8" w:space="0"/>
            </w:tcBorders>
            <w:shd w:val="clear" w:color="auto" w:fill="FFFFFF"/>
            <w:noWrap w:val="0"/>
            <w:vAlign w:val="top"/>
          </w:tcPr>
          <w:p w14:paraId="285D4354">
            <w:pPr>
              <w:widowControl/>
              <w:jc w:val="center"/>
              <w:textAlignment w:val="center"/>
              <w:rPr>
                <w:rFonts w:hint="eastAsia" w:ascii="宋体" w:hAnsi="宋体" w:cs="宋体"/>
                <w:color w:val="0F1115"/>
                <w:kern w:val="0"/>
                <w:sz w:val="24"/>
                <w:szCs w:val="24"/>
                <w:lang w:bidi="ar"/>
              </w:rPr>
            </w:pPr>
          </w:p>
        </w:tc>
      </w:tr>
    </w:tbl>
    <w:p w14:paraId="356E4E3E">
      <w:pPr>
        <w:widowControl/>
        <w:spacing w:line="560" w:lineRule="exact"/>
        <w:ind w:right="420" w:rightChars="200" w:firstLine="480" w:firstLineChars="200"/>
        <w:rPr>
          <w:rStyle w:val="8"/>
          <w:rFonts w:hint="eastAsia" w:ascii="宋体" w:hAnsi="宋体" w:cs="宋体"/>
          <w:sz w:val="24"/>
          <w:szCs w:val="24"/>
        </w:rPr>
      </w:pPr>
      <w:bookmarkStart w:id="12" w:name="OLE_LINK14"/>
      <w:r>
        <w:rPr>
          <w:rStyle w:val="8"/>
          <w:rFonts w:hint="eastAsia" w:ascii="宋体" w:hAnsi="宋体" w:cs="宋体"/>
          <w:sz w:val="24"/>
          <w:szCs w:val="24"/>
        </w:rPr>
        <w:t>（3）所有上架商品的供货价为</w:t>
      </w:r>
      <w:r>
        <w:rPr>
          <w:rFonts w:hint="eastAsia" w:ascii="宋体" w:hAnsi="宋体" w:cs="宋体"/>
          <w:sz w:val="24"/>
          <w:szCs w:val="24"/>
        </w:rPr>
        <w:t>含税价且包含一件代发的运费（其中定制商品报价还应包含完成定制、供货、包装及交付所需的相关费用），且</w:t>
      </w:r>
      <w:r>
        <w:rPr>
          <w:rStyle w:val="8"/>
          <w:rFonts w:hint="eastAsia" w:ascii="宋体" w:hAnsi="宋体" w:cs="宋体"/>
          <w:sz w:val="24"/>
          <w:szCs w:val="24"/>
        </w:rPr>
        <w:t>不高于投标人基于京东自营店、商品旗舰店在售同款商品京东价（618、双11、双12等活动期间价格除外）的对应折扣价。</w:t>
      </w:r>
    </w:p>
    <w:bookmarkEnd w:id="12"/>
    <w:p w14:paraId="23D1B6D0">
      <w:pPr>
        <w:widowControl/>
        <w:spacing w:line="560" w:lineRule="exact"/>
        <w:ind w:right="420" w:rightChars="200" w:firstLine="480" w:firstLineChars="200"/>
        <w:rPr>
          <w:rFonts w:hint="eastAsia" w:ascii="宋体" w:hAnsi="宋体" w:cs="宋体"/>
          <w:b/>
          <w:bCs/>
          <w:sz w:val="24"/>
          <w:szCs w:val="24"/>
        </w:rPr>
      </w:pPr>
      <w:r>
        <w:rPr>
          <w:rFonts w:hint="eastAsia" w:ascii="宋体" w:hAnsi="宋体" w:cs="宋体"/>
          <w:b/>
          <w:bCs/>
          <w:sz w:val="24"/>
          <w:szCs w:val="24"/>
        </w:rPr>
        <w:t>3.系统费用和其他费用报价规则</w:t>
      </w:r>
    </w:p>
    <w:p w14:paraId="3AB586AE">
      <w:pPr>
        <w:widowControl/>
        <w:spacing w:line="560" w:lineRule="exact"/>
        <w:ind w:right="420" w:rightChars="200" w:firstLine="480" w:firstLineChars="200"/>
        <w:rPr>
          <w:rFonts w:hint="eastAsia" w:ascii="宋体" w:hAnsi="宋体" w:cs="宋体"/>
          <w:bCs/>
          <w:sz w:val="24"/>
          <w:szCs w:val="24"/>
        </w:rPr>
      </w:pPr>
      <w:r>
        <w:rPr>
          <w:rFonts w:hint="eastAsia" w:ascii="宋体" w:hAnsi="宋体" w:cs="宋体"/>
          <w:bCs/>
          <w:sz w:val="24"/>
          <w:szCs w:val="24"/>
        </w:rPr>
        <w:t>系统费用：包括积分商城基础服务费、平台对接费、定制化二次开发费用、平台使用费、界面不定期设计、运营支持服务费、定制化开发费等系统所需的一切费用。</w:t>
      </w:r>
    </w:p>
    <w:p w14:paraId="2E37FE2D">
      <w:pPr>
        <w:widowControl/>
        <w:spacing w:line="560" w:lineRule="exact"/>
        <w:ind w:right="420" w:rightChars="200" w:firstLine="480" w:firstLineChars="200"/>
        <w:rPr>
          <w:rFonts w:hint="eastAsia" w:ascii="宋体" w:hAnsi="宋体" w:cs="宋体"/>
          <w:bCs/>
          <w:sz w:val="24"/>
          <w:szCs w:val="24"/>
        </w:rPr>
      </w:pPr>
      <w:r>
        <w:rPr>
          <w:rFonts w:hint="eastAsia" w:ascii="宋体" w:hAnsi="宋体" w:cs="宋体"/>
          <w:bCs/>
          <w:sz w:val="24"/>
          <w:szCs w:val="24"/>
        </w:rPr>
        <w:t xml:space="preserve">其他费用：本项目涉及的所有其他可能产生的费用，如特殊物流附加费、特殊商品服务费、售后服务额外成本、应急响应保障费、合规与认证费用、培训与支持费用等，均应一次性列明并包含在本项报价中，确保无隐性收费风险，且总费用合理。 </w:t>
      </w:r>
    </w:p>
    <w:p w14:paraId="5D541879">
      <w:pPr>
        <w:rPr>
          <w:rFonts w:hint="eastAsia"/>
        </w:rPr>
      </w:pPr>
    </w:p>
    <w:p w14:paraId="3B9AC9F9">
      <w:pPr>
        <w:widowControl/>
        <w:spacing w:line="560" w:lineRule="exact"/>
        <w:ind w:right="420" w:rightChars="200" w:firstLine="480" w:firstLineChars="200"/>
        <w:outlineLvl w:val="1"/>
        <w:rPr>
          <w:rFonts w:hint="eastAsia" w:ascii="宋体" w:hAnsi="宋体" w:cs="宋体"/>
          <w:sz w:val="24"/>
          <w:szCs w:val="24"/>
        </w:rPr>
      </w:pPr>
      <w:r>
        <w:rPr>
          <w:rFonts w:hint="eastAsia" w:ascii="宋体" w:hAnsi="宋体" w:cs="宋体"/>
          <w:sz w:val="24"/>
          <w:szCs w:val="24"/>
        </w:rPr>
        <w:t>四、其他要求</w:t>
      </w:r>
    </w:p>
    <w:p w14:paraId="334BC7D2">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 xml:space="preserve">1.投标人具有为金融保险机构搭建或优化升级积分商城、并成功整合多供应商资源的经验或能力。 </w:t>
      </w:r>
    </w:p>
    <w:p w14:paraId="0A6B880E">
      <w:pPr>
        <w:widowControl/>
        <w:spacing w:line="560" w:lineRule="exact"/>
        <w:ind w:right="420" w:rightChars="200" w:firstLine="480" w:firstLineChars="200"/>
        <w:rPr>
          <w:rFonts w:hint="eastAsia" w:ascii="宋体" w:hAnsi="宋体" w:cs="宋体"/>
          <w:sz w:val="24"/>
          <w:szCs w:val="24"/>
        </w:rPr>
      </w:pPr>
      <w:r>
        <w:rPr>
          <w:rFonts w:hint="eastAsia" w:ascii="宋体" w:hAnsi="宋体" w:cs="宋体"/>
          <w:sz w:val="24"/>
          <w:szCs w:val="24"/>
        </w:rPr>
        <w:t>2.投标人需配备充足、稳定、高素质的项目团队，成员固定，确保项目能够高效、有序推进和完成：该项目团队需包含技术研发人员、商城运营人员、售后服务人员、资源整合（供应链）管理人员等关键岗位人员，为保障本次优化升级项目的复杂度，</w:t>
      </w:r>
      <w:bookmarkStart w:id="13" w:name="_GoBack"/>
      <w:bookmarkEnd w:id="13"/>
      <w:r>
        <w:rPr>
          <w:rFonts w:hint="eastAsia" w:ascii="宋体" w:hAnsi="宋体" w:cs="宋体"/>
          <w:sz w:val="24"/>
          <w:szCs w:val="24"/>
        </w:rPr>
        <w:t xml:space="preserve">建议核心成员人数不少于8人。 </w:t>
      </w:r>
    </w:p>
    <w:p w14:paraId="0A8C61E1">
      <w:pPr>
        <w:widowControl/>
        <w:spacing w:line="560" w:lineRule="exact"/>
        <w:ind w:right="420" w:rightChars="200" w:firstLine="480" w:firstLineChars="200"/>
        <w:rPr>
          <w:rFonts w:ascii="宋体" w:hAnsi="宋体" w:cs="宋体"/>
          <w:sz w:val="24"/>
          <w:szCs w:val="24"/>
        </w:rPr>
        <w:sectPr>
          <w:footerReference r:id="rId5" w:type="first"/>
          <w:footerReference r:id="rId3" w:type="default"/>
          <w:footerReference r:id="rId4" w:type="even"/>
          <w:pgSz w:w="11906" w:h="16838"/>
          <w:pgMar w:top="1440" w:right="1800" w:bottom="1440" w:left="1800" w:header="1021" w:footer="907" w:gutter="0"/>
          <w:cols w:space="720" w:num="1"/>
          <w:docGrid w:type="linesAndChars" w:linePitch="312" w:charSpace="0"/>
        </w:sectPr>
      </w:pPr>
    </w:p>
    <w:p w14:paraId="57AF549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B5257">
    <w:pPr>
      <w:spacing w:line="580" w:lineRule="exact"/>
      <w:jc w:val="center"/>
      <w:outlineLvl w:val="0"/>
    </w:pPr>
    <w:r>
      <w:fldChar w:fldCharType="begin"/>
    </w:r>
    <w:r>
      <w:rPr>
        <w:rStyle w:val="7"/>
      </w:rPr>
      <w:instrText xml:space="preserve"> PAGE </w:instrText>
    </w:r>
    <w:r>
      <w:fldChar w:fldCharType="separate"/>
    </w:r>
    <w:r>
      <w:rPr>
        <w:rStyle w:val="7"/>
      </w:rPr>
      <w:t>19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0702D">
    <w:pPr>
      <w:pStyle w:val="4"/>
      <w:framePr w:wrap="around" w:vAnchor="text" w:hAnchor="margin" w:xAlign="right" w:y="1"/>
      <w:rPr>
        <w:rStyle w:val="7"/>
      </w:rPr>
    </w:pPr>
    <w:r>
      <w:fldChar w:fldCharType="begin"/>
    </w:r>
    <w:r>
      <w:rPr>
        <w:rStyle w:val="7"/>
      </w:rPr>
      <w:instrText xml:space="preserve">PAGE  </w:instrText>
    </w:r>
    <w:r>
      <w:fldChar w:fldCharType="end"/>
    </w:r>
  </w:p>
  <w:p w14:paraId="61EAC91C">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DCE75">
    <w:pPr>
      <w:pStyle w:val="4"/>
      <w:framePr w:wrap="around" w:vAnchor="text" w:hAnchor="margin" w:xAlign="center" w:y="1"/>
      <w:jc w:val="center"/>
      <w:rPr>
        <w:rStyle w:val="7"/>
      </w:rPr>
    </w:pPr>
    <w:r>
      <w:fldChar w:fldCharType="begin"/>
    </w:r>
    <w:r>
      <w:rPr>
        <w:rStyle w:val="7"/>
      </w:rPr>
      <w:instrText xml:space="preserve">PAGE  </w:instrText>
    </w:r>
    <w:r>
      <w:fldChar w:fldCharType="separate"/>
    </w:r>
    <w:r>
      <w:rPr>
        <w:rStyle w:val="7"/>
      </w:rPr>
      <w:t>31</w:t>
    </w:r>
    <w:r>
      <w:fldChar w:fldCharType="end"/>
    </w:r>
  </w:p>
  <w:p w14:paraId="30829D0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2E1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2"/>
    <w:basedOn w:val="1"/>
    <w:next w:val="1"/>
    <w:qFormat/>
    <w:uiPriority w:val="9"/>
    <w:pPr>
      <w:keepNext/>
      <w:keepLines/>
      <w:spacing w:before="260" w:after="260" w:line="416" w:lineRule="auto"/>
      <w:outlineLvl w:val="1"/>
    </w:pPr>
    <w:rPr>
      <w:rFonts w:ascii="Arial" w:hAnsi="Arial" w:eastAsia="黑体"/>
      <w:b/>
      <w:bCs/>
      <w:sz w:val="32"/>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Autospacing="0"/>
    </w:pPr>
  </w:style>
  <w:style w:type="paragraph" w:styleId="4">
    <w:name w:val="footer"/>
    <w:basedOn w:val="1"/>
    <w:qFormat/>
    <w:uiPriority w:val="99"/>
    <w:pPr>
      <w:tabs>
        <w:tab w:val="center" w:pos="4153"/>
        <w:tab w:val="right" w:pos="8306"/>
      </w:tabs>
      <w:snapToGrid w:val="0"/>
      <w:jc w:val="left"/>
    </w:pPr>
    <w:rPr>
      <w:sz w:val="18"/>
    </w:rPr>
  </w:style>
  <w:style w:type="character" w:styleId="7">
    <w:name w:val="page number"/>
    <w:qFormat/>
    <w:uiPriority w:val="0"/>
  </w:style>
  <w:style w:type="character" w:styleId="8">
    <w:name w:val="annotation reference"/>
    <w:qFormat/>
    <w:uiPriority w:val="0"/>
    <w:rPr>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2026-04-14T07:48:49Z</dcterms:created>
  <dc:creator>Lenovo</dc:creator>
  <cp:lastModifiedBy>沈恕</cp:lastModifiedBy>
  <dcterms:modified xsi:type="dcterms:W3CDTF">2026-04-14T07:48:52Z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eyJoZGlkIjoiYjE1MWE4ZDUzYWRjMWM4M2UyZjE0NTc1Mzg3ZTFhZTkiLCJ1c2VySWQiOiI3MTUwMDkzNzQifQ==</vt:lpwstr>
  </property>
  <property fmtid="{D5CDD505-2E9C-101B-9397-08002B2CF9AE}" pid="4" name="ICV">
    <vt:lpwstr>7993654C16F743A0994FC89956D1E830_12</vt:lpwstr>
  </property>
</Properties>
</file>