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88CC5">
      <w:pPr>
        <w:pStyle w:val="7"/>
        <w:spacing w:line="240" w:lineRule="auto"/>
      </w:pPr>
      <w:r>
        <w:rPr>
          <w:rtl w:val="0"/>
        </w:rPr>
        <w:t>一、需求背景</w:t>
      </w:r>
    </w:p>
    <w:p w14:paraId="52E7C2C5">
      <w:pPr>
        <w:pStyle w:val="8"/>
        <w:spacing w:line="240" w:lineRule="auto"/>
        <w:jc w:val="left"/>
      </w:pPr>
      <w:r>
        <w:rPr>
          <w:rtl w:val="0"/>
        </w:rPr>
        <w:t>1.1 背景概述</w:t>
      </w:r>
    </w:p>
    <w:p w14:paraId="4B59EBB6">
      <w:pPr>
        <w:pStyle w:val="4"/>
        <w:spacing w:line="240" w:lineRule="auto"/>
        <w:jc w:val="both"/>
      </w:pPr>
      <w:r>
        <w:rPr>
          <w:rtl w:val="0"/>
        </w:rPr>
        <w:t>  为了解决企业存在的餐卡结余消费诉求，为第三方资产类型提供消费场景，淘福客针对此类场景 输出标准解决方案：积分商城新增资产类型标识，用于区分收银台支付类型，支持第三方资产扣减；在淘福客积分商城进行选购商品，我方提供标准收银台，支持接口查询第三方资产余额，并通知对方扣减金额支付。根据支付回调结果展示后续订单状态，完成C端用户订单交易链路。</w:t>
      </w:r>
    </w:p>
    <w:p w14:paraId="26E40AD9">
      <w:pPr>
        <w:pStyle w:val="8"/>
        <w:spacing w:line="240" w:lineRule="auto"/>
        <w:jc w:val="left"/>
      </w:pPr>
      <w:r>
        <w:rPr>
          <w:rtl w:val="0"/>
        </w:rPr>
        <w:t>1.2 业务流程说明</w:t>
      </w:r>
    </w:p>
    <w:p w14:paraId="46A2E2BD">
      <w:pPr>
        <w:pStyle w:val="4"/>
        <w:spacing w:line="240" w:lineRule="auto"/>
        <w:jc w:val="left"/>
      </w:pPr>
      <w:r>
        <w:rPr>
          <w:rtl w:val="0"/>
        </w:rPr>
        <w:drawing>
          <wp:inline distT="0" distB="0" distL="114300" distR="114300">
            <wp:extent cx="5029200" cy="3687445"/>
            <wp:effectExtent l="0" t="0" r="0" b="8255"/>
            <wp:docPr id="2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"/>
                    <pic:cNvPicPr/>
                  </pic:nvPicPr>
                  <pic:blipFill>
                    <a:blip r:embed="rId4"/>
                    <a:srcRect l="7477" t="9391" r="7917" b="112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A3BC">
      <w:pPr>
        <w:pStyle w:val="4"/>
        <w:numPr>
          <w:ilvl w:val="0"/>
          <w:numId w:val="1"/>
        </w:numPr>
        <w:spacing w:line="240" w:lineRule="auto"/>
        <w:rPr>
          <w:color w:val="B95514"/>
        </w:rPr>
      </w:pPr>
      <w:r>
        <w:rPr>
          <w:b/>
          <w:color w:val="B95514"/>
          <w:rtl w:val="0"/>
        </w:rPr>
        <w:t>登录：</w:t>
      </w:r>
    </w:p>
    <w:p w14:paraId="1763CEF9">
      <w:pPr>
        <w:pStyle w:val="4"/>
        <w:numPr>
          <w:ilvl w:val="1"/>
          <w:numId w:val="1"/>
        </w:numPr>
        <w:spacing w:line="240" w:lineRule="auto"/>
      </w:pPr>
      <w:r>
        <w:rPr>
          <w:rtl w:val="0"/>
        </w:rPr>
        <w:t>C端用户按照我方现有手机号+验证码 登录方式进入商城</w:t>
      </w:r>
    </w:p>
    <w:p w14:paraId="37749741">
      <w:pPr>
        <w:pStyle w:val="4"/>
        <w:numPr>
          <w:ilvl w:val="0"/>
          <w:numId w:val="1"/>
        </w:numPr>
        <w:spacing w:line="240" w:lineRule="auto"/>
        <w:rPr>
          <w:color w:val="B95514"/>
        </w:rPr>
      </w:pPr>
      <w:r>
        <w:rPr>
          <w:b/>
          <w:color w:val="B95514"/>
          <w:rtl w:val="0"/>
        </w:rPr>
        <w:t>在淘福客收银台拉取第三方积分余额展示：</w:t>
      </w:r>
    </w:p>
    <w:p w14:paraId="1084A199">
      <w:pPr>
        <w:pStyle w:val="4"/>
        <w:numPr>
          <w:ilvl w:val="1"/>
          <w:numId w:val="1"/>
        </w:numPr>
        <w:spacing w:line="240" w:lineRule="auto"/>
      </w:pPr>
      <w:r>
        <w:rPr>
          <w:rtl w:val="0"/>
        </w:rPr>
        <w:t>首先通过第三方积分查询接口，查询出可用的积分（仅集团积分），然后最大化抵扣第三方积分额</w:t>
      </w:r>
    </w:p>
    <w:p w14:paraId="758524A4">
      <w:pPr>
        <w:pStyle w:val="4"/>
        <w:numPr>
          <w:ilvl w:val="1"/>
          <w:numId w:val="1"/>
        </w:numPr>
        <w:spacing w:line="240" w:lineRule="auto"/>
      </w:pPr>
      <w:r>
        <w:rPr>
          <w:rtl w:val="0"/>
        </w:rPr>
        <w:t>再计算需补差金额</w:t>
      </w:r>
    </w:p>
    <w:p w14:paraId="68727EF3">
      <w:pPr>
        <w:pStyle w:val="4"/>
        <w:numPr>
          <w:ilvl w:val="0"/>
          <w:numId w:val="1"/>
        </w:numPr>
        <w:spacing w:line="240" w:lineRule="auto"/>
        <w:rPr>
          <w:color w:val="B95514"/>
        </w:rPr>
      </w:pPr>
      <w:r>
        <w:rPr>
          <w:b/>
          <w:color w:val="B95514"/>
          <w:rtl w:val="0"/>
        </w:rPr>
        <w:t>实际支付：</w:t>
      </w:r>
    </w:p>
    <w:p w14:paraId="3CBC2F3E">
      <w:pPr>
        <w:pStyle w:val="4"/>
        <w:numPr>
          <w:ilvl w:val="1"/>
          <w:numId w:val="1"/>
        </w:numPr>
        <w:spacing w:line="240" w:lineRule="auto"/>
        <w:rPr>
          <w:color w:val="494949"/>
        </w:rPr>
      </w:pPr>
      <w:r>
        <w:rPr>
          <w:color w:val="494949"/>
          <w:rtl w:val="0"/>
        </w:rPr>
        <w:t>首先按照计算金额，调用第三方积分支付接口，通知其抵扣金额；第三方积分抵扣成功后，返回扣减结果</w:t>
      </w:r>
    </w:p>
    <w:p w14:paraId="7740DB5F">
      <w:pPr>
        <w:pStyle w:val="4"/>
        <w:numPr>
          <w:ilvl w:val="1"/>
          <w:numId w:val="1"/>
        </w:numPr>
        <w:spacing w:line="240" w:lineRule="auto"/>
        <w:rPr>
          <w:color w:val="494949"/>
        </w:rPr>
      </w:pPr>
      <w:r>
        <w:rPr>
          <w:color w:val="494949"/>
          <w:rtl w:val="0"/>
        </w:rPr>
        <w:t>再调起第三方支付进行补差（如需）</w:t>
      </w:r>
    </w:p>
    <w:p w14:paraId="67E0A034">
      <w:pPr>
        <w:pStyle w:val="4"/>
        <w:numPr>
          <w:ilvl w:val="1"/>
          <w:numId w:val="1"/>
        </w:numPr>
        <w:spacing w:line="240" w:lineRule="auto"/>
        <w:rPr>
          <w:color w:val="494949"/>
        </w:rPr>
      </w:pPr>
      <w:r>
        <w:rPr>
          <w:color w:val="494949"/>
          <w:rtl w:val="0"/>
        </w:rPr>
        <w:t>补差成功后，支付成功</w:t>
      </w:r>
    </w:p>
    <w:p w14:paraId="227993EB">
      <w:pPr>
        <w:pStyle w:val="4"/>
        <w:numPr>
          <w:ilvl w:val="1"/>
          <w:numId w:val="1"/>
        </w:numPr>
        <w:spacing w:line="240" w:lineRule="auto"/>
        <w:rPr>
          <w:color w:val="494949"/>
        </w:rPr>
      </w:pPr>
      <w:r>
        <w:rPr>
          <w:color w:val="494949"/>
          <w:rtl w:val="0"/>
        </w:rPr>
        <w:t>如取消订单，则扣减的第三方积分原路退回</w:t>
      </w:r>
    </w:p>
    <w:p w14:paraId="5B6FB3FC">
      <w:pPr>
        <w:pStyle w:val="4"/>
        <w:numPr>
          <w:ilvl w:val="0"/>
          <w:numId w:val="1"/>
        </w:numPr>
        <w:spacing w:line="240" w:lineRule="auto"/>
        <w:rPr>
          <w:color w:val="B95514"/>
        </w:rPr>
      </w:pPr>
      <w:r>
        <w:rPr>
          <w:b/>
          <w:color w:val="B95514"/>
          <w:rtl w:val="0"/>
        </w:rPr>
        <w:t>售后：</w:t>
      </w:r>
    </w:p>
    <w:p w14:paraId="30AAD7F4">
      <w:pPr>
        <w:pStyle w:val="4"/>
        <w:numPr>
          <w:ilvl w:val="1"/>
          <w:numId w:val="1"/>
        </w:numPr>
        <w:spacing w:line="240" w:lineRule="auto"/>
      </w:pPr>
      <w:r>
        <w:rPr>
          <w:rtl w:val="0"/>
        </w:rPr>
        <w:t>售后退款流程和机制保持不变</w:t>
      </w:r>
    </w:p>
    <w:p w14:paraId="29CA09E9">
      <w:pPr>
        <w:pStyle w:val="4"/>
        <w:spacing w:line="240" w:lineRule="auto"/>
        <w:jc w:val="left"/>
      </w:pPr>
    </w:p>
    <w:p w14:paraId="638A8496">
      <w:pPr>
        <w:pStyle w:val="4"/>
        <w:spacing w:line="240" w:lineRule="auto"/>
        <w:jc w:val="left"/>
      </w:pPr>
    </w:p>
    <w:p w14:paraId="263D1BD4">
      <w:pPr>
        <w:pStyle w:val="8"/>
        <w:spacing w:line="240" w:lineRule="auto"/>
        <w:jc w:val="left"/>
      </w:pPr>
      <w:r>
        <w:rPr>
          <w:rtl w:val="0"/>
        </w:rPr>
        <w:t>1.3 业务核心诉求</w:t>
      </w:r>
    </w:p>
    <w:p w14:paraId="7F21926F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访问及登录方式：用户通过点击商城链接访问，使用手机号+验证码登入商城</w:t>
      </w:r>
    </w:p>
    <w:p w14:paraId="753333E2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可将用户手机号码作为关联标识，与其饭卡（卡号ID）进行信息绑定（其他关联标识：用户ID、用户手机号码、工号等）</w:t>
      </w:r>
    </w:p>
    <w:p w14:paraId="5FE6FEE9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将第三方饭卡余额作为一种第三方资产类型，即第三方积分（在淘福客侧为通用积分），用户可在淘福客前端确认订单页 查看余额并使用积分抵扣</w:t>
      </w:r>
    </w:p>
    <w:p w14:paraId="64C64370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第三方饭卡余额，区分集团充值及个人充值两部分，即仅拉取“餐补余额”；仅集团充值部分可用于消费抵扣、展示余额；个人充值的部分，在前端商城不体现</w:t>
      </w:r>
    </w:p>
    <w:p w14:paraId="2CCEE93D">
      <w:pPr>
        <w:pStyle w:val="4"/>
        <w:spacing w:line="240" w:lineRule="auto"/>
      </w:pPr>
      <w:r>
        <w:rPr>
          <w:rtl w:val="0"/>
        </w:rPr>
        <w:drawing>
          <wp:inline distT="0" distB="0" distL="114300" distR="114300">
            <wp:extent cx="5029200" cy="4757420"/>
            <wp:effectExtent l="0" t="0" r="0" b="5080"/>
            <wp:docPr id="60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Drawing 3"/>
                    <pic:cNvPicPr/>
                  </pic:nvPicPr>
                  <pic:blipFill>
                    <a:blip r:embed="rId5"/>
                    <a:srcRect t="13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CEA8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此类使用第三方资产的积分商城，均需研发逐一对接</w:t>
      </w:r>
    </w:p>
    <w:p w14:paraId="3714953E">
      <w:pPr>
        <w:pStyle w:val="4"/>
        <w:numPr>
          <w:ilvl w:val="0"/>
          <w:numId w:val="2"/>
        </w:numPr>
        <w:spacing w:line="240" w:lineRule="auto"/>
      </w:pPr>
      <w:r>
        <w:rPr>
          <w:rtl w:val="0"/>
        </w:rPr>
        <w:t>资产类型为“第三方资产”的积分商城，不支持新建积分订单、下发淘福客积分；与淘福客体系积分互斥，二者不可同时存在</w:t>
      </w:r>
    </w:p>
    <w:p w14:paraId="10D5DCF5">
      <w:pPr>
        <w:pStyle w:val="4"/>
        <w:numPr>
          <w:ilvl w:val="0"/>
          <w:numId w:val="2"/>
        </w:numPr>
        <w:spacing w:line="240" w:lineRule="auto"/>
        <w:rPr>
          <w:color w:val="FF0000"/>
        </w:rPr>
      </w:pPr>
      <w:r>
        <w:rPr>
          <w:color w:val="FF0000"/>
          <w:highlight w:val="lightGray"/>
          <w:rtl w:val="0"/>
        </w:rPr>
        <w:t>目前第三方资产积分商城，不支持开通客户saas系统</w:t>
      </w:r>
    </w:p>
    <w:p w14:paraId="7CD7DDC3">
      <w:pPr>
        <w:pStyle w:val="4"/>
        <w:spacing w:line="240" w:lineRule="auto"/>
      </w:pPr>
    </w:p>
    <w:p w14:paraId="68915C9C">
      <w:pPr>
        <w:pStyle w:val="4"/>
        <w:spacing w:line="240" w:lineRule="auto"/>
      </w:pPr>
    </w:p>
    <w:p w14:paraId="74D2623B">
      <w:pPr>
        <w:pStyle w:val="4"/>
        <w:spacing w:line="240" w:lineRule="auto"/>
      </w:pPr>
    </w:p>
    <w:p w14:paraId="0CEC36C0">
      <w:pPr>
        <w:pStyle w:val="7"/>
        <w:spacing w:line="240" w:lineRule="auto"/>
      </w:pPr>
      <w:r>
        <w:rPr>
          <w:rtl w:val="0"/>
        </w:rPr>
        <w:t>二、运营商管理系统</w:t>
      </w:r>
    </w:p>
    <w:p w14:paraId="22A83582">
      <w:pPr>
        <w:pStyle w:val="8"/>
        <w:spacing w:line="240" w:lineRule="auto"/>
      </w:pPr>
      <w:r>
        <w:rPr>
          <w:rtl w:val="0"/>
        </w:rPr>
        <w:t>2.1 积分商城-基础信息页</w:t>
      </w:r>
    </w:p>
    <w:p w14:paraId="5AF74A68">
      <w:pPr>
        <w:pStyle w:val="4"/>
        <w:spacing w:line="240" w:lineRule="auto"/>
      </w:pPr>
      <w:r>
        <w:drawing>
          <wp:inline distT="0" distB="0" distL="114300" distR="114300">
            <wp:extent cx="5029200" cy="2866390"/>
            <wp:effectExtent l="0" t="0" r="0" b="635"/>
            <wp:docPr id="7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Drawing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E754">
      <w:pPr>
        <w:pStyle w:val="4"/>
        <w:numPr>
          <w:ilvl w:val="0"/>
          <w:numId w:val="3"/>
        </w:numPr>
        <w:spacing w:line="240" w:lineRule="auto"/>
      </w:pPr>
      <w:r>
        <w:rPr>
          <w:rtl w:val="0"/>
        </w:rPr>
        <w:t>整体说明：</w:t>
      </w:r>
    </w:p>
    <w:p w14:paraId="127D7FFA">
      <w:pPr>
        <w:pStyle w:val="4"/>
        <w:numPr>
          <w:ilvl w:val="1"/>
          <w:numId w:val="3"/>
        </w:numPr>
        <w:spacing w:line="240" w:lineRule="auto"/>
      </w:pPr>
      <w:r>
        <w:rPr>
          <w:rtl w:val="0"/>
        </w:rPr>
        <w:t>积分商城类型，商城信息页新增“资产类型”配置项</w:t>
      </w:r>
    </w:p>
    <w:p w14:paraId="6AC182E0">
      <w:pPr>
        <w:pStyle w:val="4"/>
        <w:numPr>
          <w:ilvl w:val="2"/>
          <w:numId w:val="3"/>
        </w:numPr>
        <w:spacing w:line="240" w:lineRule="auto"/>
      </w:pPr>
      <w:r>
        <w:rPr>
          <w:rtl w:val="0"/>
        </w:rPr>
        <w:t>该配置项置灰；常规及存量积分商城，均默认选中“商城积分”</w:t>
      </w:r>
    </w:p>
    <w:p w14:paraId="16D86C51">
      <w:pPr>
        <w:pStyle w:val="4"/>
        <w:numPr>
          <w:ilvl w:val="2"/>
          <w:numId w:val="3"/>
        </w:numPr>
        <w:spacing w:line="240" w:lineRule="auto"/>
      </w:pPr>
      <w:r>
        <w:rPr>
          <w:rtl w:val="0"/>
        </w:rPr>
        <w:t>该配置项运营商仅可见，但不可操作更改</w:t>
      </w:r>
    </w:p>
    <w:p w14:paraId="1AE49714">
      <w:pPr>
        <w:pStyle w:val="4"/>
        <w:numPr>
          <w:ilvl w:val="1"/>
          <w:numId w:val="3"/>
        </w:numPr>
        <w:spacing w:line="240" w:lineRule="auto"/>
      </w:pPr>
      <w:r>
        <w:rPr>
          <w:rtl w:val="0"/>
        </w:rPr>
        <w:t>此类使用第三方资产的积分商城，均需研发逐一对接；对接成功后，资产类型选项展示为“第三方资产”；运营商可见，但不可操作更改</w:t>
      </w:r>
    </w:p>
    <w:p w14:paraId="55F5ABBF">
      <w:pPr>
        <w:pStyle w:val="4"/>
        <w:spacing w:line="240" w:lineRule="auto"/>
      </w:pPr>
    </w:p>
    <w:p w14:paraId="26C43E14">
      <w:pPr>
        <w:pStyle w:val="4"/>
        <w:spacing w:line="240" w:lineRule="auto"/>
      </w:pPr>
    </w:p>
    <w:p w14:paraId="24B89D4B">
      <w:pPr>
        <w:pStyle w:val="8"/>
        <w:spacing w:line="240" w:lineRule="auto"/>
      </w:pPr>
      <w:r>
        <w:rPr>
          <w:rtl w:val="0"/>
        </w:rPr>
        <w:t>2.2 卡券积分-新建积分订单</w:t>
      </w:r>
    </w:p>
    <w:p w14:paraId="6529598E">
      <w:pPr>
        <w:pStyle w:val="4"/>
        <w:spacing w:line="240" w:lineRule="auto"/>
      </w:pPr>
      <w:r>
        <w:rPr>
          <w:rtl w:val="0"/>
        </w:rPr>
        <w:drawing>
          <wp:inline distT="0" distB="0" distL="114300" distR="114300">
            <wp:extent cx="5029200" cy="2430780"/>
            <wp:effectExtent l="0" t="0" r="0" b="7620"/>
            <wp:docPr id="91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Drawing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0574">
      <w:pPr>
        <w:pStyle w:val="4"/>
        <w:numPr>
          <w:ilvl w:val="0"/>
          <w:numId w:val="4"/>
        </w:numPr>
        <w:spacing w:line="240" w:lineRule="auto"/>
      </w:pPr>
      <w:r>
        <w:rPr>
          <w:rtl w:val="0"/>
        </w:rPr>
        <w:t>新建积分订单，积分适用商城下拉框枚举值，需剔除“资产类型”为第三方资产的商城名称；第三方资产的积分商城不支持创建积分</w:t>
      </w:r>
    </w:p>
    <w:p w14:paraId="6C74181C">
      <w:pPr>
        <w:pStyle w:val="4"/>
        <w:spacing w:line="240" w:lineRule="auto"/>
      </w:pPr>
    </w:p>
    <w:p w14:paraId="53734079">
      <w:pPr>
        <w:pStyle w:val="4"/>
        <w:spacing w:line="240" w:lineRule="auto"/>
      </w:pPr>
    </w:p>
    <w:p w14:paraId="3154CBC5">
      <w:pPr>
        <w:pStyle w:val="8"/>
        <w:spacing w:line="240" w:lineRule="auto"/>
      </w:pPr>
      <w:r>
        <w:rPr>
          <w:rtl w:val="0"/>
        </w:rPr>
        <w:t>2.3 卡券积分-优惠券创建</w:t>
      </w:r>
    </w:p>
    <w:p w14:paraId="585B21A3">
      <w:pPr>
        <w:pStyle w:val="4"/>
        <w:spacing w:line="240" w:lineRule="auto"/>
      </w:pPr>
      <w:r>
        <w:drawing>
          <wp:inline distT="0" distB="0" distL="114300" distR="114300">
            <wp:extent cx="5029200" cy="2430780"/>
            <wp:effectExtent l="0" t="0" r="0" b="7620"/>
            <wp:docPr id="99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Drawing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EE3D">
      <w:pPr>
        <w:pStyle w:val="4"/>
        <w:numPr>
          <w:ilvl w:val="0"/>
          <w:numId w:val="5"/>
        </w:numPr>
        <w:spacing w:line="240" w:lineRule="auto"/>
      </w:pPr>
      <w:r>
        <w:rPr>
          <w:rtl w:val="0"/>
        </w:rPr>
        <w:t>优惠券创建，适用商城下拉框枚举值，需剔除“资产类型”为第三方资产的商城名称；第三方资产的积分商城不支持创建优惠券</w:t>
      </w:r>
    </w:p>
    <w:p w14:paraId="366DAABA">
      <w:pPr>
        <w:pStyle w:val="4"/>
        <w:spacing w:line="240" w:lineRule="auto"/>
      </w:pPr>
    </w:p>
    <w:p w14:paraId="21F40400">
      <w:pPr>
        <w:pStyle w:val="4"/>
        <w:spacing w:line="240" w:lineRule="auto"/>
      </w:pPr>
      <w:bookmarkStart w:id="0" w:name="_GoBack"/>
      <w:bookmarkEnd w:id="0"/>
    </w:p>
    <w:p w14:paraId="216C3B3B">
      <w:pPr>
        <w:pStyle w:val="8"/>
        <w:spacing w:line="240" w:lineRule="auto"/>
      </w:pPr>
      <w:r>
        <w:rPr>
          <w:rtl w:val="0"/>
        </w:rPr>
        <w:t>2.4 订单中心-支付信息</w:t>
      </w:r>
    </w:p>
    <w:p w14:paraId="4D31FB02">
      <w:pPr>
        <w:pStyle w:val="4"/>
        <w:spacing w:line="240" w:lineRule="auto"/>
      </w:pPr>
      <w:r>
        <w:drawing>
          <wp:inline distT="0" distB="0" distL="114300" distR="114300">
            <wp:extent cx="5029200" cy="2430780"/>
            <wp:effectExtent l="0" t="0" r="0" b="7620"/>
            <wp:docPr id="10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rawing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EC0F">
      <w:pPr>
        <w:pStyle w:val="4"/>
        <w:numPr>
          <w:ilvl w:val="0"/>
          <w:numId w:val="6"/>
        </w:numPr>
        <w:spacing w:line="240" w:lineRule="auto"/>
      </w:pPr>
      <w:r>
        <w:rPr>
          <w:rtl w:val="0"/>
        </w:rPr>
        <w:t>针对第三方资产类型的积分商城，会系统默认生成虚拟积分批次号，该商城的所有订单，均使用此积分批次号</w:t>
      </w:r>
    </w:p>
    <w:p w14:paraId="4A5A171C">
      <w:pPr>
        <w:pStyle w:val="4"/>
        <w:spacing w:line="240" w:lineRule="auto"/>
      </w:pPr>
    </w:p>
    <w:p w14:paraId="7DA96EEB">
      <w:pPr>
        <w:pStyle w:val="4"/>
        <w:spacing w:line="240" w:lineRule="auto"/>
      </w:pPr>
    </w:p>
    <w:p w14:paraId="41A8AAF3">
      <w:pPr>
        <w:pStyle w:val="7"/>
        <w:spacing w:line="240" w:lineRule="auto"/>
      </w:pPr>
      <w:r>
        <w:rPr>
          <w:rtl w:val="0"/>
        </w:rPr>
        <w:t>三、前端H5商城</w:t>
      </w:r>
    </w:p>
    <w:p w14:paraId="488B5675">
      <w:pPr>
        <w:pStyle w:val="8"/>
        <w:spacing w:line="240" w:lineRule="auto"/>
      </w:pPr>
      <w:r>
        <w:rPr>
          <w:rtl w:val="0"/>
        </w:rPr>
        <w:t>3.1 我的页</w:t>
      </w:r>
    </w:p>
    <w:p w14:paraId="1CDBFB21">
      <w:pPr>
        <w:pStyle w:val="4"/>
        <w:spacing w:line="240" w:lineRule="auto"/>
        <w:jc w:val="center"/>
      </w:pPr>
      <w:r>
        <w:drawing>
          <wp:inline distT="0" distB="0" distL="114300" distR="114300">
            <wp:extent cx="2050415" cy="4598670"/>
            <wp:effectExtent l="0" t="0" r="6985" b="1905"/>
            <wp:docPr id="117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Drawing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0669" cy="459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E32C">
      <w:pPr>
        <w:pStyle w:val="4"/>
        <w:numPr>
          <w:ilvl w:val="0"/>
          <w:numId w:val="7"/>
        </w:numPr>
        <w:spacing w:line="240" w:lineRule="auto"/>
      </w:pPr>
      <w:r>
        <w:rPr>
          <w:rtl w:val="0"/>
        </w:rPr>
        <w:t>针对第三方资产类型的积分商城，我的页面-隐藏右上角“领取积分”入口</w:t>
      </w:r>
    </w:p>
    <w:p w14:paraId="4AD79DD1">
      <w:pPr>
        <w:pStyle w:val="4"/>
        <w:numPr>
          <w:ilvl w:val="0"/>
          <w:numId w:val="7"/>
        </w:numPr>
        <w:spacing w:line="240" w:lineRule="auto"/>
      </w:pPr>
      <w:r>
        <w:rPr>
          <w:rtl w:val="0"/>
        </w:rPr>
        <w:t>【我的积分】展示第三方资产实时余额（集团充值部分）</w:t>
      </w:r>
    </w:p>
    <w:p w14:paraId="44CAB04F">
      <w:pPr>
        <w:pStyle w:val="4"/>
        <w:spacing w:line="240" w:lineRule="auto"/>
        <w:jc w:val="center"/>
      </w:pPr>
    </w:p>
    <w:p w14:paraId="6D2B9961">
      <w:pPr>
        <w:pStyle w:val="4"/>
        <w:spacing w:line="240" w:lineRule="auto"/>
        <w:jc w:val="center"/>
      </w:pPr>
    </w:p>
    <w:p w14:paraId="7610985C">
      <w:pPr>
        <w:pStyle w:val="8"/>
        <w:spacing w:line="240" w:lineRule="auto"/>
      </w:pPr>
      <w:r>
        <w:rPr>
          <w:rtl w:val="0"/>
        </w:rPr>
        <w:t>3.2 积分详情页</w:t>
      </w:r>
    </w:p>
    <w:p w14:paraId="29CF920D">
      <w:pPr>
        <w:pStyle w:val="4"/>
        <w:spacing w:line="240" w:lineRule="auto"/>
        <w:jc w:val="center"/>
      </w:pPr>
      <w:r>
        <w:drawing>
          <wp:inline distT="0" distB="0" distL="114300" distR="114300">
            <wp:extent cx="2280285" cy="5003165"/>
            <wp:effectExtent l="0" t="0" r="5715" b="6985"/>
            <wp:docPr id="127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Drawing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0412" cy="50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5BE1">
      <w:pPr>
        <w:pStyle w:val="4"/>
        <w:numPr>
          <w:ilvl w:val="0"/>
          <w:numId w:val="8"/>
        </w:numPr>
        <w:spacing w:line="240" w:lineRule="auto"/>
      </w:pPr>
      <w:r>
        <w:rPr>
          <w:rtl w:val="0"/>
        </w:rPr>
        <w:t>针对第三方资产类型的积分商城，积分详情页-隐藏右上角“领取积分”入口</w:t>
      </w:r>
    </w:p>
    <w:p w14:paraId="3496F591">
      <w:pPr>
        <w:pStyle w:val="4"/>
        <w:numPr>
          <w:ilvl w:val="0"/>
          <w:numId w:val="8"/>
        </w:numPr>
        <w:spacing w:line="240" w:lineRule="auto"/>
      </w:pPr>
      <w:r>
        <w:rPr>
          <w:rtl w:val="0"/>
        </w:rPr>
        <w:t>【通用积分】展示第三方资产实时余额（集团充值部分）；右侧跳转积分明细页面的入口icon隐藏</w:t>
      </w:r>
    </w:p>
    <w:p w14:paraId="3030BDF6">
      <w:pPr>
        <w:pStyle w:val="4"/>
        <w:numPr>
          <w:ilvl w:val="0"/>
          <w:numId w:val="8"/>
        </w:numPr>
        <w:spacing w:line="240" w:lineRule="auto"/>
        <w:jc w:val="both"/>
      </w:pPr>
      <w:r>
        <w:rPr>
          <w:rtl w:val="0"/>
        </w:rPr>
        <w:t>下方积分变动明细</w:t>
      </w:r>
    </w:p>
    <w:p w14:paraId="4D8FD4D7">
      <w:pPr>
        <w:pStyle w:val="4"/>
        <w:numPr>
          <w:ilvl w:val="1"/>
          <w:numId w:val="8"/>
        </w:numPr>
        <w:spacing w:line="240" w:lineRule="auto"/>
      </w:pPr>
      <w:r>
        <w:rPr>
          <w:rtl w:val="0"/>
        </w:rPr>
        <w:t>仅展示 商城消费、商城消费退回 的变动明细</w:t>
      </w:r>
    </w:p>
    <w:p w14:paraId="146A28A5">
      <w:pPr>
        <w:pStyle w:val="4"/>
        <w:numPr>
          <w:ilvl w:val="1"/>
          <w:numId w:val="8"/>
        </w:numPr>
        <w:spacing w:line="240" w:lineRule="auto"/>
      </w:pPr>
      <w:r>
        <w:rPr>
          <w:rtl w:val="0"/>
        </w:rPr>
        <w:t>隐藏领取、过期、冻结、解冻、作废、延期的变动明细</w:t>
      </w:r>
    </w:p>
    <w:p w14:paraId="39649AE9">
      <w:pPr>
        <w:pStyle w:val="4"/>
        <w:numPr>
          <w:ilvl w:val="1"/>
          <w:numId w:val="8"/>
        </w:numPr>
        <w:spacing w:line="240" w:lineRule="auto"/>
      </w:pPr>
      <w:r>
        <w:rPr>
          <w:rtl w:val="0"/>
        </w:rPr>
        <w:t>变动明细需隐藏余额</w:t>
      </w:r>
    </w:p>
    <w:p w14:paraId="0B0CE04E">
      <w:pPr>
        <w:pStyle w:val="4"/>
        <w:spacing w:line="240" w:lineRule="auto"/>
      </w:pPr>
    </w:p>
    <w:p w14:paraId="7F98148A">
      <w:pPr>
        <w:pStyle w:val="4"/>
        <w:spacing w:line="240" w:lineRule="auto"/>
      </w:pPr>
    </w:p>
    <w:p w14:paraId="7AAF4BCF">
      <w:pPr>
        <w:pStyle w:val="8"/>
        <w:spacing w:line="240" w:lineRule="auto"/>
      </w:pPr>
      <w:r>
        <w:rPr>
          <w:rtl w:val="0"/>
        </w:rPr>
        <w:t>3.3 变动明细页</w:t>
      </w:r>
    </w:p>
    <w:p w14:paraId="4F616F29">
      <w:pPr>
        <w:pStyle w:val="4"/>
        <w:spacing w:line="240" w:lineRule="auto"/>
        <w:jc w:val="center"/>
      </w:pPr>
      <w:r>
        <w:rPr>
          <w:rtl w:val="0"/>
        </w:rPr>
        <w:drawing>
          <wp:inline distT="0" distB="0" distL="114300" distR="114300">
            <wp:extent cx="2033270" cy="3318510"/>
            <wp:effectExtent l="0" t="0" r="5080" b="5715"/>
            <wp:docPr id="145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Drawing 10"/>
                    <pic:cNvPicPr/>
                  </pic:nvPicPr>
                  <pic:blipFill>
                    <a:blip r:embed="rId12"/>
                    <a:srcRect l="1223" r="1333" b="354"/>
                    <a:stretch>
                      <a:fillRect/>
                    </a:stretch>
                  </pic:blipFill>
                  <pic:spPr>
                    <a:xfrm>
                      <a:off x="0" y="0"/>
                      <a:ext cx="2033651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FFB3">
      <w:pPr>
        <w:pStyle w:val="4"/>
        <w:numPr>
          <w:ilvl w:val="0"/>
          <w:numId w:val="9"/>
        </w:numPr>
        <w:spacing w:line="240" w:lineRule="auto"/>
      </w:pPr>
      <w:r>
        <w:rPr>
          <w:rtl w:val="0"/>
        </w:rPr>
        <w:t>针对第三方资产类型的积分商城，积分变动明细页-隐藏剩余积分字段显示</w:t>
      </w:r>
    </w:p>
    <w:p w14:paraId="0BF2B43C">
      <w:pPr>
        <w:pStyle w:val="4"/>
        <w:spacing w:line="240" w:lineRule="auto"/>
        <w:jc w:val="center"/>
      </w:pPr>
    </w:p>
    <w:p w14:paraId="6B41D0A7">
      <w:pPr>
        <w:pStyle w:val="4"/>
        <w:spacing w:line="240" w:lineRule="auto"/>
        <w:jc w:val="center"/>
      </w:pPr>
    </w:p>
    <w:p w14:paraId="37591A15">
      <w:pPr>
        <w:pStyle w:val="8"/>
        <w:spacing w:line="240" w:lineRule="auto"/>
      </w:pPr>
      <w:r>
        <w:rPr>
          <w:rtl w:val="0"/>
        </w:rPr>
        <w:t>3.4 选择积分页</w:t>
      </w:r>
    </w:p>
    <w:p w14:paraId="7BFD12A8">
      <w:pPr>
        <w:pStyle w:val="4"/>
        <w:spacing w:line="240" w:lineRule="auto"/>
        <w:jc w:val="center"/>
      </w:pPr>
      <w:r>
        <w:drawing>
          <wp:inline distT="0" distB="0" distL="114300" distR="114300">
            <wp:extent cx="2305685" cy="3684270"/>
            <wp:effectExtent l="0" t="0" r="8890" b="1905"/>
            <wp:docPr id="153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Drawing 11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939" cy="368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7C9A">
      <w:pPr>
        <w:pStyle w:val="4"/>
        <w:numPr>
          <w:ilvl w:val="0"/>
          <w:numId w:val="10"/>
        </w:numPr>
        <w:spacing w:line="240" w:lineRule="auto"/>
      </w:pPr>
      <w:r>
        <w:rPr>
          <w:rtl w:val="0"/>
        </w:rPr>
        <w:t>针对第三方资产类型的积分商城，选择积分页-展示第三方资产实时余额（集团充值部分）；并可勾选进行抵扣</w:t>
      </w:r>
    </w:p>
    <w:p w14:paraId="523CCE3E">
      <w:pPr>
        <w:pStyle w:val="4"/>
        <w:spacing w:line="240" w:lineRule="auto"/>
      </w:pPr>
    </w:p>
    <w:p w14:paraId="3E38BE6B">
      <w:pPr>
        <w:pStyle w:val="4"/>
        <w:spacing w:line="240" w:lineRule="auto"/>
      </w:pPr>
    </w:p>
    <w:p w14:paraId="06D43C3F">
      <w:pPr>
        <w:pStyle w:val="4"/>
        <w:spacing w:line="240" w:lineRule="auto"/>
      </w:pPr>
    </w:p>
    <w:p w14:paraId="3C3AFD3D">
      <w:pPr>
        <w:pStyle w:val="7"/>
        <w:spacing w:line="240" w:lineRule="auto"/>
      </w:pPr>
      <w:r>
        <w:rPr>
          <w:rtl w:val="0"/>
        </w:rPr>
        <w:t>四、其他优化</w:t>
      </w:r>
    </w:p>
    <w:p w14:paraId="34536F6D">
      <w:pPr>
        <w:pStyle w:val="8"/>
        <w:spacing w:line="240" w:lineRule="auto"/>
      </w:pPr>
      <w:r>
        <w:rPr>
          <w:rtl w:val="0"/>
        </w:rPr>
        <w:t>4.1 API商城-新增“汇率”配置</w:t>
      </w:r>
    </w:p>
    <w:p w14:paraId="5F49A1E5">
      <w:pPr>
        <w:pStyle w:val="4"/>
        <w:spacing w:line="240" w:lineRule="auto"/>
      </w:pPr>
      <w:r>
        <w:drawing>
          <wp:inline distT="0" distB="0" distL="114300" distR="114300">
            <wp:extent cx="5029200" cy="2419985"/>
            <wp:effectExtent l="0" t="0" r="0" b="8890"/>
            <wp:docPr id="164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Drawing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6A64">
      <w:pPr>
        <w:pStyle w:val="4"/>
        <w:numPr>
          <w:ilvl w:val="0"/>
          <w:numId w:val="11"/>
        </w:numPr>
        <w:spacing w:line="240" w:lineRule="auto"/>
      </w:pPr>
      <w:r>
        <w:rPr>
          <w:rtl w:val="0"/>
        </w:rPr>
        <w:t>API商城-商城信息 新增“汇率”配置项</w:t>
      </w:r>
    </w:p>
    <w:p w14:paraId="06E972E5">
      <w:pPr>
        <w:pStyle w:val="4"/>
        <w:numPr>
          <w:ilvl w:val="0"/>
          <w:numId w:val="12"/>
        </w:numPr>
        <w:spacing w:line="240" w:lineRule="auto"/>
        <w:jc w:val="both"/>
      </w:pPr>
      <w:r>
        <w:rPr>
          <w:rtl w:val="0"/>
        </w:rPr>
        <w:t>默认为1元=1货币单位；可设置当前前端商城的汇率</w:t>
      </w:r>
    </w:p>
    <w:p w14:paraId="714678BA">
      <w:pPr>
        <w:pStyle w:val="4"/>
        <w:numPr>
          <w:ilvl w:val="1"/>
          <w:numId w:val="12"/>
        </w:numPr>
        <w:spacing w:line="240" w:lineRule="auto"/>
        <w:jc w:val="both"/>
        <w:rPr>
          <w:color w:val="494949"/>
        </w:rPr>
      </w:pPr>
      <w:r>
        <w:rPr>
          <w:color w:val="494949"/>
          <w:rtl w:val="0"/>
        </w:rPr>
        <w:t>仅影响c端前端商城展示；运营商管理系统仍按照1元=1积分展示</w:t>
      </w:r>
    </w:p>
    <w:p w14:paraId="57180C78">
      <w:pPr>
        <w:pStyle w:val="4"/>
        <w:numPr>
          <w:ilvl w:val="1"/>
          <w:numId w:val="12"/>
        </w:numPr>
        <w:spacing w:line="240" w:lineRule="auto"/>
        <w:jc w:val="both"/>
        <w:rPr>
          <w:color w:val="494949"/>
        </w:rPr>
      </w:pPr>
      <w:r>
        <w:rPr>
          <w:color w:val="494949"/>
          <w:rtl w:val="0"/>
        </w:rPr>
        <w:t>仅可设置一次，设置保存后不可修改</w:t>
      </w:r>
    </w:p>
    <w:p w14:paraId="0426FCEC">
      <w:pPr>
        <w:pStyle w:val="4"/>
        <w:numPr>
          <w:ilvl w:val="1"/>
          <w:numId w:val="12"/>
        </w:numPr>
        <w:spacing w:line="240" w:lineRule="auto"/>
        <w:jc w:val="both"/>
        <w:rPr>
          <w:color w:val="494949"/>
        </w:rPr>
      </w:pPr>
      <w:r>
        <w:rPr>
          <w:color w:val="494949"/>
          <w:rtl w:val="0"/>
        </w:rPr>
        <w:t>影响前端商城-商品价格、支付价格、抵扣价格、运费、积分余额</w:t>
      </w:r>
    </w:p>
    <w:p w14:paraId="448EC073">
      <w:pPr>
        <w:pStyle w:val="4"/>
        <w:numPr>
          <w:ilvl w:val="1"/>
          <w:numId w:val="12"/>
        </w:numPr>
        <w:spacing w:line="240" w:lineRule="auto"/>
        <w:jc w:val="both"/>
        <w:rPr>
          <w:color w:val="494949"/>
        </w:rPr>
      </w:pPr>
      <w:r>
        <w:rPr>
          <w:color w:val="494949"/>
          <w:rtl w:val="0"/>
        </w:rPr>
        <w:t>前端商城均需按照此汇率，计算展示商品价格、支付价格、抵扣价格、运费、积分余额</w:t>
      </w:r>
    </w:p>
    <w:p w14:paraId="058A9166">
      <w:pPr>
        <w:pStyle w:val="4"/>
        <w:numPr>
          <w:ilvl w:val="1"/>
          <w:numId w:val="12"/>
        </w:numPr>
        <w:spacing w:line="240" w:lineRule="auto"/>
        <w:jc w:val="both"/>
      </w:pPr>
      <w:r>
        <w:rPr>
          <w:rtl w:val="0"/>
        </w:rPr>
        <w:t>提示文案：汇率只影响前端商城展示</w:t>
      </w:r>
    </w:p>
    <w:p w14:paraId="1DE6DD6E">
      <w:pPr>
        <w:pStyle w:val="4"/>
        <w:spacing w:line="240" w:lineRule="auto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9A846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MicrosoftYaHei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1">
    <w:name w:val="石墨文档标题 5"/>
    <w:next w:val="4"/>
    <w:unhideWhenUsed/>
    <w:qFormat/>
    <w:uiPriority w:val="9"/>
    <w:pPr>
      <w:spacing w:before="260" w:after="260"/>
      <w:outlineLvl w:val="5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2">
    <w:name w:val="石墨文档标题 6"/>
    <w:next w:val="4"/>
    <w:unhideWhenUsed/>
    <w:qFormat/>
    <w:uiPriority w:val="9"/>
    <w:pPr>
      <w:spacing w:before="260" w:after="260"/>
      <w:outlineLvl w:val="6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3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670</Words>
  <Characters>685</Characters>
  <TotalTime>0</TotalTime>
  <ScaleCrop>false</ScaleCrop>
  <LinksUpToDate>false</LinksUpToDate>
  <CharactersWithSpaces>693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2026-04-14T08:07:17Z</dcterms:created>
  <dc:creator>Lenovo</dc:creator>
  <cp:lastModifiedBy>沈恕</cp:lastModifiedBy>
  <dcterms:modified xsi:type="dcterms:W3CDTF">2026-04-14T08:07:34Z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eyJoZGlkIjoiYjE1MWE4ZDUzYWRjMWM4M2UyZjE0NTc1Mzg3ZTFhZTkiLCJ1c2VySWQiOiI3MTUwMDkzNzQifQ==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51FE999EAA0B4961A1A28962AF9923EF_12</vt:lpwstr>
  </property>
</Properties>
</file>