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MT"/>
        <w:suppressAutoHyphens w:val="true"/>
        <w:spacing w:before="240" w:after="0"/>
        <w:jc w:val="both"/>
        <w:rPr/>
      </w:pPr>
      <w:r>
        <w:rPr/>
        <w:t>Copyright 2019 by The American Institute of Architects (AIA)</w:t>
      </w:r>
    </w:p>
    <w:p>
      <w:pPr>
        <w:pStyle w:val="CMT"/>
        <w:rPr/>
      </w:pPr>
      <w:r>
        <w:rPr/>
        <w:t>Exclusively published and distributed by Deltek, Inc. for the AIA</w:t>
      </w:r>
    </w:p>
    <w:p>
      <w:pPr>
        <w:pStyle w:val="SCT"/>
        <w:rPr/>
      </w:pPr>
      <w:r>
        <w:rPr/>
        <w:t>DOCUMENT 00211</w:t>
      </w:r>
      <w:r>
        <w:rPr>
          <w:rStyle w:val="NUM"/>
        </w:rPr>
        <w:t>3</w:t>
      </w:r>
      <w:r>
        <w:rPr/>
        <w:t xml:space="preserve"> - </w:t>
      </w:r>
      <w:r>
        <w:rPr>
          <w:rStyle w:val="NAM"/>
        </w:rPr>
        <w:t>INSTRUCTIONS TO BIDDERS</w:t>
      </w:r>
    </w:p>
    <w:p>
      <w:pPr>
        <w:pStyle w:val="TIP"/>
        <w:rPr>
          <w:b/>
          <w:u w:val="single"/>
        </w:rPr>
      </w:pPr>
      <w:r>
        <w:rPr>
          <w:b/>
          <w:u w:val="single"/>
        </w:rPr>
        <w:t>TIPS:</w:t>
      </w:r>
    </w:p>
    <w:p>
      <w:pPr>
        <w:pStyle w:val="TIP"/>
        <w:rPr/>
      </w:pPr>
      <w:r>
        <w:rPr/>
        <w:t xml:space="preserve">To view non-printing </w:t>
      </w:r>
      <w:r>
        <w:rPr>
          <w:b/>
        </w:rPr>
        <w:t>Editor's Notes</w:t>
      </w:r>
      <w:r>
        <w:rPr/>
        <w:t xml:space="preserve"> that provide guidance for editing, click on MasterWorks/Single</w:t>
        <w:noBreakHyphen/>
        <w:t>File Formatting/Toggle/Editor's Notes.</w:t>
      </w:r>
    </w:p>
    <w:p>
      <w:pPr>
        <w:pStyle w:val="TIP"/>
        <w:rPr/>
      </w:pPr>
      <w:r>
        <w:rPr/>
        <w:t xml:space="preserve">To read </w:t>
      </w:r>
      <w:r>
        <w:rPr>
          <w:b/>
        </w:rPr>
        <w:t>detailed research, technical information about products and materials, and coordination checklists</w:t>
      </w:r>
      <w:r>
        <w:rPr/>
        <w:t>, click on MasterWorks/Supporting Information.</w:t>
      </w:r>
    </w:p>
    <w:p>
      <w:pPr>
        <w:pStyle w:val="TIP"/>
        <w:pBdr>
          <w:top w:val="single" w:sz="2" w:space="3" w:color="000000"/>
          <w:left w:val="single" w:sz="4" w:space="4" w:color="000000"/>
          <w:bottom w:val="single" w:sz="4" w:space="3" w:color="000000"/>
          <w:right w:val="single" w:sz="4" w:space="4" w:color="000000"/>
        </w:pBdr>
        <w:rPr>
          <w:b/>
          <w:color w:val="000000"/>
          <w:u w:val="single"/>
        </w:rPr>
      </w:pPr>
      <w:r>
        <w:rPr>
          <w:b/>
          <w:color w:val="000000"/>
          <w:u w:val="single"/>
        </w:rPr>
        <w:t>Content Requests:</w:t>
      </w:r>
    </w:p>
    <w:p>
      <w:pPr>
        <w:pStyle w:val="TIP"/>
        <w:pBdr>
          <w:top w:val="single" w:sz="2" w:space="3" w:color="000000"/>
          <w:left w:val="single" w:sz="4" w:space="4" w:color="000000"/>
          <w:bottom w:val="single" w:sz="4" w:space="3" w:color="000000"/>
          <w:right w:val="single" w:sz="4" w:space="4" w:color="000000"/>
        </w:pBdr>
        <w:rPr/>
      </w:pPr>
      <w:hyperlink r:id="rId2">
        <w:r>
          <w:rPr>
            <w:rStyle w:val="Hyperlink"/>
          </w:rPr>
          <w:t>&lt;Double click here to submit questions, comments, or suggested edits to this Section.&gt;</w:t>
        </w:r>
      </w:hyperlink>
    </w:p>
    <w:p>
      <w:pPr>
        <w:pStyle w:val="ART"/>
        <w:numPr>
          <w:ilvl w:val="3"/>
          <w:numId w:val="1"/>
        </w:numPr>
        <w:ind w:hanging="0" w:left="0"/>
        <w:rPr/>
      </w:pPr>
      <w:r>
        <w:rPr/>
        <w:t>INSTRUCTIONS TO BIDDERS</w:t>
      </w:r>
    </w:p>
    <w:p>
      <w:pPr>
        <w:pStyle w:val="PR1"/>
        <w:numPr>
          <w:ilvl w:val="4"/>
          <w:numId w:val="1"/>
        </w:numPr>
        <w:rPr/>
      </w:pPr>
      <w:r>
        <w:rPr/>
        <w:t>AIA Document A701, "Instructions to Bidders," is hereby incorporated into the Procurement and Contracting Requirements by reference.</w:t>
      </w:r>
    </w:p>
    <w:p>
      <w:pPr>
        <w:pStyle w:val="PR2"/>
        <w:numPr>
          <w:ilvl w:val="5"/>
          <w:numId w:val="1"/>
        </w:numPr>
        <w:spacing w:before="240" w:after="0"/>
        <w:rPr/>
      </w:pPr>
      <w:r>
        <w:rPr/>
        <w:t>A copy of AIA Document A701, "Instructions to Bidders," is bound in this Project Manual.</w:t>
      </w:r>
    </w:p>
    <w:p>
      <w:pPr>
        <w:pStyle w:val="EOS"/>
        <w:rPr/>
      </w:pPr>
      <w:r>
        <w:rPr/>
        <w:t>END OF DOCUMENT 002113</w:t>
      </w:r>
    </w:p>
    <w:sectPr>
      <w:headerReference w:type="default" r:id="rId3"/>
      <w:footerReference w:type="default" r:id="rId4"/>
      <w:type w:val="nextPage"/>
      <w:pgSz w:w="12240" w:h="15840"/>
      <w:pgMar w:left="1440" w:right="1440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TR"/>
      <w:rPr/>
    </w:pPr>
    <w:r>
      <w:rPr>
        <w:rStyle w:val="NAM"/>
      </w:rPr>
      <w:t>INSTRUCTIONS TO BIDDERS</w:t>
    </w:r>
    <w:r>
      <w:rPr/>
      <w:tab/>
    </w:r>
    <w:r>
      <w:rPr>
        <w:rStyle w:val="NUM"/>
      </w:rPr>
      <w:t>002113</w:t>
    </w:r>
    <w:r>
      <w:rPr/>
      <w:t xml:space="preserve"> -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DR"/>
      <w:rPr/>
    </w:pPr>
    <w:r>
      <w:rPr>
        <w:rStyle w:val="CPR"/>
      </w:rPr>
      <w:t>Copyright 2019 AIA</w:t>
    </w:r>
    <w:r>
      <w:rPr/>
      <w:tab/>
    </w:r>
    <w:r>
      <w:rPr>
        <w:rStyle w:val="SPN"/>
      </w:rPr>
      <w:t>Procurement and Contracting Documents</w:t>
    </w:r>
    <w:r>
      <w:rPr/>
      <w:tab/>
    </w:r>
    <w:r>
      <w:rPr>
        <w:rStyle w:val="SPD"/>
      </w:rPr>
      <w:t>03/19</w:t>
    </w:r>
    <w:r>
      <mc:AlternateContent>
        <mc:Choice Requires="wps">
          <w:drawing>
            <wp:anchor behindDoc="1" distT="0" distB="0" distL="114935" distR="114935" simplePos="0" locked="0" layoutInCell="1" allowOverlap="1" relativeHeight="2">
              <wp:simplePos x="0" y="0"/>
              <wp:positionH relativeFrom="column">
                <wp:posOffset>-88900</wp:posOffset>
              </wp:positionH>
              <wp:positionV relativeFrom="page">
                <wp:posOffset>9652000</wp:posOffset>
              </wp:positionV>
              <wp:extent cx="6121400" cy="38100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121400" cy="381000"/>
                      </a:xfrm>
                      <a:prstGeom prst="rect"/>
                      <a:solidFill>
                        <a:srgbClr val="FFFFFF"/>
                      </a:solidFill>
                    </wps:spPr>
                    <wps:txbx>
                      <w:txbxContent>
                        <w:p>
                          <w:pPr>
                            <w:pStyle w:val="Normal"/>
                            <w:jc w:val="both"/>
                            <w:rPr>
                              <w:sz w:val="14"/>
                            </w:rPr>
                          </w:pPr>
                          <w:r>
                            <w:rPr>
                              <w:sz w:val="14"/>
                            </w:rPr>
                            <w:t>Copyright © 2022 by the American Institute of Architects. Warning: This AIA MasterSpec based document is protected by U.S. Copyright Law and International Treaties. A valid, current MasterSpec license is required for editing or use of this document.</w:t>
                          </w:r>
                        </w:p>
                      </w:txbxContent>
                    </wps:txbx>
                    <wps:bodyPr anchor="t" lIns="92075" tIns="46355" rIns="92075" bIns="46355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82pt;height:30pt;mso-wrap-distance-left:9.05pt;mso-wrap-distance-right:9.05pt;mso-wrap-distance-top:0pt;mso-wrap-distance-bottom:0pt;margin-top:760pt;mso-position-vertical-relative:page;margin-left:-7pt;mso-position-horizontal-relative:text">
              <v:textbox inset="0.100694444444444in,0.0506944444444444in,0.100694444444444in,0.0506944444444444in">
                <w:txbxContent>
                  <w:p>
                    <w:pPr>
                      <w:pStyle w:val="Normal"/>
                      <w:jc w:val="both"/>
                      <w:rPr>
                        <w:sz w:val="14"/>
                      </w:rPr>
                    </w:pPr>
                    <w:r>
                      <w:rPr>
                        <w:sz w:val="14"/>
                      </w:rPr>
                      <w:t>Copyright © 2022 by the American Institute of Architects. Warning: This AIA MasterSpec based document is protected by U.S. Copyright Law and International Treaties. A valid, current MasterSpec license is required for editing or use of this document.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PART %1 - "/>
      <w:lvlJc w:val="left"/>
      <w:pPr>
        <w:tabs>
          <w:tab w:val="num" w:pos="0"/>
        </w:tabs>
        <w:ind w:left="0" w:hanging="0"/>
      </w:pPr>
    </w:lvl>
    <w:lvl w:ilvl="1">
      <w:start w:val="0"/>
      <w:numFmt w:val="decimal"/>
      <w:suff w:val="nothing"/>
      <w:lvlText w:val="SCHEDULE %2 - "/>
      <w:lvlJc w:val="left"/>
      <w:pPr>
        <w:tabs>
          <w:tab w:val="num" w:pos="0"/>
        </w:tabs>
        <w:ind w:left="0" w:hanging="0"/>
      </w:pPr>
    </w:lvl>
    <w:lvl w:ilvl="2">
      <w:start w:val="0"/>
      <w:numFmt w:val="decimal"/>
      <w:suff w:val="nothing"/>
      <w:lvlText w:val="PRODUCT DATA SHEET %3 - "/>
      <w:lvlJc w:val="left"/>
      <w:pPr>
        <w:tabs>
          <w:tab w:val="num" w:pos="0"/>
        </w:tabs>
        <w:ind w:left="0" w:hanging="0"/>
      </w:pPr>
    </w:lvl>
    <w:lvl w:ilvl="3">
      <w:start w:val="1"/>
      <w:numFmt w:val="decimal"/>
      <w:lvlText w:val="%1.%4"/>
      <w:lvlJc w:val="left"/>
      <w:pPr>
        <w:tabs>
          <w:tab w:val="num" w:pos="864"/>
        </w:tabs>
        <w:ind w:left="864" w:hanging="864"/>
      </w:pPr>
    </w:lvl>
    <w:lvl w:ilvl="4">
      <w:start w:val="1"/>
      <w:numFmt w:val="upperLetter"/>
      <w:lvlText w:val="%5."/>
      <w:lvlJc w:val="left"/>
      <w:pPr>
        <w:tabs>
          <w:tab w:val="num" w:pos="864"/>
        </w:tabs>
        <w:ind w:left="864" w:hanging="576"/>
      </w:pPr>
    </w:lvl>
    <w:lvl w:ilvl="5">
      <w:start w:val="1"/>
      <w:numFmt w:val="decimal"/>
      <w:lvlText w:val="%6."/>
      <w:lvlJc w:val="left"/>
      <w:pPr>
        <w:tabs>
          <w:tab w:val="num" w:pos="1440"/>
        </w:tabs>
        <w:ind w:left="1440" w:hanging="576"/>
      </w:pPr>
    </w:lvl>
    <w:lvl w:ilvl="6">
      <w:start w:val="1"/>
      <w:numFmt w:val="lowerLetter"/>
      <w:lvlText w:val="%7."/>
      <w:lvlJc w:val="left"/>
      <w:pPr>
        <w:tabs>
          <w:tab w:val="num" w:pos="2016"/>
        </w:tabs>
        <w:ind w:left="2016" w:hanging="576"/>
      </w:pPr>
    </w:lvl>
    <w:lvl w:ilvl="7">
      <w:start w:val="1"/>
      <w:numFmt w:val="decimal"/>
      <w:lvlText w:val="%8)"/>
      <w:lvlJc w:val="left"/>
      <w:pPr>
        <w:tabs>
          <w:tab w:val="num" w:pos="2592"/>
        </w:tabs>
        <w:ind w:left="2592" w:hanging="576"/>
      </w:pPr>
    </w:lvl>
    <w:lvl w:ilvl="8">
      <w:start w:val="1"/>
      <w:numFmt w:val="lowerLetter"/>
      <w:lvlText w:val="%9)"/>
      <w:lvlJc w:val="left"/>
      <w:pPr>
        <w:tabs>
          <w:tab w:val="num" w:pos="3168"/>
        </w:tabs>
        <w:ind w:left="3168" w:hanging="576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1080"/>
  <w:autoHyphenation w:val="true"/>
  <w:hyphenationZone w:val="0"/>
  <w:compat>
    <w:doNotBreakWrappedTables/>
    <w:compatSetting w:name="compatibilityMode" w:uri="http://schemas.microsoft.com/office/word" w:val="11"/>
  </w:compat>
  <w:docVars>
    <w:docVar w:name="DOI" w:val="03/01/2019"/>
    <w:docVar w:name="Format" w:val="1"/>
    <w:docVar w:name="MF04" w:val="002113"/>
    <w:docVar w:name="MF95" w:val="00200"/>
    <w:docVar w:name="SectionID" w:val="1645"/>
    <w:docVar w:name="SpecType" w:val="MasterSpec"/>
    <w:docVar w:name="Version" w:val="14787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false"/>
      <w:bidi w:val="0"/>
    </w:pPr>
    <w:rPr>
      <w:rFonts w:ascii="Times New Roman" w:hAnsi="Times New Roman" w:eastAsia="Times New Roman" w:cs="Times New Roman"/>
      <w:color w:val="auto"/>
      <w:sz w:val="22"/>
      <w:szCs w:val="20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CPR">
    <w:name w:val="CPR"/>
    <w:basedOn w:val="DefaultParagraphFont"/>
    <w:qFormat/>
    <w:rPr/>
  </w:style>
  <w:style w:type="character" w:styleId="SPN">
    <w:name w:val="SPN"/>
    <w:basedOn w:val="DefaultParagraphFont"/>
    <w:qFormat/>
    <w:rPr/>
  </w:style>
  <w:style w:type="character" w:styleId="SPD">
    <w:name w:val="SPD"/>
    <w:basedOn w:val="DefaultParagraphFont"/>
    <w:qFormat/>
    <w:rPr/>
  </w:style>
  <w:style w:type="character" w:styleId="NUM">
    <w:name w:val="NUM"/>
    <w:basedOn w:val="DefaultParagraphFont"/>
    <w:qFormat/>
    <w:rPr/>
  </w:style>
  <w:style w:type="character" w:styleId="NAM">
    <w:name w:val="NAM"/>
    <w:basedOn w:val="DefaultParagraphFont"/>
    <w:qFormat/>
    <w:rPr/>
  </w:style>
  <w:style w:type="character" w:styleId="SI">
    <w:name w:val="SI"/>
    <w:qFormat/>
    <w:rPr>
      <w:color w:val="008080"/>
    </w:rPr>
  </w:style>
  <w:style w:type="character" w:styleId="IP">
    <w:name w:val="IP"/>
    <w:qFormat/>
    <w:rPr>
      <w:color w:val="FF0000"/>
    </w:rPr>
  </w:style>
  <w:style w:type="character" w:styleId="CMTChar">
    <w:name w:val="CMT Char"/>
    <w:qFormat/>
    <w:rPr>
      <w:color w:val="0000FF"/>
      <w:sz w:val="22"/>
    </w:rPr>
  </w:style>
  <w:style w:type="character" w:styleId="TIPChar">
    <w:name w:val="TIP Char"/>
    <w:qFormat/>
    <w:rPr>
      <w:vanish w:val="false"/>
      <w:color w:val="B30838"/>
    </w:rPr>
  </w:style>
  <w:style w:type="character" w:styleId="HeaderChar">
    <w:name w:val="Header Char"/>
    <w:qFormat/>
    <w:rPr>
      <w:sz w:val="22"/>
    </w:rPr>
  </w:style>
  <w:style w:type="character" w:styleId="FooterChar">
    <w:name w:val="Footer Char"/>
    <w:qFormat/>
    <w:rPr>
      <w:sz w:val="22"/>
    </w:rPr>
  </w:style>
  <w:style w:type="character" w:styleId="Hyperlink">
    <w:name w:val="Hyperlink"/>
    <w:rPr>
      <w:color w:val="0000FF"/>
      <w:u w:val="single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DR">
    <w:name w:val="HDR"/>
    <w:basedOn w:val="Normal"/>
    <w:qFormat/>
    <w:pPr>
      <w:tabs>
        <w:tab w:val="clear" w:pos="1080"/>
        <w:tab w:val="center" w:pos="4608" w:leader="none"/>
        <w:tab w:val="right" w:pos="9360" w:leader="none"/>
      </w:tabs>
      <w:suppressAutoHyphens w:val="true"/>
      <w:jc w:val="both"/>
    </w:pPr>
    <w:rPr/>
  </w:style>
  <w:style w:type="paragraph" w:styleId="FTR">
    <w:name w:val="FTR"/>
    <w:basedOn w:val="Normal"/>
    <w:qFormat/>
    <w:pPr>
      <w:tabs>
        <w:tab w:val="clear" w:pos="1080"/>
        <w:tab w:val="right" w:pos="9360" w:leader="none"/>
      </w:tabs>
      <w:suppressAutoHyphens w:val="true"/>
      <w:jc w:val="both"/>
    </w:pPr>
    <w:rPr/>
  </w:style>
  <w:style w:type="paragraph" w:styleId="SCT">
    <w:name w:val="SCT"/>
    <w:basedOn w:val="Normal"/>
    <w:next w:val="PRT"/>
    <w:qFormat/>
    <w:pPr>
      <w:suppressAutoHyphens w:val="true"/>
      <w:spacing w:before="240" w:after="0"/>
      <w:jc w:val="both"/>
    </w:pPr>
    <w:rPr/>
  </w:style>
  <w:style w:type="paragraph" w:styleId="PRT">
    <w:name w:val="PRT"/>
    <w:basedOn w:val="Normal"/>
    <w:next w:val="ART"/>
    <w:qFormat/>
    <w:pPr>
      <w:keepNext w:val="true"/>
      <w:numPr>
        <w:ilvl w:val="0"/>
        <w:numId w:val="1"/>
      </w:numPr>
      <w:suppressAutoHyphens w:val="true"/>
      <w:spacing w:before="480" w:after="0"/>
      <w:jc w:val="both"/>
      <w:outlineLvl w:val="0"/>
    </w:pPr>
    <w:rPr/>
  </w:style>
  <w:style w:type="paragraph" w:styleId="SUT">
    <w:name w:val="SUT"/>
    <w:basedOn w:val="Normal"/>
    <w:next w:val="PR1"/>
    <w:qFormat/>
    <w:pPr>
      <w:numPr>
        <w:ilvl w:val="0"/>
        <w:numId w:val="1"/>
      </w:numPr>
      <w:suppressAutoHyphens w:val="true"/>
      <w:spacing w:before="240" w:after="0"/>
      <w:jc w:val="both"/>
      <w:outlineLvl w:val="0"/>
    </w:pPr>
    <w:rPr/>
  </w:style>
  <w:style w:type="paragraph" w:styleId="DST">
    <w:name w:val="DST"/>
    <w:basedOn w:val="Normal"/>
    <w:next w:val="PR1"/>
    <w:qFormat/>
    <w:pPr>
      <w:numPr>
        <w:ilvl w:val="0"/>
        <w:numId w:val="1"/>
      </w:numPr>
      <w:suppressAutoHyphens w:val="true"/>
      <w:spacing w:before="240" w:after="0"/>
      <w:jc w:val="both"/>
      <w:outlineLvl w:val="0"/>
    </w:pPr>
    <w:rPr/>
  </w:style>
  <w:style w:type="paragraph" w:styleId="ART">
    <w:name w:val="ART"/>
    <w:basedOn w:val="Normal"/>
    <w:next w:val="PR1"/>
    <w:qFormat/>
    <w:pPr>
      <w:keepNext w:val="true"/>
      <w:numPr>
        <w:ilvl w:val="0"/>
        <w:numId w:val="1"/>
      </w:numPr>
      <w:suppressAutoHyphens w:val="true"/>
      <w:spacing w:before="480" w:after="0"/>
      <w:jc w:val="both"/>
      <w:outlineLvl w:val="1"/>
    </w:pPr>
    <w:rPr/>
  </w:style>
  <w:style w:type="paragraph" w:styleId="PR1">
    <w:name w:val="PR1"/>
    <w:basedOn w:val="Normal"/>
    <w:qFormat/>
    <w:pPr>
      <w:numPr>
        <w:ilvl w:val="0"/>
        <w:numId w:val="1"/>
      </w:numPr>
      <w:tabs>
        <w:tab w:val="clear" w:pos="1080"/>
        <w:tab w:val="left" w:pos="864" w:leader="none"/>
      </w:tabs>
      <w:suppressAutoHyphens w:val="true"/>
      <w:spacing w:before="240" w:after="0"/>
      <w:ind w:hanging="576" w:left="864" w:right="0"/>
      <w:jc w:val="both"/>
      <w:outlineLvl w:val="2"/>
    </w:pPr>
    <w:rPr/>
  </w:style>
  <w:style w:type="paragraph" w:styleId="PR2">
    <w:name w:val="PR2"/>
    <w:basedOn w:val="Normal"/>
    <w:qFormat/>
    <w:pPr>
      <w:numPr>
        <w:ilvl w:val="0"/>
        <w:numId w:val="1"/>
      </w:numPr>
      <w:tabs>
        <w:tab w:val="clear" w:pos="1080"/>
        <w:tab w:val="left" w:pos="1440" w:leader="none"/>
      </w:tabs>
      <w:suppressAutoHyphens w:val="true"/>
      <w:ind w:hanging="576" w:left="1440" w:right="0"/>
      <w:jc w:val="both"/>
      <w:outlineLvl w:val="3"/>
    </w:pPr>
    <w:rPr/>
  </w:style>
  <w:style w:type="paragraph" w:styleId="PR3">
    <w:name w:val="PR3"/>
    <w:basedOn w:val="Normal"/>
    <w:qFormat/>
    <w:pPr>
      <w:numPr>
        <w:ilvl w:val="0"/>
        <w:numId w:val="1"/>
      </w:numPr>
      <w:tabs>
        <w:tab w:val="clear" w:pos="1080"/>
        <w:tab w:val="left" w:pos="2016" w:leader="none"/>
      </w:tabs>
      <w:suppressAutoHyphens w:val="true"/>
      <w:ind w:hanging="576" w:left="2016" w:right="0"/>
      <w:jc w:val="both"/>
      <w:outlineLvl w:val="4"/>
    </w:pPr>
    <w:rPr/>
  </w:style>
  <w:style w:type="paragraph" w:styleId="PR4">
    <w:name w:val="PR4"/>
    <w:basedOn w:val="Normal"/>
    <w:qFormat/>
    <w:pPr>
      <w:numPr>
        <w:ilvl w:val="0"/>
        <w:numId w:val="1"/>
      </w:numPr>
      <w:tabs>
        <w:tab w:val="clear" w:pos="1080"/>
        <w:tab w:val="left" w:pos="2592" w:leader="none"/>
      </w:tabs>
      <w:suppressAutoHyphens w:val="true"/>
      <w:ind w:hanging="576" w:left="2592" w:right="0"/>
      <w:jc w:val="both"/>
      <w:outlineLvl w:val="5"/>
    </w:pPr>
    <w:rPr/>
  </w:style>
  <w:style w:type="paragraph" w:styleId="PR5">
    <w:name w:val="PR5"/>
    <w:basedOn w:val="Normal"/>
    <w:qFormat/>
    <w:pPr>
      <w:numPr>
        <w:ilvl w:val="0"/>
        <w:numId w:val="1"/>
      </w:numPr>
      <w:tabs>
        <w:tab w:val="clear" w:pos="1080"/>
        <w:tab w:val="left" w:pos="3168" w:leader="none"/>
      </w:tabs>
      <w:suppressAutoHyphens w:val="true"/>
      <w:ind w:hanging="576" w:left="3168" w:right="0"/>
      <w:jc w:val="both"/>
      <w:outlineLvl w:val="6"/>
    </w:pPr>
    <w:rPr/>
  </w:style>
  <w:style w:type="paragraph" w:styleId="TB1">
    <w:name w:val="TB1"/>
    <w:basedOn w:val="Normal"/>
    <w:next w:val="PR1"/>
    <w:qFormat/>
    <w:pPr>
      <w:suppressAutoHyphens w:val="true"/>
      <w:spacing w:before="240" w:after="0"/>
      <w:ind w:hanging="0" w:left="288" w:right="0"/>
      <w:jc w:val="both"/>
    </w:pPr>
    <w:rPr/>
  </w:style>
  <w:style w:type="paragraph" w:styleId="TB2">
    <w:name w:val="TB2"/>
    <w:basedOn w:val="Normal"/>
    <w:next w:val="PR2"/>
    <w:qFormat/>
    <w:pPr>
      <w:suppressAutoHyphens w:val="true"/>
      <w:spacing w:before="240" w:after="0"/>
      <w:ind w:hanging="0" w:left="864" w:right="0"/>
      <w:jc w:val="both"/>
    </w:pPr>
    <w:rPr/>
  </w:style>
  <w:style w:type="paragraph" w:styleId="TB3">
    <w:name w:val="TB3"/>
    <w:basedOn w:val="Normal"/>
    <w:next w:val="PR3"/>
    <w:qFormat/>
    <w:pPr>
      <w:suppressAutoHyphens w:val="true"/>
      <w:spacing w:before="240" w:after="0"/>
      <w:ind w:hanging="0" w:left="1440" w:right="0"/>
      <w:jc w:val="both"/>
    </w:pPr>
    <w:rPr/>
  </w:style>
  <w:style w:type="paragraph" w:styleId="TB4">
    <w:name w:val="TB4"/>
    <w:basedOn w:val="Normal"/>
    <w:next w:val="PR4"/>
    <w:qFormat/>
    <w:pPr>
      <w:suppressAutoHyphens w:val="true"/>
      <w:spacing w:before="240" w:after="0"/>
      <w:ind w:hanging="0" w:left="2016" w:right="0"/>
      <w:jc w:val="both"/>
    </w:pPr>
    <w:rPr/>
  </w:style>
  <w:style w:type="paragraph" w:styleId="TB5">
    <w:name w:val="TB5"/>
    <w:basedOn w:val="Normal"/>
    <w:next w:val="PR5"/>
    <w:qFormat/>
    <w:pPr>
      <w:suppressAutoHyphens w:val="true"/>
      <w:spacing w:before="240" w:after="0"/>
      <w:ind w:hanging="0" w:left="2592" w:right="0"/>
      <w:jc w:val="both"/>
    </w:pPr>
    <w:rPr/>
  </w:style>
  <w:style w:type="paragraph" w:styleId="TF1">
    <w:name w:val="TF1"/>
    <w:basedOn w:val="Normal"/>
    <w:next w:val="TB1"/>
    <w:qFormat/>
    <w:pPr>
      <w:suppressAutoHyphens w:val="true"/>
      <w:spacing w:before="240" w:after="0"/>
      <w:ind w:hanging="0" w:left="288" w:right="0"/>
      <w:jc w:val="both"/>
    </w:pPr>
    <w:rPr/>
  </w:style>
  <w:style w:type="paragraph" w:styleId="TF2">
    <w:name w:val="TF2"/>
    <w:basedOn w:val="Normal"/>
    <w:next w:val="TB2"/>
    <w:qFormat/>
    <w:pPr>
      <w:suppressAutoHyphens w:val="true"/>
      <w:spacing w:before="240" w:after="0"/>
      <w:ind w:hanging="0" w:left="864" w:right="0"/>
      <w:jc w:val="both"/>
    </w:pPr>
    <w:rPr/>
  </w:style>
  <w:style w:type="paragraph" w:styleId="TF3">
    <w:name w:val="TF3"/>
    <w:basedOn w:val="Normal"/>
    <w:next w:val="TB3"/>
    <w:qFormat/>
    <w:pPr>
      <w:suppressAutoHyphens w:val="true"/>
      <w:spacing w:before="240" w:after="0"/>
      <w:ind w:hanging="0" w:left="1440" w:right="0"/>
      <w:jc w:val="both"/>
    </w:pPr>
    <w:rPr/>
  </w:style>
  <w:style w:type="paragraph" w:styleId="TF4">
    <w:name w:val="TF4"/>
    <w:basedOn w:val="Normal"/>
    <w:next w:val="TB4"/>
    <w:qFormat/>
    <w:pPr>
      <w:suppressAutoHyphens w:val="true"/>
      <w:spacing w:before="240" w:after="0"/>
      <w:ind w:hanging="0" w:left="2016" w:right="0"/>
      <w:jc w:val="both"/>
    </w:pPr>
    <w:rPr/>
  </w:style>
  <w:style w:type="paragraph" w:styleId="TF5">
    <w:name w:val="TF5"/>
    <w:basedOn w:val="Normal"/>
    <w:next w:val="TB5"/>
    <w:qFormat/>
    <w:pPr>
      <w:suppressAutoHyphens w:val="true"/>
      <w:spacing w:before="240" w:after="0"/>
      <w:ind w:hanging="0" w:left="2592" w:right="0"/>
      <w:jc w:val="both"/>
    </w:pPr>
    <w:rPr/>
  </w:style>
  <w:style w:type="paragraph" w:styleId="TCH">
    <w:name w:val="TCH"/>
    <w:basedOn w:val="Normal"/>
    <w:qFormat/>
    <w:pPr>
      <w:suppressAutoHyphens w:val="true"/>
    </w:pPr>
    <w:rPr/>
  </w:style>
  <w:style w:type="paragraph" w:styleId="TCE">
    <w:name w:val="TCE"/>
    <w:basedOn w:val="Normal"/>
    <w:qFormat/>
    <w:pPr>
      <w:suppressAutoHyphens w:val="true"/>
      <w:ind w:hanging="144" w:left="144" w:right="0"/>
    </w:pPr>
    <w:rPr/>
  </w:style>
  <w:style w:type="paragraph" w:styleId="EOS">
    <w:name w:val="EOS"/>
    <w:basedOn w:val="Normal"/>
    <w:qFormat/>
    <w:pPr>
      <w:suppressAutoHyphens w:val="true"/>
      <w:spacing w:before="480" w:after="0"/>
      <w:jc w:val="both"/>
    </w:pPr>
    <w:rPr/>
  </w:style>
  <w:style w:type="paragraph" w:styleId="ANT">
    <w:name w:val="ANT"/>
    <w:basedOn w:val="Normal"/>
    <w:qFormat/>
    <w:pPr>
      <w:suppressAutoHyphens w:val="true"/>
      <w:spacing w:before="240" w:after="0"/>
      <w:jc w:val="both"/>
    </w:pPr>
    <w:rPr>
      <w:vanish/>
      <w:color w:val="800080"/>
      <w:u w:val="single"/>
    </w:rPr>
  </w:style>
  <w:style w:type="paragraph" w:styleId="CMT">
    <w:name w:val="CMT"/>
    <w:basedOn w:val="Normal"/>
    <w:qFormat/>
    <w:pPr>
      <w:suppressAutoHyphens w:val="true"/>
      <w:spacing w:before="240" w:after="0"/>
      <w:jc w:val="both"/>
    </w:pPr>
    <w:rPr>
      <w:color w:val="0000FF"/>
    </w:rPr>
  </w:style>
  <w:style w:type="paragraph" w:styleId="TIP">
    <w:name w:val="TIP"/>
    <w:basedOn w:val="Normal"/>
    <w:qFormat/>
    <w:pPr>
      <w:pBdr>
        <w:top w:val="single" w:sz="4" w:space="3" w:color="000000"/>
        <w:left w:val="single" w:sz="4" w:space="4" w:color="000000"/>
        <w:bottom w:val="single" w:sz="4" w:space="3" w:color="000000"/>
        <w:right w:val="single" w:sz="4" w:space="4" w:color="000000"/>
      </w:pBdr>
      <w:spacing w:before="240" w:after="0"/>
    </w:pPr>
    <w:rPr>
      <w:color w:val="B30838"/>
    </w:rPr>
  </w:style>
  <w:style w:type="paragraph" w:styleId="HeaderandFooter">
    <w:name w:val="Header and Footer"/>
    <w:basedOn w:val="Normal"/>
    <w:qFormat/>
    <w:pPr>
      <w:suppressLineNumbers/>
      <w:tabs>
        <w:tab w:val="clear" w:pos="10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108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pPr>
      <w:tabs>
        <w:tab w:val="clear" w:pos="1080"/>
        <w:tab w:val="center" w:pos="4680" w:leader="none"/>
        <w:tab w:val="right" w:pos="9360" w:leader="none"/>
      </w:tabs>
    </w:pPr>
    <w:rPr/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user.avitru.com/ContentContact.aspx?sect=002113&amp;ver=03-01-2019&amp;format=FL&amp;sid=14787&amp;utm_source=MasterSpec&amp;utm_medium=Word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LibreOffice/25.8.2.2$MacOSX_AARCH64 LibreOffice_project/d401f2107ccab8f924a8e2df40f573aab7605b6f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2022-09-26T01:23:00Z</dcterms:created>
  <dc:creator>Deltek, Inc.</dc:creator>
  <dc:description/>
  <cp:keywords>SLV-12345-MS80</cp:keywords>
  <dc:language>zh-CN</dc:language>
  <cp:lastModifiedBy>Janice Nacional</cp:lastModifiedBy>
  <dcterms:modified xsi:type="dcterms:W3CDTF">2022-09-26T01:23:00Z</dcterms:modified>
  <cp:revision>2</cp:revision>
  <dc:subject>INSTRUCTIONS TO BIDDERS</dc:subject>
  <dc:title>DOCUMENT 002113 - INSTRUCTIONS TO BIDDERS</dc:title>
</cp:coreProperties>
</file>