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MT"/>
        <w:suppressAutoHyphens w:val="true"/>
        <w:spacing w:before="240" w:after="0"/>
        <w:jc w:val="both"/>
        <w:rPr/>
      </w:pPr>
      <w:r>
        <w:rPr/>
        <w:t>Copyright 2019 by The American Institute of Architects (AIA)</w:t>
      </w:r>
    </w:p>
    <w:p>
      <w:pPr>
        <w:pStyle w:val="CMT"/>
        <w:rPr/>
      </w:pPr>
      <w:r>
        <w:rPr/>
        <w:t>Exclusively published and distributed by Deltek, Inc. for the AIA</w:t>
      </w:r>
    </w:p>
    <w:p>
      <w:pPr>
        <w:pStyle w:val="SCT"/>
        <w:rPr/>
      </w:pPr>
      <w:r>
        <w:rPr/>
        <w:t xml:space="preserve">DOCUMENT </w:t>
      </w:r>
      <w:r>
        <w:rPr>
          <w:rStyle w:val="NUM"/>
        </w:rPr>
        <w:t>004313</w:t>
      </w:r>
      <w:r>
        <w:rPr/>
        <w:t xml:space="preserve"> - </w:t>
      </w:r>
      <w:r>
        <w:rPr>
          <w:rStyle w:val="NAM"/>
        </w:rPr>
        <w:t>BID SECURITY FORMS</w:t>
      </w:r>
    </w:p>
    <w:p>
      <w:pPr>
        <w:pStyle w:val="TIP"/>
        <w:rPr>
          <w:b/>
          <w:u w:val="single"/>
        </w:rPr>
      </w:pPr>
      <w:r>
        <w:rPr>
          <w:b/>
          <w:u w:val="single"/>
        </w:rPr>
        <w:t>TIPS:</w:t>
      </w:r>
    </w:p>
    <w:p>
      <w:pPr>
        <w:pStyle w:val="TIP"/>
        <w:rPr/>
      </w:pPr>
      <w:r>
        <w:rPr/>
        <w:t xml:space="preserve">To view non-printing </w:t>
      </w:r>
      <w:r>
        <w:rPr>
          <w:b/>
        </w:rPr>
        <w:t>Editor's Notes</w:t>
      </w:r>
      <w:r>
        <w:rPr/>
        <w:t xml:space="preserve"> that provide guidance for editing, click on MasterWorks/Single-File Formatting/Toggle/Editor's Notes.</w:t>
      </w:r>
    </w:p>
    <w:p>
      <w:pPr>
        <w:pStyle w:val="TIP"/>
        <w:rPr/>
      </w:pPr>
      <w:r>
        <w:rPr/>
        <w:t xml:space="preserve">To read </w:t>
      </w:r>
      <w:r>
        <w:rPr>
          <w:b/>
        </w:rPr>
        <w:t>detailed research, technical information about products and materials, and coordination checklists</w:t>
      </w:r>
      <w:r>
        <w:rPr/>
        <w:t>, click on MasterWorks/Supporting Information.</w:t>
      </w:r>
    </w:p>
    <w:p>
      <w:pPr>
        <w:pStyle w:val="TIP"/>
        <w:pBdr>
          <w:top w:val="single" w:sz="2" w:space="3" w:color="000000"/>
          <w:left w:val="single" w:sz="4" w:space="4" w:color="000000"/>
          <w:bottom w:val="single" w:sz="4" w:space="3" w:color="000000"/>
          <w:right w:val="single" w:sz="4" w:space="4" w:color="000000"/>
        </w:pBdr>
        <w:rPr>
          <w:b/>
          <w:color w:val="000000"/>
          <w:u w:val="single"/>
        </w:rPr>
      </w:pPr>
      <w:r>
        <w:rPr>
          <w:b/>
          <w:color w:val="000000"/>
          <w:u w:val="single"/>
        </w:rPr>
        <w:t>Content Requests:</w:t>
      </w:r>
    </w:p>
    <w:p>
      <w:pPr>
        <w:pStyle w:val="TIP"/>
        <w:pBdr>
          <w:top w:val="single" w:sz="2" w:space="3" w:color="000000"/>
          <w:left w:val="single" w:sz="4" w:space="4" w:color="000000"/>
          <w:bottom w:val="single" w:sz="4" w:space="3" w:color="000000"/>
          <w:right w:val="single" w:sz="4" w:space="4" w:color="000000"/>
        </w:pBdr>
        <w:rPr/>
      </w:pPr>
      <w:hyperlink r:id="rId2">
        <w:r>
          <w:rPr>
            <w:rStyle w:val="Hyperlink"/>
          </w:rPr>
          <w:t>&lt;Double click here to submit questions, comments, or suggested edits to this Section.&gt;</w:t>
        </w:r>
      </w:hyperlink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BID FORM SUPPLEMENT</w:t>
      </w:r>
    </w:p>
    <w:p>
      <w:pPr>
        <w:pStyle w:val="PR1"/>
        <w:numPr>
          <w:ilvl w:val="4"/>
          <w:numId w:val="1"/>
        </w:numPr>
        <w:rPr/>
      </w:pPr>
      <w:r>
        <w:rPr/>
        <w:t>A completed bid bond form is required to be attached to the Bid Form.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BID BOND FORM</w:t>
      </w:r>
    </w:p>
    <w:p>
      <w:pPr>
        <w:pStyle w:val="PR1"/>
        <w:numPr>
          <w:ilvl w:val="4"/>
          <w:numId w:val="1"/>
        </w:numPr>
        <w:rPr/>
      </w:pPr>
      <w:r>
        <w:rPr/>
        <w:t>AIA Document A310-2010 "Bid Bond" is the recommended form for a bid bond. A bid bond acceptable to Owner, or other bid security as described in the Instructions to Bidders, is required to be attached to the Bid Form as a supplement.</w:t>
      </w:r>
    </w:p>
    <w:p>
      <w:pPr>
        <w:pStyle w:val="PR1"/>
        <w:numPr>
          <w:ilvl w:val="4"/>
          <w:numId w:val="1"/>
        </w:numPr>
        <w:rPr/>
      </w:pPr>
      <w:r>
        <w:rPr/>
        <w:t xml:space="preserve">Copies of AIA standard forms may be obtained from The American Institute of Architects; </w:t>
      </w:r>
      <w:hyperlink r:id="rId3">
        <w:r>
          <w:rPr>
            <w:rStyle w:val="Hyperlink"/>
          </w:rPr>
          <w:t>https://www.aiacontracts.org/</w:t>
        </w:r>
      </w:hyperlink>
      <w:r>
        <w:rPr/>
        <w:t xml:space="preserve">; email: </w:t>
      </w:r>
      <w:hyperlink r:id="rId4">
        <w:r>
          <w:rPr>
            <w:rStyle w:val="Hyperlink"/>
          </w:rPr>
          <w:t>docspurchases@aia.org</w:t>
        </w:r>
      </w:hyperlink>
      <w:r>
        <w:rPr/>
        <w:t>; (800) 942-7732.</w:t>
      </w:r>
    </w:p>
    <w:p>
      <w:pPr>
        <w:pStyle w:val="EOS"/>
        <w:rPr/>
      </w:pPr>
      <w:r>
        <w:rPr/>
        <w:t>END OF DOCUMENT 004313</w:t>
      </w:r>
    </w:p>
    <w:sectPr>
      <w:headerReference w:type="default" r:id="rId5"/>
      <w:footerReference w:type="default" r:id="rId6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04" w:type="dxa"/>
      <w:jc w:val="left"/>
      <w:tblInd w:w="0" w:type="dxa"/>
      <w:tblLayout w:type="fixed"/>
      <w:tblCellMar>
        <w:top w:w="0" w:type="dxa"/>
        <w:left w:w="65" w:type="dxa"/>
        <w:bottom w:w="0" w:type="dxa"/>
        <w:right w:w="65" w:type="dxa"/>
      </w:tblCellMar>
    </w:tblPr>
    <w:tblGrid>
      <w:gridCol w:w="7632"/>
      <w:gridCol w:w="1872"/>
    </w:tblGrid>
    <w:tr>
      <w:trPr/>
      <w:tc>
        <w:tcPr>
          <w:tcW w:w="7632" w:type="dxa"/>
          <w:tcBorders/>
        </w:tcPr>
        <w:p>
          <w:pPr>
            <w:pStyle w:val="FTR"/>
            <w:rPr/>
          </w:pPr>
          <w:r>
            <w:rPr>
              <w:rStyle w:val="NAM"/>
            </w:rPr>
            <w:t>BID SECURITY FORMS</w:t>
          </w:r>
        </w:p>
      </w:tc>
      <w:tc>
        <w:tcPr>
          <w:tcW w:w="1872" w:type="dxa"/>
          <w:tcBorders/>
        </w:tcPr>
        <w:p>
          <w:pPr>
            <w:pStyle w:val="RJUST"/>
            <w:rPr/>
          </w:pPr>
          <w:r>
            <w:rPr>
              <w:rStyle w:val="NUM"/>
            </w:rPr>
            <w:t>004313</w:t>
          </w:r>
          <w:r>
            <w:rPr/>
            <w:t xml:space="preserve"> -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FT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DR"/>
      <w:rPr/>
    </w:pPr>
    <w:r>
      <w:rPr>
        <w:rStyle w:val="CPR"/>
      </w:rPr>
      <w:t>Copyright 2019 AIA</w:t>
    </w:r>
    <w:r>
      <w:rPr/>
      <w:tab/>
    </w:r>
    <w:r>
      <w:rPr>
        <w:rStyle w:val="SPN"/>
      </w:rPr>
      <w:t>Procurement and Contracting Documents</w:t>
      <w:tab/>
    </w:r>
    <w:r>
      <w:rPr>
        <w:rStyle w:val="SPD"/>
      </w:rPr>
      <w:t>03/19</w:t>
    </w:r>
    <w:r>
      <mc:AlternateContent>
        <mc:Choice Requires="wps">
          <w:drawing>
            <wp:anchor behindDoc="1" distT="0" distB="0" distL="114935" distR="114935" simplePos="0" locked="0" layoutInCell="1" allowOverlap="1" relativeHeight="2">
              <wp:simplePos x="0" y="0"/>
              <wp:positionH relativeFrom="column">
                <wp:posOffset>-88900</wp:posOffset>
              </wp:positionH>
              <wp:positionV relativeFrom="page">
                <wp:posOffset>9652000</wp:posOffset>
              </wp:positionV>
              <wp:extent cx="6121400" cy="38100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21400" cy="381000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jc w:val="both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Copyright © 2022 by the American Institute of Architects. Warning: This AIA MasterSpec based document is protected by U.S. Copyright Law and International Treaties. A valid, current MasterSpec license is required for editing or use of this document.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82pt;height:30pt;mso-wrap-distance-left:9.05pt;mso-wrap-distance-right:9.05pt;mso-wrap-distance-top:0pt;mso-wrap-distance-bottom:0pt;margin-top:760pt;mso-position-vertical-relative:page;margin-left:-7pt;mso-position-horizontal-relative:text">
              <v:textbox inset="0.100694444444444in,0.0506944444444444in,0.100694444444444in,0.0506944444444444in">
                <w:txbxContent>
                  <w:p>
                    <w:pPr>
                      <w:pStyle w:val="Normal"/>
                      <w:jc w:val="both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Copyright © 2022 by the American Institute of Architects. Warning: This AIA MasterSpec based document is protected by U.S. Copyright Law and International Treaties. A valid, current MasterSpec license is required for editing or use of this document.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PART %1 - "/>
      <w:lvlJc w:val="left"/>
      <w:pPr>
        <w:tabs>
          <w:tab w:val="num" w:pos="0"/>
        </w:tabs>
        <w:ind w:left="0" w:hanging="0"/>
      </w:pPr>
    </w:lvl>
    <w:lvl w:ilvl="1">
      <w:start w:val="0"/>
      <w:numFmt w:val="decimal"/>
      <w:suff w:val="nothing"/>
      <w:lvlText w:val="SCHEDULE %2 - "/>
      <w:lvlJc w:val="left"/>
      <w:pPr>
        <w:tabs>
          <w:tab w:val="num" w:pos="0"/>
        </w:tabs>
        <w:ind w:left="0" w:hanging="0"/>
      </w:pPr>
    </w:lvl>
    <w:lvl w:ilvl="2">
      <w:start w:val="0"/>
      <w:numFmt w:val="decimal"/>
      <w:suff w:val="nothing"/>
      <w:lvlText w:val="PRODUCT DATA SHEET %3 - 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Text w:val="%1.%4"/>
      <w:lvlJc w:val="left"/>
      <w:pPr>
        <w:tabs>
          <w:tab w:val="num" w:pos="864"/>
        </w:tabs>
        <w:ind w:left="864" w:hanging="864"/>
      </w:pPr>
    </w:lvl>
    <w:lvl w:ilvl="4">
      <w:start w:val="1"/>
      <w:numFmt w:val="upperLetter"/>
      <w:lvlText w:val="%5."/>
      <w:lvlJc w:val="left"/>
      <w:pPr>
        <w:tabs>
          <w:tab w:val="num" w:pos="864"/>
        </w:tabs>
        <w:ind w:left="864" w:hanging="576"/>
      </w:pPr>
    </w:lvl>
    <w:lvl w:ilvl="5">
      <w:start w:val="1"/>
      <w:numFmt w:val="decimal"/>
      <w:lvlText w:val="%6."/>
      <w:lvlJc w:val="left"/>
      <w:pPr>
        <w:tabs>
          <w:tab w:val="num" w:pos="1440"/>
        </w:tabs>
        <w:ind w:left="1440" w:hanging="576"/>
      </w:pPr>
    </w:lvl>
    <w:lvl w:ilvl="6">
      <w:start w:val="1"/>
      <w:numFmt w:val="lowerLetter"/>
      <w:lvlText w:val="%7."/>
      <w:lvlJc w:val="left"/>
      <w:pPr>
        <w:tabs>
          <w:tab w:val="num" w:pos="2016"/>
        </w:tabs>
        <w:ind w:left="2016" w:hanging="576"/>
      </w:pPr>
    </w:lvl>
    <w:lvl w:ilvl="7">
      <w:start w:val="1"/>
      <w:numFmt w:val="decimal"/>
      <w:lvlText w:val="%8)"/>
      <w:lvlJc w:val="left"/>
      <w:pPr>
        <w:tabs>
          <w:tab w:val="num" w:pos="2592"/>
        </w:tabs>
        <w:ind w:left="2592" w:hanging="576"/>
      </w:pPr>
    </w:lvl>
    <w:lvl w:ilvl="8">
      <w:start w:val="1"/>
      <w:numFmt w:val="lowerLetter"/>
      <w:lvlText w:val="%9)"/>
      <w:lvlJc w:val="left"/>
      <w:pPr>
        <w:tabs>
          <w:tab w:val="num" w:pos="3168"/>
        </w:tabs>
        <w:ind w:left="3168" w:hanging="576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080"/>
  <w:autoHyphenation w:val="true"/>
  <w:hyphenationZone w:val="0"/>
  <w:compat>
    <w:doNotBreakWrappedTables/>
    <w:compatSetting w:name="compatibilityMode" w:uri="http://schemas.microsoft.com/office/word" w:val="11"/>
  </w:compat>
  <w:docVars>
    <w:docVar w:name="DOI" w:val="03/01/2019"/>
    <w:docVar w:name="Format" w:val="1"/>
    <w:docVar w:name="MF04" w:val="004313"/>
    <w:docVar w:name="MFOrigin" w:val="MF04"/>
    <w:docVar w:name="SpecType" w:val="MasterSpec"/>
    <w:docVar w:name="Version" w:val="1480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2"/>
      <w:szCs w:val="20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CPR">
    <w:name w:val="CPR"/>
    <w:basedOn w:val="DefaultParagraphFont"/>
    <w:qFormat/>
    <w:rPr/>
  </w:style>
  <w:style w:type="character" w:styleId="SPN">
    <w:name w:val="SPN"/>
    <w:basedOn w:val="DefaultParagraphFont"/>
    <w:qFormat/>
    <w:rPr/>
  </w:style>
  <w:style w:type="character" w:styleId="SPD">
    <w:name w:val="SPD"/>
    <w:basedOn w:val="DefaultParagraphFont"/>
    <w:qFormat/>
    <w:rPr/>
  </w:style>
  <w:style w:type="character" w:styleId="NUM">
    <w:name w:val="NUM"/>
    <w:basedOn w:val="DefaultParagraphFont"/>
    <w:qFormat/>
    <w:rPr/>
  </w:style>
  <w:style w:type="character" w:styleId="NAM">
    <w:name w:val="NAM"/>
    <w:basedOn w:val="DefaultParagraphFont"/>
    <w:qFormat/>
    <w:rPr/>
  </w:style>
  <w:style w:type="character" w:styleId="SI">
    <w:name w:val="SI"/>
    <w:qFormat/>
    <w:rPr>
      <w:color w:val="008080"/>
    </w:rPr>
  </w:style>
  <w:style w:type="character" w:styleId="IP">
    <w:name w:val="IP"/>
    <w:qFormat/>
    <w:rPr>
      <w:color w:val="FF0000"/>
    </w:rPr>
  </w:style>
  <w:style w:type="character" w:styleId="Hyperlink">
    <w:name w:val="Hyperlink"/>
    <w:rPr>
      <w:color w:val="0000FF"/>
      <w:u w:val="single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CMTChar">
    <w:name w:val="CMT Char"/>
    <w:qFormat/>
    <w:rPr>
      <w:color w:val="0000FF"/>
      <w:sz w:val="22"/>
    </w:rPr>
  </w:style>
  <w:style w:type="character" w:styleId="TIPChar">
    <w:name w:val="TIP Char"/>
    <w:qFormat/>
    <w:rPr>
      <w:vanish w:val="false"/>
      <w:color w:val="B30838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DR">
    <w:name w:val="HDR"/>
    <w:basedOn w:val="Normal"/>
    <w:qFormat/>
    <w:pPr>
      <w:tabs>
        <w:tab w:val="clear" w:pos="1080"/>
        <w:tab w:val="center" w:pos="4608" w:leader="none"/>
        <w:tab w:val="right" w:pos="9360" w:leader="none"/>
      </w:tabs>
      <w:suppressAutoHyphens w:val="true"/>
      <w:jc w:val="both"/>
    </w:pPr>
    <w:rPr/>
  </w:style>
  <w:style w:type="paragraph" w:styleId="FTR">
    <w:name w:val="FTR"/>
    <w:basedOn w:val="Normal"/>
    <w:qFormat/>
    <w:pPr>
      <w:tabs>
        <w:tab w:val="clear" w:pos="1080"/>
        <w:tab w:val="right" w:pos="9360" w:leader="none"/>
      </w:tabs>
      <w:suppressAutoHyphens w:val="true"/>
      <w:jc w:val="both"/>
    </w:pPr>
    <w:rPr/>
  </w:style>
  <w:style w:type="paragraph" w:styleId="SCT">
    <w:name w:val="SCT"/>
    <w:basedOn w:val="Normal"/>
    <w:next w:val="PRT"/>
    <w:qFormat/>
    <w:pPr>
      <w:suppressAutoHyphens w:val="true"/>
      <w:spacing w:before="240" w:after="0"/>
      <w:jc w:val="both"/>
    </w:pPr>
    <w:rPr/>
  </w:style>
  <w:style w:type="paragraph" w:styleId="PRT">
    <w:name w:val="PRT"/>
    <w:basedOn w:val="Normal"/>
    <w:next w:val="ART"/>
    <w:qFormat/>
    <w:pPr>
      <w:keepNext w:val="true"/>
      <w:numPr>
        <w:ilvl w:val="0"/>
        <w:numId w:val="1"/>
      </w:numPr>
      <w:suppressAutoHyphens w:val="true"/>
      <w:spacing w:before="480" w:after="0"/>
      <w:jc w:val="both"/>
      <w:outlineLvl w:val="0"/>
    </w:pPr>
    <w:rPr/>
  </w:style>
  <w:style w:type="paragraph" w:styleId="SUT">
    <w:name w:val="SUT"/>
    <w:basedOn w:val="Normal"/>
    <w:next w:val="PR1"/>
    <w:qFormat/>
    <w:pPr>
      <w:numPr>
        <w:ilvl w:val="0"/>
        <w:numId w:val="1"/>
      </w:numPr>
      <w:suppressAutoHyphens w:val="true"/>
      <w:spacing w:before="240" w:after="0"/>
      <w:jc w:val="both"/>
      <w:outlineLvl w:val="0"/>
    </w:pPr>
    <w:rPr/>
  </w:style>
  <w:style w:type="paragraph" w:styleId="DST">
    <w:name w:val="DST"/>
    <w:basedOn w:val="Normal"/>
    <w:next w:val="PR1"/>
    <w:qFormat/>
    <w:pPr>
      <w:numPr>
        <w:ilvl w:val="0"/>
        <w:numId w:val="1"/>
      </w:numPr>
      <w:suppressAutoHyphens w:val="true"/>
      <w:spacing w:before="240" w:after="0"/>
      <w:jc w:val="both"/>
      <w:outlineLvl w:val="0"/>
    </w:pPr>
    <w:rPr/>
  </w:style>
  <w:style w:type="paragraph" w:styleId="ART">
    <w:name w:val="ART"/>
    <w:basedOn w:val="Normal"/>
    <w:next w:val="PR1"/>
    <w:qFormat/>
    <w:pPr>
      <w:keepNext w:val="true"/>
      <w:numPr>
        <w:ilvl w:val="0"/>
        <w:numId w:val="1"/>
      </w:numPr>
      <w:suppressAutoHyphens w:val="true"/>
      <w:spacing w:before="480" w:after="0"/>
      <w:jc w:val="both"/>
      <w:outlineLvl w:val="1"/>
    </w:pPr>
    <w:rPr/>
  </w:style>
  <w:style w:type="paragraph" w:styleId="PR1">
    <w:name w:val="PR1"/>
    <w:basedOn w:val="Normal"/>
    <w:qFormat/>
    <w:pPr>
      <w:numPr>
        <w:ilvl w:val="0"/>
        <w:numId w:val="1"/>
      </w:numPr>
      <w:tabs>
        <w:tab w:val="clear" w:pos="1080"/>
        <w:tab w:val="left" w:pos="864" w:leader="none"/>
      </w:tabs>
      <w:suppressAutoHyphens w:val="true"/>
      <w:spacing w:before="240" w:after="0"/>
      <w:ind w:hanging="576" w:left="864" w:right="0"/>
      <w:jc w:val="both"/>
      <w:outlineLvl w:val="2"/>
    </w:pPr>
    <w:rPr/>
  </w:style>
  <w:style w:type="paragraph" w:styleId="PR2">
    <w:name w:val="PR2"/>
    <w:basedOn w:val="Normal"/>
    <w:qFormat/>
    <w:pPr>
      <w:numPr>
        <w:ilvl w:val="0"/>
        <w:numId w:val="1"/>
      </w:numPr>
      <w:tabs>
        <w:tab w:val="clear" w:pos="1080"/>
        <w:tab w:val="left" w:pos="1440" w:leader="none"/>
      </w:tabs>
      <w:suppressAutoHyphens w:val="true"/>
      <w:ind w:hanging="576" w:left="1440" w:right="0"/>
      <w:jc w:val="both"/>
      <w:outlineLvl w:val="3"/>
    </w:pPr>
    <w:rPr/>
  </w:style>
  <w:style w:type="paragraph" w:styleId="PR3">
    <w:name w:val="PR3"/>
    <w:basedOn w:val="Normal"/>
    <w:qFormat/>
    <w:pPr>
      <w:numPr>
        <w:ilvl w:val="0"/>
        <w:numId w:val="1"/>
      </w:numPr>
      <w:tabs>
        <w:tab w:val="clear" w:pos="1080"/>
        <w:tab w:val="left" w:pos="2016" w:leader="none"/>
      </w:tabs>
      <w:suppressAutoHyphens w:val="true"/>
      <w:ind w:hanging="576" w:left="2016" w:right="0"/>
      <w:jc w:val="both"/>
      <w:outlineLvl w:val="4"/>
    </w:pPr>
    <w:rPr/>
  </w:style>
  <w:style w:type="paragraph" w:styleId="PR4">
    <w:name w:val="PR4"/>
    <w:basedOn w:val="Normal"/>
    <w:qFormat/>
    <w:pPr>
      <w:numPr>
        <w:ilvl w:val="0"/>
        <w:numId w:val="1"/>
      </w:numPr>
      <w:tabs>
        <w:tab w:val="clear" w:pos="1080"/>
        <w:tab w:val="left" w:pos="2592" w:leader="none"/>
      </w:tabs>
      <w:suppressAutoHyphens w:val="true"/>
      <w:ind w:hanging="576" w:left="2592" w:right="0"/>
      <w:jc w:val="both"/>
      <w:outlineLvl w:val="5"/>
    </w:pPr>
    <w:rPr/>
  </w:style>
  <w:style w:type="paragraph" w:styleId="PR5">
    <w:name w:val="PR5"/>
    <w:basedOn w:val="Normal"/>
    <w:qFormat/>
    <w:pPr>
      <w:numPr>
        <w:ilvl w:val="0"/>
        <w:numId w:val="1"/>
      </w:numPr>
      <w:tabs>
        <w:tab w:val="clear" w:pos="1080"/>
        <w:tab w:val="left" w:pos="3168" w:leader="none"/>
      </w:tabs>
      <w:suppressAutoHyphens w:val="true"/>
      <w:ind w:hanging="576" w:left="3168" w:right="0"/>
      <w:jc w:val="both"/>
      <w:outlineLvl w:val="6"/>
    </w:pPr>
    <w:rPr/>
  </w:style>
  <w:style w:type="paragraph" w:styleId="TB1">
    <w:name w:val="TB1"/>
    <w:basedOn w:val="Normal"/>
    <w:next w:val="PR1"/>
    <w:qFormat/>
    <w:pPr>
      <w:suppressAutoHyphens w:val="true"/>
      <w:spacing w:before="240" w:after="0"/>
      <w:ind w:hanging="0" w:left="288" w:right="0"/>
      <w:jc w:val="both"/>
    </w:pPr>
    <w:rPr/>
  </w:style>
  <w:style w:type="paragraph" w:styleId="TB2">
    <w:name w:val="TB2"/>
    <w:basedOn w:val="Normal"/>
    <w:next w:val="PR2"/>
    <w:qFormat/>
    <w:pPr>
      <w:suppressAutoHyphens w:val="true"/>
      <w:spacing w:before="240" w:after="0"/>
      <w:ind w:hanging="0" w:left="864" w:right="0"/>
      <w:jc w:val="both"/>
    </w:pPr>
    <w:rPr/>
  </w:style>
  <w:style w:type="paragraph" w:styleId="TB3">
    <w:name w:val="TB3"/>
    <w:basedOn w:val="Normal"/>
    <w:next w:val="PR3"/>
    <w:qFormat/>
    <w:pPr>
      <w:suppressAutoHyphens w:val="true"/>
      <w:spacing w:before="240" w:after="0"/>
      <w:ind w:hanging="0" w:left="1440" w:right="0"/>
      <w:jc w:val="both"/>
    </w:pPr>
    <w:rPr/>
  </w:style>
  <w:style w:type="paragraph" w:styleId="TB4">
    <w:name w:val="TB4"/>
    <w:basedOn w:val="Normal"/>
    <w:next w:val="PR4"/>
    <w:qFormat/>
    <w:pPr>
      <w:suppressAutoHyphens w:val="true"/>
      <w:spacing w:before="240" w:after="0"/>
      <w:ind w:hanging="0" w:left="2016" w:right="0"/>
      <w:jc w:val="both"/>
    </w:pPr>
    <w:rPr/>
  </w:style>
  <w:style w:type="paragraph" w:styleId="TB5">
    <w:name w:val="TB5"/>
    <w:basedOn w:val="Normal"/>
    <w:next w:val="PR5"/>
    <w:qFormat/>
    <w:pPr>
      <w:suppressAutoHyphens w:val="true"/>
      <w:spacing w:before="240" w:after="0"/>
      <w:ind w:hanging="0" w:left="2592" w:right="0"/>
      <w:jc w:val="both"/>
    </w:pPr>
    <w:rPr/>
  </w:style>
  <w:style w:type="paragraph" w:styleId="TF1">
    <w:name w:val="TF1"/>
    <w:basedOn w:val="Normal"/>
    <w:next w:val="TB1"/>
    <w:qFormat/>
    <w:pPr>
      <w:suppressAutoHyphens w:val="true"/>
      <w:spacing w:before="240" w:after="0"/>
      <w:ind w:hanging="0" w:left="288" w:right="0"/>
      <w:jc w:val="both"/>
    </w:pPr>
    <w:rPr/>
  </w:style>
  <w:style w:type="paragraph" w:styleId="TF2">
    <w:name w:val="TF2"/>
    <w:basedOn w:val="Normal"/>
    <w:next w:val="TB2"/>
    <w:qFormat/>
    <w:pPr>
      <w:suppressAutoHyphens w:val="true"/>
      <w:spacing w:before="240" w:after="0"/>
      <w:ind w:hanging="0" w:left="864" w:right="0"/>
      <w:jc w:val="both"/>
    </w:pPr>
    <w:rPr/>
  </w:style>
  <w:style w:type="paragraph" w:styleId="TF3">
    <w:name w:val="TF3"/>
    <w:basedOn w:val="Normal"/>
    <w:next w:val="TB3"/>
    <w:qFormat/>
    <w:pPr>
      <w:suppressAutoHyphens w:val="true"/>
      <w:spacing w:before="240" w:after="0"/>
      <w:ind w:hanging="0" w:left="1440" w:right="0"/>
      <w:jc w:val="both"/>
    </w:pPr>
    <w:rPr/>
  </w:style>
  <w:style w:type="paragraph" w:styleId="TF4">
    <w:name w:val="TF4"/>
    <w:basedOn w:val="Normal"/>
    <w:next w:val="TB4"/>
    <w:qFormat/>
    <w:pPr>
      <w:suppressAutoHyphens w:val="true"/>
      <w:spacing w:before="240" w:after="0"/>
      <w:ind w:hanging="0" w:left="2016" w:right="0"/>
      <w:jc w:val="both"/>
    </w:pPr>
    <w:rPr/>
  </w:style>
  <w:style w:type="paragraph" w:styleId="TF5">
    <w:name w:val="TF5"/>
    <w:basedOn w:val="Normal"/>
    <w:next w:val="TB5"/>
    <w:qFormat/>
    <w:pPr>
      <w:suppressAutoHyphens w:val="true"/>
      <w:spacing w:before="240" w:after="0"/>
      <w:ind w:hanging="0" w:left="2592" w:right="0"/>
      <w:jc w:val="both"/>
    </w:pPr>
    <w:rPr/>
  </w:style>
  <w:style w:type="paragraph" w:styleId="TCH">
    <w:name w:val="TCH"/>
    <w:basedOn w:val="Normal"/>
    <w:qFormat/>
    <w:pPr>
      <w:suppressAutoHyphens w:val="true"/>
    </w:pPr>
    <w:rPr/>
  </w:style>
  <w:style w:type="paragraph" w:styleId="TCE">
    <w:name w:val="TCE"/>
    <w:basedOn w:val="Normal"/>
    <w:qFormat/>
    <w:pPr>
      <w:suppressAutoHyphens w:val="true"/>
      <w:ind w:hanging="144" w:left="144" w:right="0"/>
    </w:pPr>
    <w:rPr/>
  </w:style>
  <w:style w:type="paragraph" w:styleId="EOS">
    <w:name w:val="EOS"/>
    <w:basedOn w:val="Normal"/>
    <w:qFormat/>
    <w:pPr>
      <w:suppressAutoHyphens w:val="true"/>
      <w:spacing w:before="480" w:after="0"/>
      <w:jc w:val="both"/>
    </w:pPr>
    <w:rPr/>
  </w:style>
  <w:style w:type="paragraph" w:styleId="ANT">
    <w:name w:val="ANT"/>
    <w:basedOn w:val="Normal"/>
    <w:qFormat/>
    <w:pPr>
      <w:suppressAutoHyphens w:val="true"/>
      <w:spacing w:before="240" w:after="0"/>
      <w:jc w:val="both"/>
    </w:pPr>
    <w:rPr>
      <w:vanish/>
      <w:color w:val="800080"/>
      <w:u w:val="single"/>
    </w:rPr>
  </w:style>
  <w:style w:type="paragraph" w:styleId="CMT">
    <w:name w:val="CMT"/>
    <w:basedOn w:val="Normal"/>
    <w:qFormat/>
    <w:pPr>
      <w:suppressAutoHyphens w:val="true"/>
      <w:spacing w:before="240" w:after="0"/>
      <w:jc w:val="both"/>
    </w:pPr>
    <w:rPr>
      <w:color w:val="0000FF"/>
    </w:rPr>
  </w:style>
  <w:style w:type="paragraph" w:styleId="RJUST">
    <w:name w:val="RJUST"/>
    <w:basedOn w:val="Normal"/>
    <w:qFormat/>
    <w:pPr>
      <w:jc w:val="right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0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108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1080"/>
        <w:tab w:val="center" w:pos="4680" w:leader="none"/>
        <w:tab w:val="right" w:pos="9360" w:leader="none"/>
      </w:tabs>
    </w:pPr>
    <w:rPr/>
  </w:style>
  <w:style w:type="paragraph" w:styleId="TIP">
    <w:name w:val="TIP"/>
    <w:basedOn w:val="Normal"/>
    <w:qFormat/>
    <w:pPr>
      <w:pBdr>
        <w:top w:val="single" w:sz="4" w:space="3" w:color="000000"/>
        <w:left w:val="single" w:sz="4" w:space="4" w:color="000000"/>
        <w:bottom w:val="single" w:sz="4" w:space="3" w:color="000000"/>
        <w:right w:val="single" w:sz="4" w:space="4" w:color="000000"/>
      </w:pBdr>
      <w:spacing w:before="240" w:after="0"/>
    </w:pPr>
    <w:rPr>
      <w:color w:val="B30838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user.avitru.com/ContentContact.aspx?sect=004313&amp;ver=03-01-2019&amp;format=FL&amp;sid=14801&amp;utm_source=MasterSpec&amp;utm_medium=Word" TargetMode="External"/><Relationship Id="rId3" Type="http://schemas.openxmlformats.org/officeDocument/2006/relationships/hyperlink" Target="https://www.aiacontracts.org/" TargetMode="External"/><Relationship Id="rId4" Type="http://schemas.openxmlformats.org/officeDocument/2006/relationships/hyperlink" Target="../../start/docspurchases@aia.org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LibreOffice/25.8.2.2$MacOSX_AARCH64 LibreOffice_project/d401f2107ccab8f924a8e2df40f573aab7605b6f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2022-09-26T01:26:00Z</dcterms:created>
  <dc:creator>Deltek, Inc.</dc:creator>
  <dc:description/>
  <cp:keywords>SLV-12345-MS80</cp:keywords>
  <dc:language>zh-CN</dc:language>
  <cp:lastModifiedBy>Janice Nacional</cp:lastModifiedBy>
  <dcterms:modified xsi:type="dcterms:W3CDTF">2022-09-26T01:26:00Z</dcterms:modified>
  <cp:revision>2</cp:revision>
  <dc:subject>BID SECURITY FORMS</dc:subject>
  <dc:title>SECTION 004313 - BID SECURITY FORMS</dc:title>
</cp:coreProperties>
</file>