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2018 by The American Institute of Architects (AIA)</w:t>
      </w:r>
    </w:p>
    <w:p>
      <w:pPr>
        <w:pStyle w:val="CMT"/>
        <w:rPr/>
      </w:pPr>
      <w:r>
        <w:rPr/>
        <w:t>Exclusively published and distributed by Deltek, Inc. for the AIA</w:t>
      </w:r>
    </w:p>
    <w:p>
      <w:pPr>
        <w:pStyle w:val="SCT"/>
        <w:rPr/>
      </w:pPr>
      <w:r>
        <w:rPr/>
        <w:t xml:space="preserve">SECTION </w:t>
      </w:r>
      <w:r>
        <w:rPr>
          <w:rStyle w:val="NUM"/>
        </w:rPr>
        <w:t>012900</w:t>
      </w:r>
      <w:r>
        <w:rPr/>
        <w:t xml:space="preserve"> - </w:t>
      </w:r>
      <w:r>
        <w:rPr>
          <w:rStyle w:val="NAM"/>
        </w:rPr>
        <w:t>PAYMENT PROCEDURES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This Section uses the term "Architect." Change this term to match that used to identify the design professional as defined in the General and Supplementary Conditions.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ind w:hanging="0" w:left="0"/>
        <w:rPr/>
      </w:pPr>
      <w:r>
        <w:rPr/>
        <w:t>Drawings and general provisions of the Contract, including General and Supplementary Conditions and other Division 01 Specification Sections, apply to this Section.</w:t>
      </w:r>
    </w:p>
    <w:p>
      <w:pPr>
        <w:pStyle w:val="ART"/>
        <w:numPr>
          <w:ilvl w:val="3"/>
          <w:numId w:val="1"/>
        </w:numPr>
        <w:ind w:hanging="0" w:left="0"/>
        <w:rPr/>
      </w:pPr>
      <w:r>
        <w:rPr/>
        <w:t>SUMMARY</w:t>
      </w:r>
    </w:p>
    <w:p>
      <w:pPr>
        <w:pStyle w:val="PR1"/>
        <w:numPr>
          <w:ilvl w:val="4"/>
          <w:numId w:val="1"/>
        </w:numPr>
        <w:ind w:hanging="0" w:left="0"/>
        <w:rPr/>
      </w:pPr>
      <w:r>
        <w:rPr/>
        <w:t>Section includes administrative and procedural requirements necessary to prepare and process Applications for Payment.</w:t>
      </w:r>
    </w:p>
    <w:p>
      <w:pPr>
        <w:pStyle w:val="PR1"/>
        <w:numPr>
          <w:ilvl w:val="4"/>
          <w:numId w:val="1"/>
        </w:numPr>
        <w:ind w:hanging="0" w:left="0"/>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ind w:hanging="0" w:left="0"/>
        <w:rPr/>
      </w:pPr>
      <w:r>
        <w:rPr/>
        <w:t>Document 004373 "Proposed Schedule of Values Form" for requirements for furnishing proposed schedule of values with bid.</w:t>
      </w:r>
    </w:p>
    <w:p>
      <w:pPr>
        <w:pStyle w:val="PR2"/>
        <w:numPr>
          <w:ilvl w:val="5"/>
          <w:numId w:val="1"/>
        </w:numPr>
        <w:ind w:hanging="0" w:left="0"/>
        <w:rPr/>
      </w:pPr>
      <w:r>
        <w:rPr/>
        <w:t>Section 012100 "Allowances" for procedural requirements governing the handling and processing of allowances.</w:t>
      </w:r>
    </w:p>
    <w:p>
      <w:pPr>
        <w:pStyle w:val="PR2"/>
        <w:numPr>
          <w:ilvl w:val="5"/>
          <w:numId w:val="1"/>
        </w:numPr>
        <w:ind w:hanging="0" w:left="0"/>
        <w:rPr/>
      </w:pPr>
      <w:r>
        <w:rPr/>
        <w:t>Section 012200 "Unit Prices" for administrative requirements governing the use of unit prices.</w:t>
      </w:r>
    </w:p>
    <w:p>
      <w:pPr>
        <w:pStyle w:val="PR2"/>
        <w:numPr>
          <w:ilvl w:val="5"/>
          <w:numId w:val="1"/>
        </w:numPr>
        <w:ind w:hanging="0" w:left="0"/>
        <w:rPr/>
      </w:pPr>
      <w:r>
        <w:rPr/>
        <w:t>Section 012600 "Contract Modification Procedures" for administrative procedures for handling changes to the Contract.</w:t>
      </w:r>
    </w:p>
    <w:p>
      <w:pPr>
        <w:pStyle w:val="PR2"/>
        <w:numPr>
          <w:ilvl w:val="5"/>
          <w:numId w:val="1"/>
        </w:numPr>
        <w:ind w:hanging="0" w:left="0"/>
        <w:rPr/>
      </w:pPr>
      <w:r>
        <w:rPr/>
        <w:t>Section 013200 "Construction Progress Documentation" for administrative requirements governing the preparation and submittal of the Contractor's construction schedule.</w:t>
      </w:r>
    </w:p>
    <w:p>
      <w:pPr>
        <w:pStyle w:val="PR2"/>
        <w:numPr>
          <w:ilvl w:val="5"/>
          <w:numId w:val="1"/>
        </w:numPr>
        <w:ind w:hanging="0" w:left="0"/>
        <w:rPr/>
      </w:pPr>
      <w:hyperlink r:id="rId3">
        <w:r>
          <w:rPr>
            <w:rStyle w:val="Hyperlink"/>
          </w:rPr>
          <w:t>&lt;Double click to insert sustainable design text for related sections.&gt;</w:t>
        </w:r>
      </w:hyperlink>
    </w:p>
    <w:p>
      <w:pPr>
        <w:pStyle w:val="ART"/>
        <w:numPr>
          <w:ilvl w:val="3"/>
          <w:numId w:val="1"/>
        </w:numPr>
        <w:ind w:hanging="0" w:left="0"/>
        <w:rPr/>
      </w:pPr>
      <w:r>
        <w:rPr/>
        <w:t>DEFINITIONS</w:t>
      </w:r>
    </w:p>
    <w:p>
      <w:pPr>
        <w:pStyle w:val="CMT"/>
        <w:rPr/>
      </w:pPr>
      <w:r>
        <w:rPr/>
        <w:t>Retain terms that remain after this Section has been edited for a project.</w:t>
      </w:r>
    </w:p>
    <w:p>
      <w:pPr>
        <w:pStyle w:val="CMT"/>
        <w:rPr/>
      </w:pPr>
      <w:r>
        <w:rPr/>
        <w:t>Delete this article if AIA Document A201 or EJCDC Document C-700 is used for Project. Retain if the schedule of values is not defined in the Conditions of the Contract.</w:t>
      </w:r>
    </w:p>
    <w:p>
      <w:pPr>
        <w:pStyle w:val="PR1"/>
        <w:numPr>
          <w:ilvl w:val="4"/>
          <w:numId w:val="1"/>
        </w:numPr>
        <w:ind w:hanging="0" w:left="0"/>
        <w:rPr/>
      </w:pPr>
      <w:r>
        <w:rPr/>
        <w:t>Schedule of Values: A statement furnished by Contractor allocating portions of the Contract Sum to various portions of the Work and used as the basis for reviewing Contractor's Applications for Payment.</w:t>
      </w:r>
    </w:p>
    <w:p>
      <w:pPr>
        <w:pStyle w:val="ART"/>
        <w:numPr>
          <w:ilvl w:val="3"/>
          <w:numId w:val="1"/>
        </w:numPr>
        <w:ind w:hanging="0" w:left="0"/>
        <w:rPr/>
      </w:pPr>
      <w:r>
        <w:rPr/>
        <w:t>SCHEDULE OF VALUES</w:t>
      </w:r>
    </w:p>
    <w:p>
      <w:pPr>
        <w:pStyle w:val="CMT"/>
        <w:rPr/>
      </w:pPr>
      <w:r>
        <w:rPr/>
        <w:t>Retain option in "Coordination" Paragraph below for projects with CPM schedule specified in Section 013200 "Construction Progress Documentation," and if using cost-loaded CPM as the basis for the schedule of values is acceptable.</w:t>
      </w:r>
    </w:p>
    <w:p>
      <w:pPr>
        <w:pStyle w:val="PR1"/>
        <w:numPr>
          <w:ilvl w:val="4"/>
          <w:numId w:val="1"/>
        </w:numPr>
        <w:ind w:hanging="0" w:left="0"/>
        <w:rPr/>
      </w:pPr>
      <w:r>
        <w:rPr/>
        <w:t>Coordination: Coordinate preparation of the schedule of values with preparation of Contractor's construction schedule.[</w:t>
      </w:r>
      <w:r>
        <w:rPr>
          <w:b/>
        </w:rPr>
        <w:t> Cost-loaded Critical Path Method Schedule may serve to satisfy requirements for the schedule of values.</w:t>
      </w:r>
      <w:r>
        <w:rPr/>
        <w:t>]</w:t>
      </w:r>
    </w:p>
    <w:p>
      <w:pPr>
        <w:pStyle w:val="PR2"/>
        <w:numPr>
          <w:ilvl w:val="5"/>
          <w:numId w:val="1"/>
        </w:numPr>
        <w:spacing w:before="240" w:after="0"/>
        <w:ind w:hanging="0" w:left="0"/>
        <w:rPr/>
      </w:pPr>
      <w:r>
        <w:rPr/>
        <w:t>Coordinate line items in the schedule of values with items required to be indicated as separate activities in Contractor's construction schedule.</w:t>
      </w:r>
    </w:p>
    <w:p>
      <w:pPr>
        <w:pStyle w:val="CMT"/>
        <w:rPr/>
      </w:pPr>
      <w:r>
        <w:rPr/>
        <w:t>Revise seven-day time period in first subparagraph below to suit Project.</w:t>
      </w:r>
    </w:p>
    <w:p>
      <w:pPr>
        <w:pStyle w:val="PR2"/>
        <w:numPr>
          <w:ilvl w:val="5"/>
          <w:numId w:val="1"/>
        </w:numPr>
        <w:ind w:hanging="0" w:left="0"/>
        <w:rPr/>
      </w:pPr>
      <w:r>
        <w:rPr/>
        <w:t>Submit the schedule of values to Architect[</w:t>
      </w:r>
      <w:r>
        <w:rPr>
          <w:b/>
        </w:rPr>
        <w:t> through Construction Manager</w:t>
      </w:r>
      <w:r>
        <w:rPr/>
        <w:t>] at earliest possible date, but no later than [</w:t>
      </w:r>
      <w:r>
        <w:rPr>
          <w:b/>
        </w:rPr>
        <w:t>seven</w:t>
      </w:r>
      <w:r>
        <w:rPr/>
        <w:t>] &lt;</w:t>
      </w:r>
      <w:r>
        <w:rPr>
          <w:b/>
        </w:rPr>
        <w:t>Insert number</w:t>
      </w:r>
      <w:r>
        <w:rPr/>
        <w:t>&gt; days before the date scheduled for submittal of initial Applications for Payment.</w:t>
      </w:r>
    </w:p>
    <w:p>
      <w:pPr>
        <w:pStyle w:val="CMT"/>
        <w:rPr/>
      </w:pPr>
      <w:r>
        <w:rPr/>
        <w:t>Retain "Subschedules for Phased Work" Subparagraph below if phasing is required. See the Evaluations in Section 011000 "Summary."</w:t>
      </w:r>
    </w:p>
    <w:p>
      <w:pPr>
        <w:pStyle w:val="PR2"/>
        <w:numPr>
          <w:ilvl w:val="5"/>
          <w:numId w:val="1"/>
        </w:numPr>
        <w:ind w:hanging="0" w:left="0"/>
        <w:rPr/>
      </w:pPr>
      <w:r>
        <w:rPr/>
        <w:t>Subschedules for Phased Work: Where the Work is separated into phases requiring separately phased payments, provide subschedules showing values coordinated with each phase of payment.</w:t>
      </w:r>
    </w:p>
    <w:p>
      <w:pPr>
        <w:pStyle w:val="CMT"/>
        <w:rPr/>
      </w:pPr>
      <w:r>
        <w:rPr/>
        <w:t>Retain "Subschedules for Separate Elements of Work" Subparagraph below if the Work is divided into separate elements for large projects, such as floors, wings, or multiple buildings. See the Evaluations in Section 013200 "Construction Progress Documentation."</w:t>
      </w:r>
    </w:p>
    <w:p>
      <w:pPr>
        <w:pStyle w:val="PR2"/>
        <w:numPr>
          <w:ilvl w:val="5"/>
          <w:numId w:val="1"/>
        </w:numPr>
        <w:ind w:hanging="0" w:left="0"/>
        <w:rPr/>
      </w:pPr>
      <w:r>
        <w:rPr/>
        <w:t>Subschedules for Separate Elements of Work: Where the Contractor's construction schedule defines separate elements of the Work, provide subschedules showing values coordinated with each element.</w:t>
      </w:r>
    </w:p>
    <w:p>
      <w:pPr>
        <w:pStyle w:val="CMT"/>
        <w:rPr/>
      </w:pPr>
      <w:r>
        <w:rPr/>
        <w:t>Retain "Subschedules for Separate Design Contracts" Subparagraph below if Applications for Payment will be certified by design professionals under separate contracts with the Owner.</w:t>
      </w:r>
    </w:p>
    <w:p>
      <w:pPr>
        <w:pStyle w:val="PR2"/>
        <w:numPr>
          <w:ilvl w:val="5"/>
          <w:numId w:val="1"/>
        </w:numPr>
        <w:ind w:hanging="0" w:left="0"/>
        <w:rPr/>
      </w:pPr>
      <w:r>
        <w:rPr/>
        <w:t>Subschedules for Separate Design Contracts: Where the Owner has retained design professionals under separate contracts who will each provide certification of payment requests, provide subschedules showing values coordinated with the scope of each design services contract, as described in Section 011000 "Summary."</w:t>
      </w:r>
    </w:p>
    <w:p>
      <w:pPr>
        <w:pStyle w:val="CMT"/>
        <w:rPr/>
      </w:pPr>
      <w:r>
        <w:rPr/>
        <w:t>Retain "Format and Content" Paragraph below; revise to suit Project. If applicable, include a sample schedule of values at end of Section.</w:t>
      </w:r>
    </w:p>
    <w:p>
      <w:pPr>
        <w:pStyle w:val="PR1"/>
        <w:numPr>
          <w:ilvl w:val="4"/>
          <w:numId w:val="1"/>
        </w:numPr>
        <w:ind w:hanging="0" w:left="0"/>
        <w:rPr/>
      </w:pPr>
      <w:r>
        <w:rPr/>
        <w:t>Format and Content: Use Project Manual table of contents as a guide to establish line items for the schedule of values. Provide at least one line item for each Specification Section.</w:t>
      </w:r>
    </w:p>
    <w:p>
      <w:pPr>
        <w:pStyle w:val="PR2"/>
        <w:numPr>
          <w:ilvl w:val="5"/>
          <w:numId w:val="1"/>
        </w:numPr>
        <w:spacing w:before="240" w:after="0"/>
        <w:ind w:hanging="0" w:left="0"/>
        <w:rPr/>
      </w:pPr>
      <w:r>
        <w:rPr/>
        <w:t>Identification: Include the following Project identification on the schedule of values:</w:t>
      </w:r>
    </w:p>
    <w:p>
      <w:pPr>
        <w:pStyle w:val="PR3"/>
        <w:numPr>
          <w:ilvl w:val="6"/>
          <w:numId w:val="1"/>
        </w:numPr>
        <w:spacing w:before="240" w:after="0"/>
        <w:ind w:hanging="0" w:left="0"/>
        <w:rPr/>
      </w:pPr>
      <w:r>
        <w:rPr/>
        <w:t>Project name and location.</w:t>
      </w:r>
    </w:p>
    <w:p>
      <w:pPr>
        <w:pStyle w:val="PR3"/>
        <w:numPr>
          <w:ilvl w:val="6"/>
          <w:numId w:val="1"/>
        </w:numPr>
        <w:ind w:hanging="0" w:left="0"/>
        <w:rPr/>
      </w:pPr>
      <w:r>
        <w:rPr/>
        <w:t>Owner's name.</w:t>
      </w:r>
    </w:p>
    <w:p>
      <w:pPr>
        <w:pStyle w:val="PR3"/>
        <w:numPr>
          <w:ilvl w:val="6"/>
          <w:numId w:val="1"/>
        </w:numPr>
        <w:ind w:hanging="0" w:left="0"/>
        <w:rPr/>
      </w:pPr>
      <w:r>
        <w:rPr/>
        <w:t>Owner's Project number.</w:t>
      </w:r>
    </w:p>
    <w:p>
      <w:pPr>
        <w:pStyle w:val="PR3"/>
        <w:numPr>
          <w:ilvl w:val="6"/>
          <w:numId w:val="1"/>
        </w:numPr>
        <w:ind w:hanging="0" w:left="0"/>
        <w:rPr/>
      </w:pPr>
      <w:r>
        <w:rPr/>
        <w:t>Name of Architect.</w:t>
      </w:r>
    </w:p>
    <w:p>
      <w:pPr>
        <w:pStyle w:val="PR3"/>
        <w:numPr>
          <w:ilvl w:val="6"/>
          <w:numId w:val="1"/>
        </w:numPr>
        <w:ind w:hanging="0" w:left="0"/>
        <w:rPr/>
      </w:pPr>
      <w:r>
        <w:rPr/>
        <w:t>Architect's Project number.</w:t>
      </w:r>
    </w:p>
    <w:p>
      <w:pPr>
        <w:pStyle w:val="PR3"/>
        <w:numPr>
          <w:ilvl w:val="6"/>
          <w:numId w:val="1"/>
        </w:numPr>
        <w:ind w:hanging="0" w:left="0"/>
        <w:rPr/>
      </w:pPr>
      <w:r>
        <w:rPr/>
        <w:t>Contractor's name and address.</w:t>
      </w:r>
    </w:p>
    <w:p>
      <w:pPr>
        <w:pStyle w:val="PR3"/>
        <w:numPr>
          <w:ilvl w:val="6"/>
          <w:numId w:val="1"/>
        </w:numPr>
        <w:ind w:hanging="0" w:left="0"/>
        <w:rPr/>
      </w:pPr>
      <w:r>
        <w:rPr/>
        <w:t>Date of submittal.</w:t>
      </w:r>
    </w:p>
    <w:p>
      <w:pPr>
        <w:pStyle w:val="CMT"/>
        <w:rPr/>
      </w:pPr>
      <w:r>
        <w:rPr/>
        <w:t>Retain one of first two subparagraphs below. AIA Document G703 may suffice as a schedule of values and be adequate for projects where the level of detail in second subparagraph is not required.</w:t>
      </w:r>
    </w:p>
    <w:p>
      <w:pPr>
        <w:pStyle w:val="PR2"/>
        <w:numPr>
          <w:ilvl w:val="5"/>
          <w:numId w:val="1"/>
        </w:numPr>
        <w:spacing w:before="240" w:after="0"/>
        <w:ind w:hanging="0" w:left="0"/>
        <w:rPr/>
      </w:pPr>
      <w:r>
        <w:rPr/>
        <w:t>Arrange schedule of values consistent with format of [</w:t>
      </w:r>
      <w:r>
        <w:rPr>
          <w:b/>
        </w:rPr>
        <w:t>AIA Document G703</w:t>
      </w:r>
      <w:r>
        <w:rPr/>
        <w:t>] [</w:t>
      </w:r>
      <w:r>
        <w:rPr>
          <w:b/>
        </w:rPr>
        <w:t>EJCDC Document C-620</w:t>
      </w:r>
      <w:r>
        <w:rPr/>
        <w:t>] &lt;</w:t>
      </w:r>
      <w:r>
        <w:rPr>
          <w:b/>
        </w:rPr>
        <w:t>Insert name and designation of standard form</w:t>
      </w:r>
      <w:r>
        <w:rPr/>
        <w:t>&gt;.</w:t>
      </w:r>
    </w:p>
    <w:p>
      <w:pPr>
        <w:pStyle w:val="PR2"/>
        <w:numPr>
          <w:ilvl w:val="5"/>
          <w:numId w:val="1"/>
        </w:numPr>
        <w:ind w:hanging="0" w:left="0"/>
        <w:rPr/>
      </w:pPr>
      <w:r>
        <w:rPr/>
        <w:t>Arrange the schedule of values in tabular form, with separate columns to indicate the following for each item listed:</w:t>
      </w:r>
    </w:p>
    <w:p>
      <w:pPr>
        <w:pStyle w:val="PR3"/>
        <w:numPr>
          <w:ilvl w:val="6"/>
          <w:numId w:val="1"/>
        </w:numPr>
        <w:spacing w:before="240" w:after="0"/>
        <w:ind w:hanging="0" w:left="0"/>
        <w:rPr/>
      </w:pPr>
      <w:r>
        <w:rPr/>
        <w:t>Related Specification Section or division.</w:t>
      </w:r>
    </w:p>
    <w:p>
      <w:pPr>
        <w:pStyle w:val="PR3"/>
        <w:numPr>
          <w:ilvl w:val="6"/>
          <w:numId w:val="1"/>
        </w:numPr>
        <w:ind w:hanging="0" w:left="0"/>
        <w:rPr/>
      </w:pPr>
      <w:r>
        <w:rPr/>
        <w:t>Description of the Work.</w:t>
      </w:r>
    </w:p>
    <w:p>
      <w:pPr>
        <w:pStyle w:val="PR3"/>
        <w:numPr>
          <w:ilvl w:val="6"/>
          <w:numId w:val="1"/>
        </w:numPr>
        <w:ind w:hanging="0" w:left="0"/>
        <w:rPr/>
      </w:pPr>
      <w:r>
        <w:rPr/>
        <w:t>Name of subcontractor.</w:t>
      </w:r>
    </w:p>
    <w:p>
      <w:pPr>
        <w:pStyle w:val="PR3"/>
        <w:numPr>
          <w:ilvl w:val="6"/>
          <w:numId w:val="1"/>
        </w:numPr>
        <w:ind w:hanging="0" w:left="0"/>
        <w:rPr/>
      </w:pPr>
      <w:r>
        <w:rPr/>
        <w:t>Name of manufacturer or fabricator.</w:t>
      </w:r>
    </w:p>
    <w:p>
      <w:pPr>
        <w:pStyle w:val="PR3"/>
        <w:numPr>
          <w:ilvl w:val="6"/>
          <w:numId w:val="1"/>
        </w:numPr>
        <w:ind w:hanging="0" w:left="0"/>
        <w:rPr/>
      </w:pPr>
      <w:r>
        <w:rPr/>
        <w:t>Name of supplier.</w:t>
      </w:r>
    </w:p>
    <w:p>
      <w:pPr>
        <w:pStyle w:val="PR3"/>
        <w:numPr>
          <w:ilvl w:val="6"/>
          <w:numId w:val="1"/>
        </w:numPr>
        <w:ind w:hanging="0" w:left="0"/>
        <w:rPr/>
      </w:pPr>
      <w:r>
        <w:rPr/>
        <w:t>Change Orders (numbers) that affect value.</w:t>
      </w:r>
    </w:p>
    <w:p>
      <w:pPr>
        <w:pStyle w:val="PR3"/>
        <w:numPr>
          <w:ilvl w:val="6"/>
          <w:numId w:val="1"/>
        </w:numPr>
        <w:ind w:hanging="0" w:left="0"/>
        <w:rPr/>
      </w:pPr>
      <w:r>
        <w:rPr/>
        <w:t>Dollar value of the following, as a percentage of the Contract Sum to nearest one-hundredth percent, adjusted to total 100 percent. Round dollar amounts to whole dollars, with total equal to Contract Sum.</w:t>
      </w:r>
    </w:p>
    <w:p>
      <w:pPr>
        <w:pStyle w:val="PR4"/>
        <w:numPr>
          <w:ilvl w:val="7"/>
          <w:numId w:val="1"/>
        </w:numPr>
        <w:spacing w:before="240" w:after="0"/>
        <w:ind w:hanging="0" w:left="0"/>
        <w:rPr/>
      </w:pPr>
      <w:r>
        <w:rPr/>
        <w:t>Labor.</w:t>
      </w:r>
    </w:p>
    <w:p>
      <w:pPr>
        <w:pStyle w:val="PR4"/>
        <w:numPr>
          <w:ilvl w:val="7"/>
          <w:numId w:val="1"/>
        </w:numPr>
        <w:ind w:hanging="0" w:left="0"/>
        <w:rPr/>
      </w:pPr>
      <w:r>
        <w:rPr/>
        <w:t>Materials.</w:t>
      </w:r>
    </w:p>
    <w:p>
      <w:pPr>
        <w:pStyle w:val="PR4"/>
        <w:numPr>
          <w:ilvl w:val="7"/>
          <w:numId w:val="1"/>
        </w:numPr>
        <w:ind w:hanging="0" w:left="0"/>
        <w:rPr/>
      </w:pPr>
      <w:r>
        <w:rPr/>
        <w:t>Equipment.</w:t>
      </w:r>
    </w:p>
    <w:p>
      <w:pPr>
        <w:pStyle w:val="PR2"/>
        <w:numPr>
          <w:ilvl w:val="5"/>
          <w:numId w:val="1"/>
        </w:numPr>
        <w:spacing w:before="240" w:after="0"/>
        <w:ind w:hanging="0" w:left="0"/>
        <w:rPr/>
      </w:pPr>
      <w:r>
        <w:rPr/>
        <w:t>Provide a breakdown of the Contract Sum in enough detail to facilitate continued evaluation of Applications for Payment and progress reports. Provide multiple line items for principal subcontract amounts in excess of [</w:t>
      </w:r>
      <w:r>
        <w:rPr>
          <w:b/>
        </w:rPr>
        <w:t>five</w:t>
      </w:r>
      <w:r>
        <w:rPr/>
        <w:t>] &lt;</w:t>
      </w:r>
      <w:r>
        <w:rPr>
          <w:b/>
        </w:rPr>
        <w:t>Insert number</w:t>
      </w:r>
      <w:r>
        <w:rPr/>
        <w:t>&gt; percent of the Contract Sum.</w:t>
      </w:r>
    </w:p>
    <w:p>
      <w:pPr>
        <w:pStyle w:val="CMT"/>
        <w:rPr/>
      </w:pPr>
      <w:r>
        <w:rPr/>
        <w:t>Strengthen provisions in first subparagraph below to protect against undue front-end loading if required.</w:t>
      </w:r>
    </w:p>
    <w:p>
      <w:pPr>
        <w:pStyle w:val="PR2"/>
        <w:numPr>
          <w:ilvl w:val="5"/>
          <w:numId w:val="1"/>
        </w:numPr>
        <w:ind w:hanging="0" w:left="0"/>
        <w:rPr/>
      </w:pPr>
      <w:r>
        <w:rPr/>
        <w:t>Provide a separate line item in the schedule of values for each part of the Work where Applications for Payment may include materials or equipment purchased or fabricated and stored, but not yet installed.</w:t>
      </w:r>
    </w:p>
    <w:p>
      <w:pPr>
        <w:pStyle w:val="PR3"/>
        <w:numPr>
          <w:ilvl w:val="6"/>
          <w:numId w:val="1"/>
        </w:numPr>
        <w:spacing w:before="240" w:after="0"/>
        <w:ind w:hanging="0" w:left="0"/>
        <w:rPr/>
      </w:pPr>
      <w:r>
        <w:rPr/>
        <w:t>Differentiate between items stored on-site and items stored off-site.</w:t>
      </w:r>
    </w:p>
    <w:p>
      <w:pPr>
        <w:pStyle w:val="CMT"/>
        <w:rPr/>
      </w:pPr>
      <w:r>
        <w:rPr/>
        <w:t>Retain "Allowances" Subparagraph below if Specifications include unit-cost allowances. Do not confuse unit-cost allowances with unit prices. See the Evaluations in Section 012100 "Allowances" for discussion on unit-cost allowances.</w:t>
      </w:r>
    </w:p>
    <w:p>
      <w:pPr>
        <w:pStyle w:val="PR2"/>
        <w:numPr>
          <w:ilvl w:val="5"/>
          <w:numId w:val="1"/>
        </w:numPr>
        <w:spacing w:before="240" w:after="0"/>
        <w:ind w:hanging="0" w:left="0"/>
        <w:rPr/>
      </w:pPr>
      <w:r>
        <w:rPr/>
        <w:t>Allowances: Provide a separate line item in the schedule of values for each allowance. Show line-item value of unit-cost allowances, as a product of the unit cost, multiplied by measured quantity. Use information indicated in the Contract Documents to determine quantities.</w:t>
      </w:r>
    </w:p>
    <w:p>
      <w:pPr>
        <w:pStyle w:val="CMT"/>
        <w:rPr/>
      </w:pPr>
      <w:r>
        <w:rPr/>
        <w:t>Retain "Purchase Contracts" Subparagraph below if Specifications include purchase contracts. See the Evaluations in Section 011000 "Summary" for discussion of purchase contracts.</w:t>
      </w:r>
    </w:p>
    <w:p>
      <w:pPr>
        <w:pStyle w:val="PR2"/>
        <w:numPr>
          <w:ilvl w:val="5"/>
          <w:numId w:val="1"/>
        </w:numPr>
        <w:ind w:hanging="0" w:left="0"/>
        <w:rPr/>
      </w:pPr>
      <w:r>
        <w:rPr/>
        <w:t>Purchase Contracts: Provide a separate line item in the schedule of values for each Purchase contract. Show line-item value of Purchase contract. Indicate Owner payments or deposits, if any, and balance to be paid by Contractor.</w:t>
      </w:r>
    </w:p>
    <w:p>
      <w:pPr>
        <w:pStyle w:val="CMT"/>
        <w:rPr/>
      </w:pPr>
      <w:r>
        <w:rPr/>
        <w:t>Retain "Overhead Costs, Proportional Distribution" or "Overhead Costs, Separate Line Items" Subparagraph below. Retain first subparagraph if overhead and profit are to be distributed proportionally to each line item. Owner's financial advisors may insist on this requirement. See the Evaluations for discussion on overhead distribution.</w:t>
      </w:r>
    </w:p>
    <w:p>
      <w:pPr>
        <w:pStyle w:val="PR2"/>
        <w:numPr>
          <w:ilvl w:val="5"/>
          <w:numId w:val="1"/>
        </w:numPr>
        <w:ind w:hanging="0" w:left="0"/>
        <w:rPr/>
      </w:pPr>
      <w:r>
        <w:rPr/>
        <w:t>Overhead Costs, Proportional Distribution: Include total cost and proportionate share of general overhead and profit for each line item.</w:t>
      </w:r>
    </w:p>
    <w:p>
      <w:pPr>
        <w:pStyle w:val="CMT"/>
        <w:rPr/>
      </w:pPr>
      <w:r>
        <w:rPr/>
        <w:t>Retain "Overhead Costs, Separate Line Items" Subparagraph below if it is acceptable to distribute temporary facilities across line items. Some temporary facilities may be required only during portions of the Work, which may make separate line items for some temporary facilities desirable. Revise to include listing of individual closeout items requiring separate line items. See the Evaluations.</w:t>
      </w:r>
    </w:p>
    <w:p>
      <w:pPr>
        <w:pStyle w:val="PR2"/>
        <w:numPr>
          <w:ilvl w:val="5"/>
          <w:numId w:val="1"/>
        </w:numPr>
        <w:ind w:hanging="0" w:left="0"/>
        <w:rPr/>
      </w:pPr>
      <w:r>
        <w:rPr/>
        <w:t>Overhead Costs, Separate Line Items: Show cost of temporary facilities and other major cost items that are not direct cost of actual work-in-place as separate line items.</w:t>
      </w:r>
    </w:p>
    <w:p>
      <w:pPr>
        <w:pStyle w:val="CMT"/>
        <w:rPr/>
      </w:pPr>
      <w:r>
        <w:rPr/>
        <w:t>Retain "Temporary Facilities" Subparagraph below for Contractor's temporary facilities and related direct Project costs. Some temporary facilities may be required only during portions of the Work, which may make separate line items for some temporary facilities desirable. Revise to include listing of individual closeout items requiring separate line items. See the Evaluations.</w:t>
      </w:r>
    </w:p>
    <w:p>
      <w:pPr>
        <w:pStyle w:val="PR2"/>
        <w:numPr>
          <w:ilvl w:val="5"/>
          <w:numId w:val="1"/>
        </w:numPr>
        <w:ind w:hanging="0" w:left="0"/>
        <w:rPr/>
      </w:pPr>
      <w:r>
        <w:rPr/>
        <w:t>Temporary Facilities: Show cost of temporary facilities and other major cost items that are not direct cost of actual work-in-place as separate line items.</w:t>
      </w:r>
    </w:p>
    <w:p>
      <w:pPr>
        <w:pStyle w:val="CMT"/>
        <w:rPr/>
      </w:pPr>
      <w:r>
        <w:rPr/>
        <w:t>Retain "Closeout Costs" Subparagraph below if closeout costs, a particular type of overhead, are required to be a separate line item. Including one or more line items for closeout costs helps ensure that the Contractor completes those tasks by having a cost assigned to them that the Owner pays only upon completion. Revise to include a listing of specific closeout costs instead of a fixed percentage. See the Evaluations.</w:t>
      </w:r>
    </w:p>
    <w:p>
      <w:pPr>
        <w:pStyle w:val="PR2"/>
        <w:numPr>
          <w:ilvl w:val="5"/>
          <w:numId w:val="1"/>
        </w:numPr>
        <w:ind w:hanging="0" w:left="0"/>
        <w:rPr/>
      </w:pPr>
      <w:r>
        <w:rPr/>
        <w:t>Closeout Costs. Include separate line items under Contractor and principal subcontracts for Project closeout requirements in an amount totaling [</w:t>
      </w:r>
      <w:r>
        <w:rPr>
          <w:b/>
        </w:rPr>
        <w:t>five</w:t>
      </w:r>
      <w:r>
        <w:rPr/>
        <w:t>] &lt;</w:t>
      </w:r>
      <w:r>
        <w:rPr>
          <w:b/>
        </w:rPr>
        <w:t>Insert number</w:t>
      </w:r>
      <w:r>
        <w:rPr/>
        <w:t>&gt; percent of the Contract Sum and subcontract amount.</w:t>
      </w:r>
    </w:p>
    <w:p>
      <w:pPr>
        <w:pStyle w:val="CMT"/>
        <w:rPr/>
      </w:pPr>
      <w:r>
        <w:rPr/>
        <w:t>Revise "Schedule of Values Revisions" Subparagraph below to suit Project. An alternative approach is to revise the schedule to include costs of Change Orders in the applicable line items.</w:t>
      </w:r>
    </w:p>
    <w:p>
      <w:pPr>
        <w:pStyle w:val="PR2"/>
        <w:numPr>
          <w:ilvl w:val="5"/>
          <w:numId w:val="1"/>
        </w:numPr>
        <w:ind w:hanging="0" w:left="0"/>
        <w:rPr/>
      </w:pPr>
      <w:r>
        <w:rPr/>
        <w:t>Schedule of Values Revisions: Revise the schedule of values when Change Orders or Construction Change Directives result in a change in the Contract Sum. Include at least one separate line item for each Change Order and Construction Change Directive.</w:t>
      </w:r>
    </w:p>
    <w:p>
      <w:pPr>
        <w:pStyle w:val="ART"/>
        <w:numPr>
          <w:ilvl w:val="3"/>
          <w:numId w:val="1"/>
        </w:numPr>
        <w:ind w:hanging="0" w:left="0"/>
        <w:rPr/>
      </w:pPr>
      <w:r>
        <w:rPr/>
        <w:t>APPLICATIONS FOR PAYMENT</w:t>
      </w:r>
    </w:p>
    <w:p>
      <w:pPr>
        <w:pStyle w:val="CMT"/>
        <w:rPr/>
      </w:pPr>
      <w:r>
        <w:rPr/>
        <w:t>See the Evaluations for discussion on waiver of liens and other documentation involved.</w:t>
      </w:r>
    </w:p>
    <w:p>
      <w:pPr>
        <w:pStyle w:val="PR1"/>
        <w:numPr>
          <w:ilvl w:val="4"/>
          <w:numId w:val="1"/>
        </w:numPr>
        <w:ind w:hanging="0" w:left="0"/>
        <w:rPr/>
      </w:pPr>
      <w:r>
        <w:rPr/>
        <w:t>Each Application for Payment following the initial Application for Payment shall be consistent with previous applications and payments, as certified by Architect[</w:t>
      </w:r>
      <w:r>
        <w:rPr>
          <w:b/>
        </w:rPr>
        <w:t> and Construction Manager</w:t>
      </w:r>
      <w:r>
        <w:rPr/>
        <w:t>] and paid for by Owner.</w:t>
      </w:r>
    </w:p>
    <w:p>
      <w:pPr>
        <w:pStyle w:val="CMT"/>
        <w:rPr/>
      </w:pPr>
      <w:r>
        <w:rPr/>
        <w:t>Retain one of two "Payment Application Times" paragraphs below. Retain first paragraph if Owner/Contractor Agreement stipulates payment dates. Retain second if the Agreement does not state payment dates. Revise to suit Project.</w:t>
      </w:r>
    </w:p>
    <w:p>
      <w:pPr>
        <w:pStyle w:val="PR1"/>
        <w:numPr>
          <w:ilvl w:val="4"/>
          <w:numId w:val="1"/>
        </w:numPr>
        <w:ind w:hanging="0" w:left="0"/>
        <w:rPr/>
      </w:pPr>
      <w:r>
        <w:rPr/>
        <w:t>Payment Application Times: The date for each progress payment is indicated in the Owner/Contractor Agreement. The period of construction work covered by each Application for Payment is the period indicated in the Agreement.</w:t>
      </w:r>
    </w:p>
    <w:p>
      <w:pPr>
        <w:pStyle w:val="PR1"/>
        <w:numPr>
          <w:ilvl w:val="4"/>
          <w:numId w:val="1"/>
        </w:numPr>
        <w:ind w:hanging="0" w:left="0"/>
        <w:rPr/>
      </w:pPr>
      <w:r>
        <w:rPr/>
        <w:t>Payment Application Times: Submit Application for Payment to Architect by the &lt;</w:t>
      </w:r>
      <w:r>
        <w:rPr>
          <w:b/>
        </w:rPr>
        <w:t>Insert day</w:t>
      </w:r>
      <w:r>
        <w:rPr/>
        <w:t>&gt; of the month. The period covered by each Application for Payment is one month, ending on the [</w:t>
      </w:r>
      <w:r>
        <w:rPr>
          <w:b/>
        </w:rPr>
        <w:t>last day of the month</w:t>
      </w:r>
      <w:r>
        <w:rPr/>
        <w:t>] &lt;</w:t>
      </w:r>
      <w:r>
        <w:rPr>
          <w:b/>
        </w:rPr>
        <w:t>Insert specific day of the month</w:t>
      </w:r>
      <w:r>
        <w:rPr/>
        <w:t>&gt;.</w:t>
      </w:r>
    </w:p>
    <w:p>
      <w:pPr>
        <w:pStyle w:val="CMT"/>
        <w:rPr/>
      </w:pPr>
      <w:r>
        <w:rPr/>
        <w:t>Review of draft copy ("pencil copy") of Application for Payment is a typical practice. Retain subparagraph below with "Payment Application Times" Paragraph retained above if required.</w:t>
      </w:r>
    </w:p>
    <w:p>
      <w:pPr>
        <w:pStyle w:val="PR2"/>
        <w:numPr>
          <w:ilvl w:val="5"/>
          <w:numId w:val="1"/>
        </w:numPr>
        <w:spacing w:before="240" w:after="0"/>
        <w:ind w:hanging="0" w:left="0"/>
        <w:rPr/>
      </w:pPr>
      <w:r>
        <w:rPr/>
        <w:t>Submit draft copy of Application for Payment [</w:t>
      </w:r>
      <w:r>
        <w:rPr>
          <w:b/>
        </w:rPr>
        <w:t>seven</w:t>
      </w:r>
      <w:r>
        <w:rPr/>
        <w:t>] &lt;</w:t>
      </w:r>
      <w:r>
        <w:rPr>
          <w:b/>
        </w:rPr>
        <w:t>Insert number</w:t>
      </w:r>
      <w:r>
        <w:rPr/>
        <w:t>&gt; days prior to due date for review by Architect.</w:t>
      </w:r>
    </w:p>
    <w:p>
      <w:pPr>
        <w:pStyle w:val="CMT"/>
        <w:rPr/>
      </w:pPr>
      <w:r>
        <w:rPr/>
        <w:t>Revise "Application for Payment Forms" Paragraph below if Owner uses another form. Use second option for projects with a Construction Manager.</w:t>
      </w:r>
    </w:p>
    <w:p>
      <w:pPr>
        <w:pStyle w:val="PR1"/>
        <w:numPr>
          <w:ilvl w:val="4"/>
          <w:numId w:val="1"/>
        </w:numPr>
        <w:ind w:hanging="0" w:left="0"/>
        <w:rPr/>
      </w:pPr>
      <w:r>
        <w:rPr/>
        <w:t>Application for Payment Forms: Use [</w:t>
      </w:r>
      <w:r>
        <w:rPr>
          <w:b/>
        </w:rPr>
        <w:t>AIA Document G702 and AIA Document G703</w:t>
      </w:r>
      <w:r>
        <w:rPr/>
        <w:t>] [</w:t>
      </w:r>
      <w:r>
        <w:rPr>
          <w:b/>
        </w:rPr>
        <w:t>AIA Document G703 and AIA Document G732</w:t>
      </w:r>
      <w:r>
        <w:rPr/>
        <w:t>] [</w:t>
      </w:r>
      <w:r>
        <w:rPr>
          <w:b/>
        </w:rPr>
        <w:t>EJCDC Document C-620</w:t>
      </w:r>
      <w:r>
        <w:rPr/>
        <w:t>] &lt;</w:t>
      </w:r>
      <w:r>
        <w:rPr>
          <w:b/>
        </w:rPr>
        <w:t>Insert name and designation of standard form</w:t>
      </w:r>
      <w:r>
        <w:rPr/>
        <w:t>&gt; as form for Applications for Payment.</w:t>
      </w:r>
    </w:p>
    <w:p>
      <w:pPr>
        <w:pStyle w:val="CMT"/>
        <w:rPr/>
      </w:pPr>
      <w:r>
        <w:rPr/>
        <w:t>Delete subparagraph below if alternative forms are unacceptable on the Project.</w:t>
      </w:r>
    </w:p>
    <w:p>
      <w:pPr>
        <w:pStyle w:val="PR2"/>
        <w:numPr>
          <w:ilvl w:val="5"/>
          <w:numId w:val="1"/>
        </w:numPr>
        <w:spacing w:before="240" w:after="0"/>
        <w:ind w:hanging="0" w:left="0"/>
        <w:rPr/>
      </w:pPr>
      <w:r>
        <w:rPr/>
        <w:t>Other Application for Payment forms proposed by the Contractor may be acceptable to [</w:t>
      </w:r>
      <w:r>
        <w:rPr>
          <w:b/>
        </w:rPr>
        <w:t>Architect</w:t>
      </w:r>
      <w:r>
        <w:rPr/>
        <w:t>] [</w:t>
      </w:r>
      <w:r>
        <w:rPr>
          <w:b/>
        </w:rPr>
        <w:t>Construction Manager</w:t>
      </w:r>
      <w:r>
        <w:rPr/>
        <w:t>] and Owner. Submit forms for approval with initial submittal of schedule of values.</w:t>
      </w:r>
    </w:p>
    <w:p>
      <w:pPr>
        <w:pStyle w:val="PR1"/>
        <w:numPr>
          <w:ilvl w:val="4"/>
          <w:numId w:val="1"/>
        </w:numPr>
        <w:ind w:hanging="0" w:left="0"/>
        <w:rPr/>
      </w:pPr>
      <w:r>
        <w:rPr/>
        <w:t>Application Preparation: Complete every entry on form. Notarize and execute by a person authorized to sign legal documents on behalf of Contractor. [</w:t>
      </w:r>
      <w:r>
        <w:rPr>
          <w:b/>
        </w:rPr>
        <w:t>Architect</w:t>
      </w:r>
      <w:r>
        <w:rPr/>
        <w:t>] [</w:t>
      </w:r>
      <w:r>
        <w:rPr>
          <w:b/>
        </w:rPr>
        <w:t>Construction Manager</w:t>
      </w:r>
      <w:r>
        <w:rPr/>
        <w:t>] will return incomplete applications without action.</w:t>
      </w:r>
    </w:p>
    <w:p>
      <w:pPr>
        <w:pStyle w:val="PR2"/>
        <w:numPr>
          <w:ilvl w:val="5"/>
          <w:numId w:val="1"/>
        </w:numPr>
        <w:spacing w:before="240" w:after="0"/>
        <w:ind w:hanging="0" w:left="0"/>
        <w:rPr/>
      </w:pPr>
      <w:r>
        <w:rPr/>
        <w:t>Entries shall match data on the schedule of values and Contractor's construction schedule. Use updated schedules if revisions were made.</w:t>
      </w:r>
    </w:p>
    <w:p>
      <w:pPr>
        <w:pStyle w:val="PR2"/>
        <w:numPr>
          <w:ilvl w:val="5"/>
          <w:numId w:val="1"/>
        </w:numPr>
        <w:ind w:hanging="0" w:left="0"/>
        <w:rPr/>
      </w:pPr>
      <w:r>
        <w:rPr/>
        <w:t>Include amounts for work completed following previous Application for Payment, whether or not payment has been received. Include only amounts for work completed at time of Application for Payment.</w:t>
      </w:r>
    </w:p>
    <w:p>
      <w:pPr>
        <w:pStyle w:val="PR2"/>
        <w:numPr>
          <w:ilvl w:val="5"/>
          <w:numId w:val="1"/>
        </w:numPr>
        <w:ind w:hanging="0" w:left="0"/>
        <w:rPr/>
      </w:pPr>
      <w:r>
        <w:rPr/>
        <w:t>Include amounts of Change Orders and Construction Change Directives issued before last day of construction period covered by application.</w:t>
      </w:r>
    </w:p>
    <w:p>
      <w:pPr>
        <w:pStyle w:val="PR2"/>
        <w:numPr>
          <w:ilvl w:val="5"/>
          <w:numId w:val="1"/>
        </w:numPr>
        <w:ind w:hanging="0" w:left="0"/>
        <w:rPr/>
      </w:pPr>
      <w:r>
        <w:rPr/>
        <w:t>Indicate separate amounts for work being carried out under Owner-requested project acceleration.</w:t>
      </w:r>
    </w:p>
    <w:p>
      <w:pPr>
        <w:pStyle w:val="PR1"/>
        <w:numPr>
          <w:ilvl w:val="4"/>
          <w:numId w:val="1"/>
        </w:numPr>
        <w:ind w:hanging="0" w:left="0"/>
        <w:rPr/>
      </w:pPr>
      <w:r>
        <w:rPr/>
        <w:t>Stored Materials: Include in Application for Payment amounts applied for materials or equipment purchased or fabricated and stored, but not yet installed. Differentiate between items stored on-site and items stored off-site.</w:t>
      </w:r>
    </w:p>
    <w:p>
      <w:pPr>
        <w:pStyle w:val="PR2"/>
        <w:numPr>
          <w:ilvl w:val="5"/>
          <w:numId w:val="1"/>
        </w:numPr>
        <w:spacing w:before="240" w:after="0"/>
        <w:ind w:hanging="0" w:left="0"/>
        <w:rPr/>
      </w:pPr>
      <w:r>
        <w:rPr/>
        <w:t>Provide certificate of insurance, evidence of transfer of title to Owner, and consent of surety to payment for stored materials.</w:t>
      </w:r>
    </w:p>
    <w:p>
      <w:pPr>
        <w:pStyle w:val="PR2"/>
        <w:numPr>
          <w:ilvl w:val="5"/>
          <w:numId w:val="1"/>
        </w:numPr>
        <w:ind w:hanging="0" w:left="0"/>
        <w:rPr/>
      </w:pPr>
      <w:r>
        <w:rPr/>
        <w:t>Provide supporting documentation that verifies amount requested, such as paid invoices. Match amount requested with amounts indicated on documentation; do not include overhead and profit on stored materials.</w:t>
      </w:r>
    </w:p>
    <w:p>
      <w:pPr>
        <w:pStyle w:val="PR2"/>
        <w:numPr>
          <w:ilvl w:val="5"/>
          <w:numId w:val="1"/>
        </w:numPr>
        <w:ind w:hanging="0" w:left="0"/>
        <w:rPr/>
      </w:pPr>
      <w:r>
        <w:rPr/>
        <w:t>Provide summary documentation for stored materials indicating the following:</w:t>
      </w:r>
    </w:p>
    <w:p>
      <w:pPr>
        <w:pStyle w:val="PR3"/>
        <w:numPr>
          <w:ilvl w:val="6"/>
          <w:numId w:val="1"/>
        </w:numPr>
        <w:spacing w:before="240" w:after="0"/>
        <w:ind w:hanging="0" w:left="0"/>
        <w:rPr/>
      </w:pPr>
      <w:r>
        <w:rPr/>
        <w:t>Value of materials previously stored and remaining stored as of date of previous Applications for Payment.</w:t>
      </w:r>
    </w:p>
    <w:p>
      <w:pPr>
        <w:pStyle w:val="PR3"/>
        <w:numPr>
          <w:ilvl w:val="6"/>
          <w:numId w:val="1"/>
        </w:numPr>
        <w:ind w:hanging="0" w:left="0"/>
        <w:rPr/>
      </w:pPr>
      <w:r>
        <w:rPr/>
        <w:t>Value of previously stored materials put in place after date of previous Application for Payment and on or before date of current Application for Payment.</w:t>
      </w:r>
    </w:p>
    <w:p>
      <w:pPr>
        <w:pStyle w:val="PR3"/>
        <w:numPr>
          <w:ilvl w:val="6"/>
          <w:numId w:val="1"/>
        </w:numPr>
        <w:ind w:hanging="0" w:left="0"/>
        <w:rPr/>
      </w:pPr>
      <w:r>
        <w:rPr/>
        <w:t>Value of materials stored since date of previous Application for Payment and remaining stored as of date of current Application for Payment.</w:t>
      </w:r>
    </w:p>
    <w:p>
      <w:pPr>
        <w:pStyle w:val="CMT"/>
        <w:rPr/>
      </w:pPr>
      <w:r>
        <w:rPr/>
        <w:t>Revise number of copies in "Transmittal" Paragraph below to suit Project. Revise text if electronic processing and digital signatures are acceptable.</w:t>
      </w:r>
    </w:p>
    <w:p>
      <w:pPr>
        <w:pStyle w:val="PR1"/>
        <w:numPr>
          <w:ilvl w:val="4"/>
          <w:numId w:val="1"/>
        </w:numPr>
        <w:ind w:hanging="0" w:left="0"/>
        <w:rPr/>
      </w:pPr>
      <w:r>
        <w:rPr/>
        <w:t>Transmittal: Submit [</w:t>
      </w:r>
      <w:r>
        <w:rPr>
          <w:b/>
        </w:rPr>
        <w:t>three</w:t>
      </w:r>
      <w:r>
        <w:rPr/>
        <w:t>] &lt;</w:t>
      </w:r>
      <w:r>
        <w:rPr>
          <w:b/>
        </w:rPr>
        <w:t>Insert number</w:t>
      </w:r>
      <w:r>
        <w:rPr/>
        <w:t>&gt; signed and notarized original copies of each Application for Payment to [</w:t>
      </w:r>
      <w:r>
        <w:rPr>
          <w:b/>
        </w:rPr>
        <w:t>Architect</w:t>
      </w:r>
      <w:r>
        <w:rPr/>
        <w:t>] [</w:t>
      </w:r>
      <w:r>
        <w:rPr>
          <w:b/>
        </w:rPr>
        <w:t>Construction Manager</w:t>
      </w:r>
      <w:r>
        <w:rPr/>
        <w:t>] by a method ensuring receipt[</w:t>
      </w:r>
      <w:r>
        <w:rPr>
          <w:b/>
        </w:rPr>
        <w:t> within 24 hours</w:t>
      </w:r>
      <w:r>
        <w:rPr/>
        <w:t>]. One copy shall include waivers of lien and similar attachments if required.</w:t>
      </w:r>
    </w:p>
    <w:p>
      <w:pPr>
        <w:pStyle w:val="PR2"/>
        <w:numPr>
          <w:ilvl w:val="5"/>
          <w:numId w:val="1"/>
        </w:numPr>
        <w:spacing w:before="240" w:after="0"/>
        <w:ind w:hanging="0" w:left="0"/>
        <w:rPr/>
      </w:pPr>
      <w:r>
        <w:rPr/>
        <w:t>Transmit each copy with a transmittal form listing attachments and recording appropriate information about application.</w:t>
      </w:r>
    </w:p>
    <w:p>
      <w:pPr>
        <w:pStyle w:val="CMT"/>
        <w:rPr/>
      </w:pPr>
      <w:r>
        <w:rPr/>
        <w:t>Insert instructions for preparation and submittal of waivers or releases here if not stated in the Supplementary Conditions.</w:t>
      </w:r>
    </w:p>
    <w:p>
      <w:pPr>
        <w:pStyle w:val="CMT"/>
        <w:rPr/>
      </w:pPr>
      <w:r>
        <w:rPr/>
        <w:t>Retain or replace "Waivers of Mechanic's Lien" Paragraph below after review by Owner's legal counsel and financial advisors to establish requirements for waivers of mechanic's lien; revise text as advised. Architect should not establish lien requirements. Options in paragraph below are examples of ways to handle waivers of lien.</w:t>
      </w:r>
    </w:p>
    <w:p>
      <w:pPr>
        <w:pStyle w:val="PR1"/>
        <w:numPr>
          <w:ilvl w:val="4"/>
          <w:numId w:val="1"/>
        </w:numPr>
        <w:ind w:hanging="0" w:left="0"/>
        <w:rPr/>
      </w:pPr>
      <w:r>
        <w:rPr/>
        <w:t>Waivers of Mechanic's Lien: With each Application for Payment, submit waivers of mechanic's lien from [</w:t>
      </w:r>
      <w:r>
        <w:rPr>
          <w:b/>
        </w:rPr>
        <w:t>entities lawfully entitled to file a mechanic's lien arising out of the Contract and related to the Work covered by the payment</w:t>
      </w:r>
      <w:r>
        <w:rPr/>
        <w:t>] [</w:t>
      </w:r>
      <w:r>
        <w:rPr>
          <w:b/>
        </w:rPr>
        <w:t>subcontractors, sub-subcontractors, and suppliers for construction period covered by the previous application</w:t>
      </w:r>
      <w:r>
        <w:rPr/>
        <w:t>].</w:t>
      </w:r>
    </w:p>
    <w:p>
      <w:pPr>
        <w:pStyle w:val="PR2"/>
        <w:numPr>
          <w:ilvl w:val="5"/>
          <w:numId w:val="1"/>
        </w:numPr>
        <w:spacing w:before="240" w:after="0"/>
        <w:ind w:hanging="0" w:left="0"/>
        <w:rPr/>
      </w:pPr>
      <w:r>
        <w:rPr/>
        <w:t>Submit partial waivers on each item for amount requested in previous application, after deduction for retainage, on each item.</w:t>
      </w:r>
    </w:p>
    <w:p>
      <w:pPr>
        <w:pStyle w:val="PR2"/>
        <w:numPr>
          <w:ilvl w:val="5"/>
          <w:numId w:val="1"/>
        </w:numPr>
        <w:ind w:hanging="0" w:left="0"/>
        <w:rPr/>
      </w:pPr>
      <w:r>
        <w:rPr/>
        <w:t>When an application shows completion of an item, submit conditional final or full waivers.</w:t>
      </w:r>
    </w:p>
    <w:p>
      <w:pPr>
        <w:pStyle w:val="PR2"/>
        <w:numPr>
          <w:ilvl w:val="5"/>
          <w:numId w:val="1"/>
        </w:numPr>
        <w:ind w:hanging="0" w:left="0"/>
        <w:rPr/>
      </w:pPr>
      <w:r>
        <w:rPr/>
        <w:t>Owner reserves the right to designate which entities involved in the Work must submit waivers.</w:t>
      </w:r>
    </w:p>
    <w:p>
      <w:pPr>
        <w:pStyle w:val="PR2"/>
        <w:numPr>
          <w:ilvl w:val="5"/>
          <w:numId w:val="1"/>
        </w:numPr>
        <w:ind w:hanging="0" w:left="0"/>
        <w:rPr/>
      </w:pPr>
      <w:r>
        <w:rPr/>
        <w:t>Submit final Application for Payment with or preceded by conditional final waivers from every entity involved with performance of the Work covered by the application who is lawfully entitled to a lien.</w:t>
      </w:r>
    </w:p>
    <w:p>
      <w:pPr>
        <w:pStyle w:val="CMT"/>
        <w:rPr/>
      </w:pPr>
      <w:r>
        <w:rPr/>
        <w:t>Delete "Waiver Forms" Subparagraph below and insert a specific form or special requirements where predetermined. See the Evaluations.</w:t>
      </w:r>
    </w:p>
    <w:p>
      <w:pPr>
        <w:pStyle w:val="PR2"/>
        <w:numPr>
          <w:ilvl w:val="5"/>
          <w:numId w:val="1"/>
        </w:numPr>
        <w:ind w:hanging="0" w:left="0"/>
        <w:rPr/>
      </w:pPr>
      <w:r>
        <w:rPr/>
        <w:t>Waiver Forms: Submit executed waivers of lien on forms acceptable to Owner.</w:t>
      </w:r>
    </w:p>
    <w:p>
      <w:pPr>
        <w:pStyle w:val="PR1"/>
        <w:numPr>
          <w:ilvl w:val="4"/>
          <w:numId w:val="1"/>
        </w:numPr>
        <w:ind w:hanging="0" w:left="0"/>
        <w:rPr/>
      </w:pPr>
      <w:r>
        <w:rPr/>
        <w:t>Initial Application for Payment: Administrative actions and submittals that must precede or coincide with submittal of first Application for Payment include the following:</w:t>
      </w:r>
    </w:p>
    <w:p>
      <w:pPr>
        <w:pStyle w:val="PR2"/>
        <w:numPr>
          <w:ilvl w:val="5"/>
          <w:numId w:val="1"/>
        </w:numPr>
        <w:spacing w:before="240" w:after="0"/>
        <w:ind w:hanging="0" w:left="0"/>
        <w:rPr/>
      </w:pPr>
      <w:r>
        <w:rPr/>
        <w:t>List of subcontractors.</w:t>
      </w:r>
    </w:p>
    <w:p>
      <w:pPr>
        <w:pStyle w:val="PR2"/>
        <w:numPr>
          <w:ilvl w:val="5"/>
          <w:numId w:val="1"/>
        </w:numPr>
        <w:ind w:hanging="0" w:left="0"/>
        <w:rPr/>
      </w:pPr>
      <w:r>
        <w:rPr/>
        <w:t>Schedule of values.</w:t>
      </w:r>
    </w:p>
    <w:p>
      <w:pPr>
        <w:pStyle w:val="PR2"/>
        <w:numPr>
          <w:ilvl w:val="5"/>
          <w:numId w:val="1"/>
        </w:numPr>
        <w:ind w:hanging="0" w:left="0"/>
        <w:rPr/>
      </w:pPr>
      <w:r>
        <w:rPr/>
        <w:t>Contractor's construction schedule (preliminary if not final).</w:t>
      </w:r>
    </w:p>
    <w:p>
      <w:pPr>
        <w:pStyle w:val="CMT"/>
        <w:rPr/>
      </w:pPr>
      <w:r>
        <w:rPr/>
        <w:t>Retain first subparagraph below for Project coordinator's contract on projects with multiple contracts.</w:t>
      </w:r>
    </w:p>
    <w:p>
      <w:pPr>
        <w:pStyle w:val="PR2"/>
        <w:numPr>
          <w:ilvl w:val="5"/>
          <w:numId w:val="1"/>
        </w:numPr>
        <w:ind w:hanging="0" w:left="0"/>
        <w:rPr/>
      </w:pPr>
      <w:r>
        <w:rPr/>
        <w:t>Combined Contractor's construction schedule (preliminary if not final) incorporating Work of multiple contracts, with indication of acceptance of schedule by each Contractor.</w:t>
      </w:r>
    </w:p>
    <w:p>
      <w:pPr>
        <w:pStyle w:val="PR2"/>
        <w:numPr>
          <w:ilvl w:val="5"/>
          <w:numId w:val="1"/>
        </w:numPr>
        <w:ind w:hanging="0" w:left="0"/>
        <w:rPr/>
      </w:pPr>
      <w:r>
        <w:rPr/>
        <w:t>Products list (preliminary if not final).</w:t>
      </w:r>
    </w:p>
    <w:p>
      <w:pPr>
        <w:pStyle w:val="PR2"/>
        <w:numPr>
          <w:ilvl w:val="5"/>
          <w:numId w:val="1"/>
        </w:numPr>
        <w:ind w:hanging="0" w:left="0"/>
        <w:rPr/>
      </w:pPr>
      <w:r>
        <w:rPr/>
        <w:t>Sustainable design action plans, including preliminary project materials cost data.</w:t>
      </w:r>
    </w:p>
    <w:p>
      <w:pPr>
        <w:pStyle w:val="PR2"/>
        <w:numPr>
          <w:ilvl w:val="5"/>
          <w:numId w:val="1"/>
        </w:numPr>
        <w:ind w:hanging="0" w:left="0"/>
        <w:rPr/>
      </w:pPr>
      <w:r>
        <w:rPr/>
        <w:t>Schedule of unit prices.</w:t>
      </w:r>
    </w:p>
    <w:p>
      <w:pPr>
        <w:pStyle w:val="PR2"/>
        <w:numPr>
          <w:ilvl w:val="5"/>
          <w:numId w:val="1"/>
        </w:numPr>
        <w:ind w:hanging="0" w:left="0"/>
        <w:rPr/>
      </w:pPr>
      <w:r>
        <w:rPr/>
        <w:t>Submittal schedule (preliminary if not final).</w:t>
      </w:r>
    </w:p>
    <w:p>
      <w:pPr>
        <w:pStyle w:val="PR2"/>
        <w:numPr>
          <w:ilvl w:val="5"/>
          <w:numId w:val="1"/>
        </w:numPr>
        <w:ind w:hanging="0" w:left="0"/>
        <w:rPr/>
      </w:pPr>
      <w:r>
        <w:rPr/>
        <w:t>List of Contractor's staff assignments.</w:t>
      </w:r>
    </w:p>
    <w:p>
      <w:pPr>
        <w:pStyle w:val="PR2"/>
        <w:numPr>
          <w:ilvl w:val="5"/>
          <w:numId w:val="1"/>
        </w:numPr>
        <w:ind w:hanging="0" w:left="0"/>
        <w:rPr/>
      </w:pPr>
      <w:r>
        <w:rPr/>
        <w:t>List of Contractor's principal consultants.</w:t>
      </w:r>
    </w:p>
    <w:p>
      <w:pPr>
        <w:pStyle w:val="PR2"/>
        <w:numPr>
          <w:ilvl w:val="5"/>
          <w:numId w:val="1"/>
        </w:numPr>
        <w:ind w:hanging="0" w:left="0"/>
        <w:rPr/>
      </w:pPr>
      <w:r>
        <w:rPr/>
        <w:t>Copies of building permits.</w:t>
      </w:r>
    </w:p>
    <w:p>
      <w:pPr>
        <w:pStyle w:val="PR2"/>
        <w:numPr>
          <w:ilvl w:val="5"/>
          <w:numId w:val="1"/>
        </w:numPr>
        <w:ind w:hanging="0" w:left="0"/>
        <w:rPr/>
      </w:pPr>
      <w:r>
        <w:rPr/>
        <w:t>Copies of authorizations and licenses from authorities having jurisdiction for performance of the Work.</w:t>
      </w:r>
    </w:p>
    <w:p>
      <w:pPr>
        <w:pStyle w:val="PR2"/>
        <w:numPr>
          <w:ilvl w:val="5"/>
          <w:numId w:val="1"/>
        </w:numPr>
        <w:ind w:hanging="0" w:left="0"/>
        <w:rPr/>
      </w:pPr>
      <w:r>
        <w:rPr/>
        <w:t>Initial progress report.</w:t>
      </w:r>
    </w:p>
    <w:p>
      <w:pPr>
        <w:pStyle w:val="PR2"/>
        <w:numPr>
          <w:ilvl w:val="5"/>
          <w:numId w:val="1"/>
        </w:numPr>
        <w:ind w:hanging="0" w:left="0"/>
        <w:rPr/>
      </w:pPr>
      <w:r>
        <w:rPr/>
        <w:t>Report of preconstruction conference.</w:t>
      </w:r>
    </w:p>
    <w:p>
      <w:pPr>
        <w:pStyle w:val="CMT"/>
        <w:rPr/>
      </w:pPr>
      <w:r>
        <w:rPr/>
        <w:t>Delete items from three subparagraphs below that were submitted before executing the Contract.</w:t>
      </w:r>
    </w:p>
    <w:p>
      <w:pPr>
        <w:pStyle w:val="PR2"/>
        <w:numPr>
          <w:ilvl w:val="5"/>
          <w:numId w:val="1"/>
        </w:numPr>
        <w:ind w:hanging="0" w:left="0"/>
        <w:rPr/>
      </w:pPr>
      <w:r>
        <w:rPr/>
        <w:t>Certificates of insurance and insurance policies.</w:t>
      </w:r>
    </w:p>
    <w:p>
      <w:pPr>
        <w:pStyle w:val="PR2"/>
        <w:numPr>
          <w:ilvl w:val="5"/>
          <w:numId w:val="1"/>
        </w:numPr>
        <w:ind w:hanging="0" w:left="0"/>
        <w:rPr/>
      </w:pPr>
      <w:r>
        <w:rPr/>
        <w:t>Performance and payment bonds.</w:t>
      </w:r>
    </w:p>
    <w:p>
      <w:pPr>
        <w:pStyle w:val="PR2"/>
        <w:numPr>
          <w:ilvl w:val="5"/>
          <w:numId w:val="1"/>
        </w:numPr>
        <w:ind w:hanging="0" w:left="0"/>
        <w:rPr/>
      </w:pPr>
      <w:r>
        <w:rPr/>
        <w:t>Data needed to acquire Owner's insurance.</w:t>
      </w:r>
    </w:p>
    <w:p>
      <w:pPr>
        <w:pStyle w:val="PR1"/>
        <w:numPr>
          <w:ilvl w:val="4"/>
          <w:numId w:val="1"/>
        </w:numPr>
        <w:ind w:hanging="0" w:left="0"/>
        <w:rPr/>
      </w:pPr>
      <w:r>
        <w:rPr/>
        <w:t>Application for Payment at Substantial Completion: After Architect issues the Certificate of Substantial Completion, submit an Application for Payment showing 100 percent completion for portion of the Work claimed as substantially complete.</w:t>
      </w:r>
    </w:p>
    <w:p>
      <w:pPr>
        <w:pStyle w:val="PR2"/>
        <w:numPr>
          <w:ilvl w:val="5"/>
          <w:numId w:val="1"/>
        </w:numPr>
        <w:spacing w:before="240" w:after="0"/>
        <w:ind w:hanging="0" w:left="0"/>
        <w:rPr/>
      </w:pPr>
      <w:r>
        <w:rPr/>
        <w:t>Include documentation supporting claim that the Work is substantially complete and a statement showing an accounting of changes to the Contract Sum.</w:t>
      </w:r>
    </w:p>
    <w:p>
      <w:pPr>
        <w:pStyle w:val="PR3"/>
        <w:numPr>
          <w:ilvl w:val="6"/>
          <w:numId w:val="1"/>
        </w:numPr>
        <w:spacing w:before="240" w:after="0"/>
        <w:ind w:hanging="0" w:left="0"/>
        <w:rPr/>
      </w:pPr>
      <w:r>
        <w:rPr/>
        <w:t>Complete administrative actions, submittals, and Work preceding this application, as described in Section 017700 "Closeout Procedures."</w:t>
      </w:r>
    </w:p>
    <w:p>
      <w:pPr>
        <w:pStyle w:val="PR2"/>
        <w:numPr>
          <w:ilvl w:val="5"/>
          <w:numId w:val="1"/>
        </w:numPr>
        <w:spacing w:before="240" w:after="0"/>
        <w:ind w:hanging="0" w:left="0"/>
        <w:rPr/>
      </w:pPr>
      <w:r>
        <w:rPr/>
        <w:t>This application shall reflect Certificate(s) of Substantial Completion issued previously for Owner occupancy of designated portions of the Work.</w:t>
      </w:r>
    </w:p>
    <w:p>
      <w:pPr>
        <w:pStyle w:val="PR1"/>
        <w:numPr>
          <w:ilvl w:val="4"/>
          <w:numId w:val="1"/>
        </w:numPr>
        <w:ind w:hanging="0" w:left="0"/>
        <w:rPr/>
      </w:pPr>
      <w:r>
        <w:rPr/>
        <w:t>Final Payment Application: After completing Project closeout requirements, submit final Application for Payment with releases and supporting documentation not previously submitted and accepted, including, but not limited, to the following:</w:t>
      </w:r>
    </w:p>
    <w:p>
      <w:pPr>
        <w:pStyle w:val="CMT"/>
        <w:rPr/>
      </w:pPr>
      <w:r>
        <w:rPr/>
        <w:t>Consult Owner about the need for additional affidavits and other requirements.</w:t>
      </w:r>
    </w:p>
    <w:p>
      <w:pPr>
        <w:pStyle w:val="PR2"/>
        <w:numPr>
          <w:ilvl w:val="5"/>
          <w:numId w:val="1"/>
        </w:numPr>
        <w:spacing w:before="240" w:after="0"/>
        <w:ind w:hanging="0" w:left="0"/>
        <w:rPr/>
      </w:pPr>
      <w:r>
        <w:rPr/>
        <w:t>Evidence of completion of Project closeout requirements.</w:t>
      </w:r>
    </w:p>
    <w:p>
      <w:pPr>
        <w:pStyle w:val="PR2"/>
        <w:numPr>
          <w:ilvl w:val="5"/>
          <w:numId w:val="1"/>
        </w:numPr>
        <w:ind w:hanging="0" w:left="0"/>
        <w:rPr/>
      </w:pPr>
      <w:r>
        <w:rPr/>
        <w:t>Certification of completion of final punch list items.</w:t>
      </w:r>
    </w:p>
    <w:p>
      <w:pPr>
        <w:pStyle w:val="PR2"/>
        <w:numPr>
          <w:ilvl w:val="5"/>
          <w:numId w:val="1"/>
        </w:numPr>
        <w:ind w:hanging="0" w:left="0"/>
        <w:rPr/>
      </w:pPr>
      <w:r>
        <w:rPr/>
        <w:t>Insurance certificates for products and completed operations where required and proof that taxes, fees, and similar obligations were paid.</w:t>
      </w:r>
    </w:p>
    <w:p>
      <w:pPr>
        <w:pStyle w:val="PR2"/>
        <w:numPr>
          <w:ilvl w:val="5"/>
          <w:numId w:val="1"/>
        </w:numPr>
        <w:ind w:hanging="0" w:left="0"/>
        <w:rPr/>
      </w:pPr>
      <w:r>
        <w:rPr/>
        <w:t>Updated final statement, accounting for final changes to the Contract Sum.</w:t>
      </w:r>
    </w:p>
    <w:p>
      <w:pPr>
        <w:pStyle w:val="PR2"/>
        <w:numPr>
          <w:ilvl w:val="5"/>
          <w:numId w:val="1"/>
        </w:numPr>
        <w:ind w:hanging="0" w:left="0"/>
        <w:rPr/>
      </w:pPr>
      <w:r>
        <w:rPr/>
        <w:t>AIA Document G706.</w:t>
      </w:r>
    </w:p>
    <w:p>
      <w:pPr>
        <w:pStyle w:val="PR2"/>
        <w:numPr>
          <w:ilvl w:val="5"/>
          <w:numId w:val="1"/>
        </w:numPr>
        <w:ind w:hanging="0" w:left="0"/>
        <w:rPr/>
      </w:pPr>
      <w:r>
        <w:rPr/>
        <w:t>AIA Document G706A.</w:t>
      </w:r>
    </w:p>
    <w:p>
      <w:pPr>
        <w:pStyle w:val="CMT"/>
        <w:rPr/>
      </w:pPr>
      <w:r>
        <w:rPr/>
        <w:t>Retain first subparagraph below if a surety is involved.</w:t>
      </w:r>
    </w:p>
    <w:p>
      <w:pPr>
        <w:pStyle w:val="PR2"/>
        <w:numPr>
          <w:ilvl w:val="5"/>
          <w:numId w:val="1"/>
        </w:numPr>
        <w:ind w:hanging="0" w:left="0"/>
        <w:rPr/>
      </w:pPr>
      <w:r>
        <w:rPr/>
        <w:t>AIA Document G707.</w:t>
      </w:r>
    </w:p>
    <w:p>
      <w:pPr>
        <w:pStyle w:val="PR2"/>
        <w:numPr>
          <w:ilvl w:val="5"/>
          <w:numId w:val="1"/>
        </w:numPr>
        <w:ind w:hanging="0" w:left="0"/>
        <w:rPr/>
      </w:pPr>
      <w:r>
        <w:rPr/>
        <w:t>Evidence that claims have been settled.</w:t>
      </w:r>
    </w:p>
    <w:p>
      <w:pPr>
        <w:pStyle w:val="PR2"/>
        <w:numPr>
          <w:ilvl w:val="5"/>
          <w:numId w:val="1"/>
        </w:numPr>
        <w:ind w:hanging="0" w:left="0"/>
        <w:rPr/>
      </w:pPr>
      <w:r>
        <w:rPr/>
        <w:t>Final meter readings for utilities, a measured record of stored fuel, and similar data as of date of Substantial Completion or when Owner took possession of and assumed responsibility for corresponding elements of the Work.</w:t>
      </w:r>
    </w:p>
    <w:p>
      <w:pPr>
        <w:pStyle w:val="PR2"/>
        <w:numPr>
          <w:ilvl w:val="5"/>
          <w:numId w:val="1"/>
        </w:numPr>
        <w:ind w:hanging="0" w:left="0"/>
        <w:rPr/>
      </w:pPr>
      <w:r>
        <w:rPr/>
        <w:t>Final liquidated damages settlement statement.</w:t>
      </w:r>
    </w:p>
    <w:p>
      <w:pPr>
        <w:pStyle w:val="PR2"/>
        <w:numPr>
          <w:ilvl w:val="5"/>
          <w:numId w:val="1"/>
        </w:numPr>
        <w:ind w:hanging="0" w:left="0"/>
        <w:rPr/>
      </w:pPr>
      <w:r>
        <w:rPr/>
        <w:t>Proof that taxes, fees, and similar obligations are paid.</w:t>
      </w:r>
    </w:p>
    <w:p>
      <w:pPr>
        <w:pStyle w:val="PR2"/>
        <w:numPr>
          <w:ilvl w:val="5"/>
          <w:numId w:val="1"/>
        </w:numPr>
        <w:ind w:hanging="0" w:left="0"/>
        <w:rPr/>
      </w:pPr>
      <w:r>
        <w:rPr/>
        <w:t>Waivers and releases.</w:t>
      </w:r>
    </w:p>
    <w:p>
      <w:pPr>
        <w:pStyle w:val="PRT"/>
        <w:numPr>
          <w:ilvl w:val="0"/>
          <w:numId w:val="1"/>
        </w:numPr>
        <w:ind w:hanging="0" w:left="0"/>
        <w:rPr/>
      </w:pPr>
      <w:r>
        <w:rPr/>
        <w:t>PRODUCTS (Not Used)</w:t>
      </w:r>
    </w:p>
    <w:p>
      <w:pPr>
        <w:pStyle w:val="PRT"/>
        <w:numPr>
          <w:ilvl w:val="0"/>
          <w:numId w:val="1"/>
        </w:numPr>
        <w:ind w:hanging="0" w:left="0"/>
        <w:rPr/>
      </w:pPr>
      <w:r>
        <w:rPr/>
        <w:t>EXECUTION (Not Used)</w:t>
      </w:r>
    </w:p>
    <w:p>
      <w:pPr>
        <w:pStyle w:val="EOS"/>
        <w:rPr/>
      </w:pPr>
      <w:r>
        <w:rPr/>
        <w:t>END OF SECTION 012900</w:t>
      </w:r>
    </w:p>
    <w:sectPr>
      <w:headerReference w:type="default" r:id="rId4"/>
      <w:footerReference w:type="default" r:id="rId5"/>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PAYMENT PROCEDURES</w:t>
          </w:r>
        </w:p>
      </w:tc>
      <w:tc>
        <w:tcPr>
          <w:tcW w:w="1872" w:type="dxa"/>
          <w:tcBorders/>
        </w:tcPr>
        <w:p>
          <w:pPr>
            <w:pStyle w:val="RJUST"/>
            <w:rPr/>
          </w:pPr>
          <w:r>
            <w:rPr>
              <w:rStyle w:val="NUM"/>
            </w:rPr>
            <w:t>012900</w:t>
          </w:r>
          <w:r>
            <w:rPr/>
            <w:t xml:space="preserve"> - </w:t>
          </w:r>
          <w:r>
            <w:rPr/>
            <w:fldChar w:fldCharType="begin"/>
          </w:r>
          <w:r>
            <w:rPr/>
            <w:instrText xml:space="preserve"> PAGE </w:instrText>
          </w:r>
          <w:r>
            <w:rPr/>
            <w:fldChar w:fldCharType="separate"/>
          </w:r>
          <w:r>
            <w:rPr/>
            <w:t>8</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2018 AIA</w:t>
    </w:r>
    <w:r>
      <w:rPr/>
      <w:tab/>
    </w:r>
    <w:r>
      <w:rPr>
        <w:rStyle w:val="SPN"/>
      </w:rPr>
      <w:t>MasterSpec Full Length</w:t>
    </w:r>
    <w:r>
      <w:rPr/>
      <w:tab/>
    </w:r>
    <w:r>
      <w:rPr>
        <w:rStyle w:val="SPD"/>
      </w:rPr>
      <w:t>12/18</w:t>
    </w:r>
    <w:r>
      <mc:AlternateContent>
        <mc:Choice Requires="wps">
          <w:drawing>
            <wp:anchor behindDoc="1" distT="0" distB="0" distL="114935" distR="114935" simplePos="0" locked="0" layoutInCell="1" allowOverlap="1" relativeHeight="9">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compatSetting w:name="compatibilityMode" w:uri="http://schemas.microsoft.com/office/word" w:val="11"/>
  </w:compat>
  <w:docVars>
    <w:docVar w:name="DOI" w:val="12/01/18"/>
    <w:docVar w:name="Format" w:val="1"/>
    <w:docVar w:name="MF04" w:val="012900"/>
    <w:docVar w:name="MF95" w:val="01290"/>
    <w:docVar w:name="MFOrigin" w:val="MF04"/>
    <w:docVar w:name="SectionID" w:val="9"/>
    <w:docVar w:name="SpecType" w:val="MasterSpec"/>
    <w:docVar w:name="Version" w:val="14050"/>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ustHyperlink">
    <w:name w:val="SustHyperlink"/>
    <w:qFormat/>
    <w:rPr>
      <w:color w:val="009900"/>
      <w:u w:val="single"/>
    </w:rPr>
  </w:style>
  <w:style w:type="character" w:styleId="Hyperlink">
    <w:name w:val="Hyperlink"/>
    <w:rPr>
      <w:color w:val="0000FF"/>
      <w:u w:val="single"/>
    </w:rPr>
  </w:style>
  <w:style w:type="character" w:styleId="UnresolvedMention">
    <w:name w:val="Unresolved Mention"/>
    <w:qFormat/>
    <w:rPr>
      <w:color w:val="605E5C"/>
      <w:shd w:fill="E1DFDD" w:val="clear"/>
    </w:rPr>
  </w:style>
  <w:style w:type="character" w:styleId="SAhyperlink">
    <w:name w:val="SAhyperlink"/>
    <w:qFormat/>
    <w:rPr>
      <w:color w:val="E36C0A"/>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suppressAutoHyphens w:val="true"/>
      <w:spacing w:before="240" w:after="0"/>
      <w:jc w:val="both"/>
      <w:outlineLvl w:val="2"/>
    </w:pPr>
    <w:rPr/>
  </w:style>
  <w:style w:type="paragraph" w:styleId="PR2">
    <w:name w:val="PR2"/>
    <w:basedOn w:val="Normal"/>
    <w:qFormat/>
    <w:pPr>
      <w:numPr>
        <w:ilvl w:val="0"/>
        <w:numId w:val="1"/>
      </w:numPr>
      <w:suppressAutoHyphens w:val="true"/>
      <w:jc w:val="both"/>
      <w:outlineLvl w:val="3"/>
    </w:pPr>
    <w:rPr/>
  </w:style>
  <w:style w:type="paragraph" w:styleId="PR3">
    <w:name w:val="PR3"/>
    <w:basedOn w:val="Normal"/>
    <w:qFormat/>
    <w:pPr>
      <w:numPr>
        <w:ilvl w:val="0"/>
        <w:numId w:val="1"/>
      </w:numPr>
      <w:suppressAutoHyphens w:val="true"/>
      <w:jc w:val="both"/>
      <w:outlineLvl w:val="4"/>
    </w:pPr>
    <w:rPr/>
  </w:style>
  <w:style w:type="paragraph" w:styleId="PR4">
    <w:name w:val="PR4"/>
    <w:basedOn w:val="Normal"/>
    <w:qFormat/>
    <w:pPr>
      <w:numPr>
        <w:ilvl w:val="0"/>
        <w:numId w:val="1"/>
      </w:numPr>
      <w:suppressAutoHyphens w:val="true"/>
      <w:jc w:val="both"/>
      <w:outlineLvl w:val="5"/>
    </w:pPr>
    <w:rPr/>
  </w:style>
  <w:style w:type="paragraph" w:styleId="PR5">
    <w:name w:val="PR5"/>
    <w:basedOn w:val="Normal"/>
    <w:qFormat/>
    <w:pPr>
      <w:numPr>
        <w:ilvl w:val="0"/>
        <w:numId w:val="1"/>
      </w:numPr>
      <w:suppressAutoHyphens w:val="true"/>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12900&amp;ver=12-01-18&amp;format=FL&amp;sid=14050&amp;utm_source=MasterSpec&amp;utm_medium=Word" TargetMode="External"/><Relationship Id="rId3" Type="http://schemas.openxmlformats.org/officeDocument/2006/relationships/hyperlink" Target="http://www.arcomnet.com/sustainable_design.aspx?topic=116" TargetMode="Externa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2022-09-26T01:28:00Z</dcterms:created>
  <dc:creator>Deltek, Inc.</dc:creator>
  <dc:description/>
  <cp:keywords>BAS-12345-MS80</cp:keywords>
  <dc:language>zh-CN</dc:language>
  <cp:lastModifiedBy>Janice Nacional</cp:lastModifiedBy>
  <dcterms:modified xsi:type="dcterms:W3CDTF">2022-09-26T01:28:00Z</dcterms:modified>
  <cp:revision>2</cp:revision>
  <dc:subject>PAYMENT PROCEDURES</dc:subject>
  <dc:title>SECTION 012900 - PAYMENT PROCEDURES</dc:title>
</cp:coreProperties>
</file>