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018113.14</w:t>
      </w:r>
      <w:r>
        <w:rPr/>
        <w:t xml:space="preserve"> - </w:t>
      </w:r>
      <w:r>
        <w:rPr>
          <w:rStyle w:val="NAM"/>
        </w:rPr>
        <w:t>SUSTAINABLE DESIGN REQUIREMENTS - LEED v4 BD+C: NEW CONSTRUCTION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Innovation: Credit -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Version 4 for Building Design and Construction" (hereafter, LEED v4 BD+C).</w:t>
      </w:r>
    </w:p>
    <w:p>
      <w:pPr>
        <w:pStyle w:val="PR2"/>
        <w:numPr>
          <w:ilvl w:val="5"/>
          <w:numId w:val="1"/>
        </w:numPr>
        <w:spacing w:before="240" w:after="0"/>
        <w:ind w:hanging="0" w:left="0"/>
        <w:rPr/>
      </w:pPr>
      <w:r>
        <w:rPr/>
        <w:t>Specific requirements for LEED are also included in other Sections.</w:t>
      </w:r>
    </w:p>
    <w:p>
      <w:pPr>
        <w:pStyle w:val="PR2"/>
        <w:numPr>
          <w:ilvl w:val="5"/>
          <w:numId w:val="1"/>
        </w:numPr>
        <w:ind w:hanging="0" w:left="0"/>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subparagraph below, attach a copy of the LEED checklist to end of this Section as information for Contractor.</w:t>
      </w:r>
    </w:p>
    <w:p>
      <w:pPr>
        <w:pStyle w:val="PR2"/>
        <w:numPr>
          <w:ilvl w:val="5"/>
          <w:numId w:val="1"/>
        </w:numPr>
        <w:ind w:hanging="0" w:left="0"/>
        <w:rPr/>
      </w:pPr>
      <w:r>
        <w:rPr/>
        <w:t>A copy of LEED Project checklist is attached at end of this Section for information only.</w:t>
      </w:r>
    </w:p>
    <w:p>
      <w:pPr>
        <w:pStyle w:val="PR3"/>
        <w:numPr>
          <w:ilvl w:val="6"/>
          <w:numId w:val="1"/>
        </w:numPr>
        <w:spacing w:before="240" w:after="0"/>
        <w:ind w:hanging="0" w:left="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BUG Rating: Classification system for luminaires defined in terms of backlight (B), uplight (U), and glare (G).</w:t>
      </w:r>
    </w:p>
    <w:p>
      <w:pPr>
        <w:pStyle w:val="PR1"/>
        <w:numPr>
          <w:ilvl w:val="4"/>
          <w:numId w:val="1"/>
        </w:numPr>
        <w:ind w:hanging="0" w:left="0"/>
        <w:rPr/>
      </w:pPr>
      <w:r>
        <w:rPr/>
        <w:t>Chain-of-Custody Certificates: Certificates signed by manufacturers certifying that wood used to make products was obtained from forests certified by an FSC-accredited certification body to comply with FSC STD-01-001. Certificates shall include evidence that manufacturer is certified for chain of custody by an FSC-accredited certification body.</w:t>
      </w:r>
    </w:p>
    <w:p>
      <w:pPr>
        <w:pStyle w:val="PR1"/>
        <w:numPr>
          <w:ilvl w:val="4"/>
          <w:numId w:val="1"/>
        </w:numPr>
        <w:ind w:hanging="0" w:left="0"/>
        <w:rPr/>
      </w:pPr>
      <w:r>
        <w:rPr/>
        <w:t>Cradle-to-Gate Assessment: Analysis of a product's partial life-cycle from extraction (cradle) to gate (factory completion prior to distribution).</w:t>
      </w:r>
    </w:p>
    <w:p>
      <w:pPr>
        <w:pStyle w:val="PR1"/>
        <w:numPr>
          <w:ilvl w:val="4"/>
          <w:numId w:val="1"/>
        </w:numPr>
        <w:ind w:hanging="0" w:left="0"/>
        <w:rPr/>
      </w:pPr>
      <w:r>
        <w:rPr/>
        <w:t>LEED: USGBC's "LEED Version 4 for Building Design and Construction." Definitions that are part of this document apply to this Section.</w:t>
      </w:r>
    </w:p>
    <w:p>
      <w:pPr>
        <w:pStyle w:val="PR1"/>
        <w:numPr>
          <w:ilvl w:val="4"/>
          <w:numId w:val="1"/>
        </w:numPr>
        <w:ind w:hanging="0" w:left="0"/>
        <w:rPr/>
      </w:pPr>
      <w:r>
        <w:rPr/>
        <w:t>Life-Cycle Assessment: Evaluation of environmental impacts of a product from cradle to gate, defined by ISO 14040 and ISO 14044.</w:t>
      </w:r>
    </w:p>
    <w:p>
      <w:pPr>
        <w:pStyle w:val="PR1"/>
        <w:numPr>
          <w:ilvl w:val="4"/>
          <w:numId w:val="1"/>
        </w:numPr>
        <w:ind w:hanging="0" w:left="0"/>
        <w:rPr/>
      </w:pPr>
      <w:r>
        <w:rPr/>
        <w:t>Life-Cycle Inventory: Database that defines environmental input and output for each step in a material or assembly's life cycle.</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ind w:hanging="0" w:left="0"/>
        <w:rPr/>
      </w:pPr>
      <w:r>
        <w:rPr/>
        <w:t>Recycled Content: The recycled content value of a material assembly shall be determined by weight. The recycled fraction of the assembly is then multiplied by the cost of assembly to determine the recycled content value.</w:t>
      </w:r>
    </w:p>
    <w:p>
      <w:pPr>
        <w:pStyle w:val="PR2"/>
        <w:numPr>
          <w:ilvl w:val="5"/>
          <w:numId w:val="1"/>
        </w:numPr>
        <w:spacing w:before="240" w:after="0"/>
        <w:ind w:hanging="0" w:left="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ind w:hanging="0" w:left="0"/>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ind w:hanging="0" w:left="0"/>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shall contribute to the regional value.</w:t>
      </w:r>
    </w:p>
    <w:p>
      <w:pPr>
        <w:pStyle w:val="PR1"/>
        <w:numPr>
          <w:ilvl w:val="4"/>
          <w:numId w:val="1"/>
        </w:numPr>
        <w:ind w:hanging="0" w:left="0"/>
        <w:rPr/>
      </w:pPr>
      <w:r>
        <w:rPr/>
        <w:t>Solar Reflectance Index (SRI): The measure of a constructed surface's ability to stay cool in the sun by reflecting solar radiation and emitting thermal radiation. SRI values range from zero (solid black surface) to 100 (solid white surface). SRI value of a material is calculated according to ASTM E1980 and based on the aged tested values of solar reflectance and thermal emittance.</w:t>
      </w:r>
    </w:p>
    <w:p>
      <w:pPr>
        <w:pStyle w:val="PR1"/>
        <w:numPr>
          <w:ilvl w:val="4"/>
          <w:numId w:val="1"/>
        </w:numPr>
        <w:ind w:hanging="0" w:left="0"/>
        <w:rPr/>
      </w:pPr>
      <w:r>
        <w:rPr/>
        <w:t>Vertical Illuminance: Illuminance levels calculated at a point on a vertical service or plane.</w:t>
      </w:r>
    </w:p>
    <w:p>
      <w:pPr>
        <w:pStyle w:val="ART"/>
        <w:numPr>
          <w:ilvl w:val="3"/>
          <w:numId w:val="1"/>
        </w:numPr>
        <w:ind w:hanging="0" w:left="0"/>
        <w:rPr/>
      </w:pPr>
      <w:r>
        <w:rPr/>
        <w:t>PREINSTALLATION MEETINGS</w:t>
      </w:r>
    </w:p>
    <w:p>
      <w:pPr>
        <w:pStyle w:val="PR1"/>
        <w:numPr>
          <w:ilvl w:val="4"/>
          <w:numId w:val="1"/>
        </w:numPr>
        <w:ind w:hanging="0" w:left="0"/>
        <w:rPr/>
      </w:pPr>
      <w:r>
        <w:rPr/>
        <w:t>Preinstallation Conference: Conduct conference at [</w:t>
      </w:r>
      <w:r>
        <w:rPr>
          <w:b/>
        </w:rPr>
        <w:t>Project site</w:t>
      </w:r>
      <w:r>
        <w:rPr/>
        <w:t>] &lt;</w:t>
      </w:r>
      <w:r>
        <w:rPr>
          <w:b/>
        </w:rPr>
        <w:t>Insert location</w:t>
      </w:r>
      <w:r>
        <w:rPr/>
        <w:t>&gt;. Review LEED requirements and action plans for compliance with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ind w:hanging="0" w:left="0"/>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ind w:hanging="0" w:left="0"/>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ind w:hanging="0" w:left="0"/>
        <w:rPr/>
      </w:pPr>
      <w:r>
        <w:rPr/>
        <w:t>Document correspondence with USGBC as informational submittals.</w:t>
      </w:r>
    </w:p>
    <w:p>
      <w:pPr>
        <w:pStyle w:val="ART"/>
        <w:numPr>
          <w:ilvl w:val="3"/>
          <w:numId w:val="1"/>
        </w:numPr>
        <w:ind w:hanging="0" w:left="0"/>
        <w:rPr/>
      </w:pPr>
      <w:r>
        <w:rPr/>
        <w:t>ACTION SUBMITTALS</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as when completed.</w:t>
      </w:r>
    </w:p>
    <w:p>
      <w:pPr>
        <w:pStyle w:val="PR1"/>
        <w:numPr>
          <w:ilvl w:val="4"/>
          <w:numId w:val="1"/>
        </w:numPr>
        <w:ind w:hanging="0" w:left="0"/>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ind w:hanging="0" w:left="0"/>
        <w:rPr/>
      </w:pPr>
      <w:r>
        <w:rPr/>
        <w:t>Sustainable design submittals are in addition to other submittals.</w:t>
      </w:r>
    </w:p>
    <w:p>
      <w:pPr>
        <w:pStyle w:val="PR2"/>
        <w:numPr>
          <w:ilvl w:val="5"/>
          <w:numId w:val="1"/>
        </w:numPr>
        <w:spacing w:before="240" w:after="0"/>
        <w:ind w:hanging="0" w:left="0"/>
        <w:rPr/>
      </w:pPr>
      <w:r>
        <w:rPr/>
        <w:t>If submitted item is identical to that proposed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ind w:hanging="0" w:left="0"/>
        <w:rPr/>
      </w:pPr>
      <w:r>
        <w:rPr/>
        <w:t>Sustainable Design Documentation Submittals:</w:t>
      </w:r>
    </w:p>
    <w:p>
      <w:pPr>
        <w:pStyle w:val="PR2"/>
        <w:numPr>
          <w:ilvl w:val="5"/>
          <w:numId w:val="1"/>
        </w:numPr>
        <w:spacing w:before="240" w:after="0"/>
        <w:ind w:hanging="0" w:left="0"/>
        <w:rPr/>
      </w:pPr>
      <w:r>
        <w:rPr/>
        <w:t>Documentation for luminaires indicating BUG ratings, lumens emitted, and vertical illuminance values.</w:t>
      </w:r>
    </w:p>
    <w:p>
      <w:pPr>
        <w:pStyle w:val="PR2"/>
        <w:numPr>
          <w:ilvl w:val="5"/>
          <w:numId w:val="1"/>
        </w:numPr>
        <w:ind w:hanging="0" w:left="0"/>
        <w:rPr/>
      </w:pPr>
      <w:r>
        <w:rPr/>
        <w:t>Documentation for compliant paving materials indicating the SRI, SR, and permeability.</w:t>
      </w:r>
    </w:p>
    <w:p>
      <w:pPr>
        <w:pStyle w:val="PR2"/>
        <w:numPr>
          <w:ilvl w:val="5"/>
          <w:numId w:val="1"/>
        </w:numPr>
        <w:ind w:hanging="0" w:left="0"/>
        <w:rPr/>
      </w:pPr>
      <w:r>
        <w:rPr/>
        <w:t>Documentation for compliant roofing materials indicating the SRI.</w:t>
      </w:r>
    </w:p>
    <w:p>
      <w:pPr>
        <w:pStyle w:val="PR2"/>
        <w:numPr>
          <w:ilvl w:val="5"/>
          <w:numId w:val="1"/>
        </w:numPr>
        <w:ind w:hanging="0" w:left="0"/>
        <w:rPr/>
      </w:pPr>
      <w:r>
        <w:rPr/>
        <w:t>Product Data and certification for WaterSense-labeled water fixtures.</w:t>
      </w:r>
    </w:p>
    <w:p>
      <w:pPr>
        <w:pStyle w:val="PR2"/>
        <w:numPr>
          <w:ilvl w:val="5"/>
          <w:numId w:val="1"/>
        </w:numPr>
        <w:ind w:hanging="0" w:left="0"/>
        <w:rPr/>
      </w:pPr>
      <w:r>
        <w:rPr/>
        <w:t>Product Data for plumbing fixtures indicating flush or flow rate.</w:t>
      </w:r>
    </w:p>
    <w:p>
      <w:pPr>
        <w:pStyle w:val="PR2"/>
        <w:numPr>
          <w:ilvl w:val="5"/>
          <w:numId w:val="1"/>
        </w:numPr>
        <w:ind w:hanging="0" w:left="0"/>
        <w:rPr/>
      </w:pPr>
      <w:r>
        <w:rPr/>
        <w:t>Documentation complying with Section 019113 "General Commissioning Requirements," Section 019119.43 "Exterior Enclosure Commissioning," Section 210800 "Commissioning of Fire Suppression," Section 220800 "Commissioning of Plumbing," Section 230800 "Commissioning of HVAC," and Section 260800 "Commissioning of Electrical Systems."</w:t>
      </w:r>
    </w:p>
    <w:p>
      <w:pPr>
        <w:pStyle w:val="PR2"/>
        <w:numPr>
          <w:ilvl w:val="5"/>
          <w:numId w:val="1"/>
        </w:numPr>
        <w:ind w:hanging="0" w:left="0"/>
        <w:rPr/>
      </w:pPr>
      <w:r>
        <w:rPr/>
        <w:t>Environmental Product Declarations (EPDs) complying with LEED requirements.</w:t>
      </w:r>
    </w:p>
    <w:p>
      <w:pPr>
        <w:pStyle w:val="PR2"/>
        <w:numPr>
          <w:ilvl w:val="5"/>
          <w:numId w:val="1"/>
        </w:numPr>
        <w:ind w:hanging="0" w:left="0"/>
        <w:rPr/>
      </w:pPr>
      <w:r>
        <w:rPr/>
        <w:t>Documentation for products that comply with LEED requirements for multi-attribute optimization.</w:t>
      </w:r>
    </w:p>
    <w:p>
      <w:pPr>
        <w:pStyle w:val="PR3"/>
        <w:numPr>
          <w:ilvl w:val="6"/>
          <w:numId w:val="1"/>
        </w:numPr>
        <w:spacing w:before="240" w:after="0"/>
        <w:ind w:hanging="0" w:left="0"/>
        <w:rPr/>
      </w:pPr>
      <w:r>
        <w:rPr/>
        <w:t>Include documentation for regional materials, indicating location and distance from Project of material manufacturer and point of extraction, harvest, or recovery for each raw material and costs of regional materials.</w:t>
      </w:r>
    </w:p>
    <w:p>
      <w:pPr>
        <w:pStyle w:val="PR3"/>
        <w:numPr>
          <w:ilvl w:val="6"/>
          <w:numId w:val="1"/>
        </w:numPr>
        <w:ind w:hanging="0" w:left="0"/>
        <w:rPr/>
      </w:pPr>
      <w:r>
        <w:rPr/>
        <w:t>Include documentation for any applicable third-party certifications.</w:t>
      </w:r>
    </w:p>
    <w:p>
      <w:pPr>
        <w:pStyle w:val="PR2"/>
        <w:numPr>
          <w:ilvl w:val="5"/>
          <w:numId w:val="1"/>
        </w:numPr>
        <w:spacing w:before="240" w:after="0"/>
        <w:ind w:hanging="0" w:left="0"/>
        <w:rPr/>
      </w:pPr>
      <w:r>
        <w:rPr/>
        <w:t>Sustainability reports for products that comply with LEED requirements for raw material and source extraction reporting.</w:t>
      </w:r>
    </w:p>
    <w:p>
      <w:pPr>
        <w:pStyle w:val="PR2"/>
        <w:numPr>
          <w:ilvl w:val="5"/>
          <w:numId w:val="1"/>
        </w:numPr>
        <w:ind w:hanging="0" w:left="0"/>
        <w:rPr/>
      </w:pPr>
      <w:r>
        <w:rPr/>
        <w:t>Documentation for products that comply with LEED requirements for leadership extraction practices. Include the following:</w:t>
      </w:r>
    </w:p>
    <w:p>
      <w:pPr>
        <w:pStyle w:val="PR3"/>
        <w:numPr>
          <w:ilvl w:val="6"/>
          <w:numId w:val="1"/>
        </w:numPr>
        <w:spacing w:before="240" w:after="0"/>
        <w:ind w:hanging="0" w:left="0"/>
        <w:rPr/>
      </w:pPr>
      <w:r>
        <w:rPr/>
        <w:t>Product Data and certification letter from product manufacturers, indicating participation in an extended producer responsibility program and statement of costs.</w:t>
      </w:r>
    </w:p>
    <w:p>
      <w:pPr>
        <w:pStyle w:val="PR3"/>
        <w:numPr>
          <w:ilvl w:val="6"/>
          <w:numId w:val="1"/>
        </w:numPr>
        <w:ind w:hanging="0" w:left="0"/>
        <w:rPr/>
      </w:pPr>
      <w:r>
        <w:rPr/>
        <w:t>Product Data and certification for bio-based materials, indicating that they comply with requirements. Include statement of costs.</w:t>
      </w:r>
    </w:p>
    <w:p>
      <w:pPr>
        <w:pStyle w:val="PR3"/>
        <w:numPr>
          <w:ilvl w:val="6"/>
          <w:numId w:val="1"/>
        </w:numPr>
        <w:ind w:hanging="0" w:left="0"/>
        <w:rPr/>
      </w:pPr>
      <w:r>
        <w:rPr/>
        <w:t>Product Data and chain-of-custody certificates for products containing certified wood. Include invoices.</w:t>
      </w:r>
    </w:p>
    <w:p>
      <w:pPr>
        <w:pStyle w:val="PR3"/>
        <w:numPr>
          <w:ilvl w:val="6"/>
          <w:numId w:val="1"/>
        </w:numPr>
        <w:ind w:hanging="0" w:left="0"/>
        <w:rPr/>
      </w:pPr>
      <w:r>
        <w:rPr/>
        <w:t>Receipts for salvaged and refurbished materials used for Project, indicating sources and costs.</w:t>
      </w:r>
    </w:p>
    <w:p>
      <w:pPr>
        <w:pStyle w:val="PR3"/>
        <w:numPr>
          <w:ilvl w:val="6"/>
          <w:numId w:val="1"/>
        </w:numPr>
        <w:ind w:hanging="0" w:left="0"/>
        <w:rPr/>
      </w:pPr>
      <w:r>
        <w:rPr/>
        <w:t>Product Data and certification letter from product manufacturers, indicating percentages by weight of postconsumer and preconsumer recycled content for products having recycled content. Include statement of costs.</w:t>
      </w:r>
    </w:p>
    <w:p>
      <w:pPr>
        <w:pStyle w:val="PR3"/>
        <w:numPr>
          <w:ilvl w:val="6"/>
          <w:numId w:val="1"/>
        </w:numPr>
        <w:ind w:hanging="0" w:left="0"/>
        <w:rPr/>
      </w:pPr>
      <w:r>
        <w:rPr/>
        <w:t>Documentation for regional materials, indicating location and distance from Project of material manufacturer and point of extraction, harvest, or recovery for each raw material and costs of regional materials.</w:t>
      </w:r>
    </w:p>
    <w:p>
      <w:pPr>
        <w:pStyle w:val="PR2"/>
        <w:numPr>
          <w:ilvl w:val="5"/>
          <w:numId w:val="1"/>
        </w:numPr>
        <w:spacing w:before="240" w:after="0"/>
        <w:ind w:hanging="0" w:left="0"/>
        <w:rPr/>
      </w:pPr>
      <w:r>
        <w:rPr/>
        <w:t>Material ingredient reports for products that comply with LEED requirements for material ingredient reporting.</w:t>
      </w:r>
    </w:p>
    <w:p>
      <w:pPr>
        <w:pStyle w:val="PR2"/>
        <w:numPr>
          <w:ilvl w:val="5"/>
          <w:numId w:val="1"/>
        </w:numPr>
        <w:ind w:hanging="0" w:left="0"/>
        <w:rPr/>
      </w:pPr>
      <w:r>
        <w:rPr/>
        <w:t>Documentation for products that comply with LEED requirements for material ingredient optimization.</w:t>
      </w:r>
    </w:p>
    <w:p>
      <w:pPr>
        <w:pStyle w:val="PR2"/>
        <w:numPr>
          <w:ilvl w:val="5"/>
          <w:numId w:val="1"/>
        </w:numPr>
        <w:ind w:hanging="0" w:left="0"/>
        <w:rPr/>
      </w:pPr>
      <w:r>
        <w:rPr/>
        <w:t>Documentation for products that comply with LEED requirements for product manufacturer supply chain optimization.</w:t>
      </w:r>
    </w:p>
    <w:p>
      <w:pPr>
        <w:pStyle w:val="PR3"/>
        <w:numPr>
          <w:ilvl w:val="6"/>
          <w:numId w:val="1"/>
        </w:numPr>
        <w:spacing w:before="240" w:after="0"/>
        <w:ind w:hanging="0" w:left="0"/>
        <w:rPr/>
      </w:pPr>
      <w:r>
        <w:rPr/>
        <w:t>Include documentation for regional materials, indicating location and distance from Project of material manufacturer and point of extraction, harvest, or recovery for each raw material and costs of regional materials.</w:t>
      </w:r>
    </w:p>
    <w:p>
      <w:pPr>
        <w:pStyle w:val="PR2"/>
        <w:numPr>
          <w:ilvl w:val="5"/>
          <w:numId w:val="1"/>
        </w:numPr>
        <w:spacing w:before="240" w:after="0"/>
        <w:ind w:hanging="0" w:left="0"/>
        <w:rPr/>
      </w:pPr>
      <w:r>
        <w:rPr/>
        <w:t>Documentation complying with Section 017419 "Construction Waste Management and Disposal."</w:t>
      </w:r>
    </w:p>
    <w:p>
      <w:pPr>
        <w:pStyle w:val="CMT"/>
        <w:rPr/>
      </w:pPr>
      <w:r>
        <w:rPr/>
        <w:t>First five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ind w:hanging="0" w:left="0"/>
        <w:rPr/>
      </w:pPr>
      <w:r>
        <w:rPr/>
        <w:t>Product Data for adhesives and sealants used inside weatherproofing system, indicating VOC content and laboratory test reports showing compliance with requirements for low-emitting materials.</w:t>
      </w:r>
    </w:p>
    <w:p>
      <w:pPr>
        <w:pStyle w:val="PR2"/>
        <w:numPr>
          <w:ilvl w:val="5"/>
          <w:numId w:val="1"/>
        </w:numPr>
        <w:ind w:hanging="0" w:left="0"/>
        <w:rPr/>
      </w:pPr>
      <w:r>
        <w:rPr/>
        <w:t>Product Data for paints and coatings used inside weatherproofing system, indicating VOC content and laboratory test reports showing compliance with requirements for low-emitting materials.</w:t>
      </w:r>
    </w:p>
    <w:p>
      <w:pPr>
        <w:pStyle w:val="PR2"/>
        <w:numPr>
          <w:ilvl w:val="5"/>
          <w:numId w:val="1"/>
        </w:numPr>
        <w:ind w:hanging="0" w:left="0"/>
        <w:rPr/>
      </w:pPr>
      <w:r>
        <w:rPr/>
        <w:t>Laboratory test reports for flooring, indicating compliance with requirements for low-emitting materials.</w:t>
      </w:r>
    </w:p>
    <w:p>
      <w:pPr>
        <w:pStyle w:val="PR2"/>
        <w:numPr>
          <w:ilvl w:val="5"/>
          <w:numId w:val="1"/>
        </w:numPr>
        <w:ind w:hanging="0" w:left="0"/>
        <w:rPr/>
      </w:pPr>
      <w:r>
        <w:rPr/>
        <w:t>Laboratory test reports for products containing composite wood or agrifiber products or wood glues, indicating compliance with requirements for low-emitting materials.</w:t>
      </w:r>
    </w:p>
    <w:p>
      <w:pPr>
        <w:pStyle w:val="PR2"/>
        <w:numPr>
          <w:ilvl w:val="5"/>
          <w:numId w:val="1"/>
        </w:numPr>
        <w:ind w:hanging="0" w:left="0"/>
        <w:rPr/>
      </w:pPr>
      <w:r>
        <w:rPr/>
        <w:t>Laboratory test reports for ceilings, walls, and thermal insulation, indicating compliance with requirements for low-emitting materials.</w:t>
      </w:r>
    </w:p>
    <w:p>
      <w:pPr>
        <w:pStyle w:val="PR2"/>
        <w:numPr>
          <w:ilvl w:val="5"/>
          <w:numId w:val="1"/>
        </w:numPr>
        <w:ind w:hanging="0" w:left="0"/>
        <w:rPr/>
      </w:pPr>
      <w:r>
        <w:rPr/>
        <w:t>Construction Indoor-Air-Quality (IAQ) Management:</w:t>
      </w:r>
    </w:p>
    <w:p>
      <w:pPr>
        <w:pStyle w:val="PR3"/>
        <w:numPr>
          <w:ilvl w:val="6"/>
          <w:numId w:val="1"/>
        </w:numPr>
        <w:spacing w:before="240" w:after="0"/>
        <w:ind w:hanging="0" w:left="0"/>
        <w:rPr/>
      </w:pPr>
      <w:r>
        <w:rPr/>
        <w:t>Construction IAQ management plan.</w:t>
      </w:r>
    </w:p>
    <w:p>
      <w:pPr>
        <w:pStyle w:val="PR3"/>
        <w:numPr>
          <w:ilvl w:val="6"/>
          <w:numId w:val="1"/>
        </w:numPr>
        <w:ind w:hanging="0" w:left="0"/>
        <w:rPr/>
      </w:pPr>
      <w:r>
        <w:rPr/>
        <w:t>Product Data for temporary filtration media.</w:t>
      </w:r>
    </w:p>
    <w:p>
      <w:pPr>
        <w:pStyle w:val="PR3"/>
        <w:numPr>
          <w:ilvl w:val="6"/>
          <w:numId w:val="1"/>
        </w:numPr>
        <w:ind w:hanging="0" w:left="0"/>
        <w:rPr/>
      </w:pPr>
      <w:r>
        <w:rPr/>
        <w:t>Product Data for filtration media used during occupancy.</w:t>
      </w:r>
    </w:p>
    <w:p>
      <w:pPr>
        <w:pStyle w:val="PR3"/>
        <w:numPr>
          <w:ilvl w:val="6"/>
          <w:numId w:val="1"/>
        </w:numPr>
        <w:ind w:hanging="0" w:left="0"/>
        <w:rPr/>
      </w:pPr>
      <w:r>
        <w:rPr/>
        <w:t>Construction Documentation: Six photographs at three different times during construction period, along with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ind w:hanging="0" w:left="0"/>
        <w:rPr/>
      </w:pPr>
      <w:r>
        <w:rPr/>
        <w:t>IAQ Assessment:</w:t>
      </w:r>
    </w:p>
    <w:p>
      <w:pPr>
        <w:pStyle w:val="CMT"/>
        <w:rPr/>
      </w:pPr>
      <w:r>
        <w:rPr/>
        <w:t>Retain first two subparagraphs below if using building air flush-out procedures.</w:t>
      </w:r>
    </w:p>
    <w:p>
      <w:pPr>
        <w:pStyle w:val="PR3"/>
        <w:numPr>
          <w:ilvl w:val="6"/>
          <w:numId w:val="1"/>
        </w:numPr>
        <w:spacing w:before="240" w:after="0"/>
        <w:ind w:hanging="0" w:left="0"/>
        <w:rPr/>
      </w:pPr>
      <w:r>
        <w:rPr/>
        <w:t>Signed statement describing the building air flush-out procedures, including dates when flush-out was begun and completed and statement that filtration media was replaced after flush-out.</w:t>
      </w:r>
    </w:p>
    <w:p>
      <w:pPr>
        <w:pStyle w:val="PR3"/>
        <w:numPr>
          <w:ilvl w:val="6"/>
          <w:numId w:val="1"/>
        </w:numPr>
        <w:ind w:hanging="0" w:left="0"/>
        <w:rPr/>
      </w:pPr>
      <w:r>
        <w:rPr/>
        <w:t>Product Data for filtration media used during flush-out and occupancy.</w:t>
      </w:r>
    </w:p>
    <w:p>
      <w:pPr>
        <w:pStyle w:val="CMT"/>
        <w:rPr/>
      </w:pPr>
      <w:r>
        <w:rPr/>
        <w:t>Retain subparagraph below if using Contractor-engaged IAQ testing.</w:t>
      </w:r>
    </w:p>
    <w:p>
      <w:pPr>
        <w:pStyle w:val="PR3"/>
        <w:numPr>
          <w:ilvl w:val="6"/>
          <w:numId w:val="1"/>
        </w:numPr>
        <w:ind w:hanging="0" w:left="0"/>
        <w:rPr/>
      </w:pPr>
      <w:r>
        <w:rPr/>
        <w:t>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PR1"/>
        <w:numPr>
          <w:ilvl w:val="4"/>
          <w:numId w:val="1"/>
        </w:numPr>
        <w:ind w:hanging="0" w:left="0"/>
        <w:rPr/>
      </w:pPr>
      <w:r>
        <w:rPr/>
        <w:t>Qualification Data: For Sustainability Consultant.</w:t>
      </w:r>
    </w:p>
    <w:p>
      <w:pPr>
        <w:pStyle w:val="PR1"/>
        <w:numPr>
          <w:ilvl w:val="4"/>
          <w:numId w:val="1"/>
        </w:numPr>
        <w:ind w:hanging="0" w:left="0"/>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ind w:hanging="0" w:left="0"/>
        <w:rPr/>
      </w:pPr>
      <w:r>
        <w:rPr/>
        <w:t>Plumbing.</w:t>
      </w:r>
    </w:p>
    <w:p>
      <w:pPr>
        <w:pStyle w:val="PR2"/>
        <w:numPr>
          <w:ilvl w:val="5"/>
          <w:numId w:val="1"/>
        </w:numPr>
        <w:ind w:hanging="0" w:left="0"/>
        <w:rPr/>
      </w:pPr>
      <w:r>
        <w:rPr/>
        <w:t>Mechanical.</w:t>
      </w:r>
    </w:p>
    <w:p>
      <w:pPr>
        <w:pStyle w:val="PR2"/>
        <w:numPr>
          <w:ilvl w:val="5"/>
          <w:numId w:val="1"/>
        </w:numPr>
        <w:ind w:hanging="0" w:left="0"/>
        <w:rPr/>
      </w:pPr>
      <w:r>
        <w:rPr/>
        <w:t>Electrical.</w:t>
      </w:r>
    </w:p>
    <w:p>
      <w:pPr>
        <w:pStyle w:val="PR2"/>
        <w:numPr>
          <w:ilvl w:val="5"/>
          <w:numId w:val="1"/>
        </w:numPr>
        <w:ind w:hanging="0" w:left="0"/>
        <w:rPr/>
      </w:pPr>
      <w:r>
        <w:rPr/>
        <w:t>Specialty items such as elevators and equipment.</w:t>
      </w:r>
    </w:p>
    <w:p>
      <w:pPr>
        <w:pStyle w:val="PR2"/>
        <w:numPr>
          <w:ilvl w:val="5"/>
          <w:numId w:val="1"/>
        </w:numPr>
        <w:ind w:hanging="0" w:left="0"/>
        <w:rPr/>
      </w:pPr>
      <w:r>
        <w:rPr/>
        <w:t>[</w:t>
      </w:r>
      <w:r>
        <w:rPr>
          <w:b/>
        </w:rPr>
        <w:t>Furniture.</w:t>
      </w:r>
      <w:r>
        <w:rPr/>
        <w: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problem.</w:t>
      </w:r>
    </w:p>
    <w:p>
      <w:pPr>
        <w:pStyle w:val="PR1"/>
        <w:numPr>
          <w:ilvl w:val="4"/>
          <w:numId w:val="1"/>
        </w:numPr>
        <w:ind w:hanging="0" w:left="0"/>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ind w:hanging="0" w:left="0"/>
        <w:rPr/>
      </w:pPr>
      <w:r>
        <w:rPr/>
        <w:t>List of proposed products with EPDs.</w:t>
      </w:r>
    </w:p>
    <w:p>
      <w:pPr>
        <w:pStyle w:val="PR2"/>
        <w:numPr>
          <w:ilvl w:val="5"/>
          <w:numId w:val="1"/>
        </w:numPr>
        <w:ind w:hanging="0" w:left="0"/>
        <w:rPr/>
      </w:pPr>
      <w:r>
        <w:rPr/>
        <w:t>List of proposed products complying with requirements for multi-attribute optimization.</w:t>
      </w:r>
    </w:p>
    <w:p>
      <w:pPr>
        <w:pStyle w:val="PR2"/>
        <w:numPr>
          <w:ilvl w:val="5"/>
          <w:numId w:val="1"/>
        </w:numPr>
        <w:ind w:hanging="0" w:left="0"/>
        <w:rPr/>
      </w:pPr>
      <w:r>
        <w:rPr/>
        <w:t>List of proposed products complying with requirements for raw material and source extraction reporting.</w:t>
      </w:r>
    </w:p>
    <w:p>
      <w:pPr>
        <w:pStyle w:val="PR2"/>
        <w:numPr>
          <w:ilvl w:val="5"/>
          <w:numId w:val="1"/>
        </w:numPr>
        <w:ind w:hanging="0" w:left="0"/>
        <w:rPr/>
      </w:pPr>
      <w:r>
        <w:rPr/>
        <w:t>List of proposed products complying with requirements for leadership extraction practices.</w:t>
      </w:r>
    </w:p>
    <w:p>
      <w:pPr>
        <w:pStyle w:val="PR2"/>
        <w:numPr>
          <w:ilvl w:val="5"/>
          <w:numId w:val="1"/>
        </w:numPr>
        <w:ind w:hanging="0" w:left="0"/>
        <w:rPr/>
      </w:pPr>
      <w:r>
        <w:rPr/>
        <w:t>List of proposed products complying with requirements for material ingredient reporting.</w:t>
      </w:r>
    </w:p>
    <w:p>
      <w:pPr>
        <w:pStyle w:val="PR2"/>
        <w:numPr>
          <w:ilvl w:val="5"/>
          <w:numId w:val="1"/>
        </w:numPr>
        <w:ind w:hanging="0" w:left="0"/>
        <w:rPr/>
      </w:pPr>
      <w:r>
        <w:rPr/>
        <w:t>List of proposed products complying with requirements for material ingredient optimization.</w:t>
      </w:r>
    </w:p>
    <w:p>
      <w:pPr>
        <w:pStyle w:val="PR2"/>
        <w:numPr>
          <w:ilvl w:val="5"/>
          <w:numId w:val="1"/>
        </w:numPr>
        <w:ind w:hanging="0" w:left="0"/>
        <w:rPr/>
      </w:pPr>
      <w:r>
        <w:rPr/>
        <w:t>List of proposed products complying with requirements for product manufacturer supply chain optimization.</w:t>
      </w:r>
    </w:p>
    <w:p>
      <w:pPr>
        <w:pStyle w:val="PR2"/>
        <w:numPr>
          <w:ilvl w:val="5"/>
          <w:numId w:val="1"/>
        </w:numPr>
        <w:ind w:hanging="0" w:left="0"/>
        <w:rPr/>
      </w:pPr>
      <w:r>
        <w:rPr/>
        <w:t>Waste management plan complying with Section 017419 "Construction Waste Management and Disposal."</w:t>
      </w:r>
    </w:p>
    <w:p>
      <w:pPr>
        <w:pStyle w:val="PR2"/>
        <w:numPr>
          <w:ilvl w:val="5"/>
          <w:numId w:val="1"/>
        </w:numPr>
        <w:ind w:hanging="0" w:left="0"/>
        <w:rPr/>
      </w:pPr>
      <w:r>
        <w:rPr/>
        <w:t>Construction IAQ management plan.</w:t>
      </w:r>
    </w:p>
    <w:p>
      <w:pPr>
        <w:pStyle w:val="PR1"/>
        <w:numPr>
          <w:ilvl w:val="4"/>
          <w:numId w:val="1"/>
        </w:numPr>
        <w:ind w:hanging="0" w:left="0"/>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ind w:hanging="0" w:left="0"/>
        <w:rPr/>
      </w:pPr>
      <w:r>
        <w:rPr/>
        <w:t>Sustainability Consultant: Engage an experienced LEED Accredited Professional to coordinate LEED requirements. Sustainability Consultant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ind w:hanging="0" w:left="0"/>
        <w:rPr/>
      </w:pPr>
      <w:r>
        <w:rPr/>
        <w:t>Provide products and procedures necessary to obtain LEED credits indicated as Contractor's responsibility. Although other Sections may specify some requirements that contribute to these LEED credits, Contractor shall provide additional materials and procedures necessary to obtain LEED credits indicated.</w:t>
      </w:r>
    </w:p>
    <w:p>
      <w:pPr>
        <w:pStyle w:val="PR1"/>
        <w:numPr>
          <w:ilvl w:val="4"/>
          <w:numId w:val="1"/>
        </w:numPr>
        <w:ind w:hanging="0" w:left="0"/>
        <w:rPr/>
      </w:pPr>
      <w:r>
        <w:rPr/>
        <w:t>At least 20 different products from at least five different manufacturers shall have EPDs that comply with LEED requirements. Industrywide (generic) EPDs shall be valued as one-half of a product.</w:t>
      </w:r>
    </w:p>
    <w:p>
      <w:pPr>
        <w:pStyle w:val="PR1"/>
        <w:numPr>
          <w:ilvl w:val="4"/>
          <w:numId w:val="1"/>
        </w:numPr>
        <w:ind w:hanging="0" w:left="0"/>
        <w:rPr/>
      </w:pPr>
      <w:r>
        <w:rPr/>
        <w:t>At least 50 percent, by cost, of permanently installed products for Project shall comply with LEED requirements for multi-attribute optimization.</w:t>
      </w:r>
    </w:p>
    <w:p>
      <w:pPr>
        <w:pStyle w:val="PR1"/>
        <w:numPr>
          <w:ilvl w:val="4"/>
          <w:numId w:val="1"/>
        </w:numPr>
        <w:ind w:hanging="0" w:left="0"/>
        <w:rPr/>
      </w:pPr>
      <w:r>
        <w:rPr/>
        <w:t>At least 20 different products from at least five different manufacturers shall have publicly released reports that comply with LEED requirements for raw material source and extraction reporting. Self-declared reports by manufacturers shall be valued as one-half of a product.</w:t>
      </w:r>
    </w:p>
    <w:p>
      <w:pPr>
        <w:pStyle w:val="PR1"/>
        <w:numPr>
          <w:ilvl w:val="4"/>
          <w:numId w:val="1"/>
        </w:numPr>
        <w:ind w:hanging="0" w:left="0"/>
        <w:rPr/>
      </w:pPr>
      <w:r>
        <w:rPr/>
        <w:t>At least 20 different products from at least five different manufacturers shall comply with LEED requirements for material ingredient reporting.</w:t>
      </w:r>
    </w:p>
    <w:p>
      <w:pPr>
        <w:pStyle w:val="PR1"/>
        <w:numPr>
          <w:ilvl w:val="4"/>
          <w:numId w:val="1"/>
        </w:numPr>
        <w:ind w:hanging="0" w:left="0"/>
        <w:rPr/>
      </w:pPr>
      <w:r>
        <w:rPr/>
        <w:t>At least 25 percent, by cost, of permanently installed products for Project shall comply with LEED requirements for material ingredient optimization.</w:t>
      </w:r>
    </w:p>
    <w:p>
      <w:pPr>
        <w:pStyle w:val="PR1"/>
        <w:numPr>
          <w:ilvl w:val="4"/>
          <w:numId w:val="1"/>
        </w:numPr>
        <w:ind w:hanging="0" w:left="0"/>
        <w:rPr/>
      </w:pPr>
      <w:r>
        <w:rPr/>
        <w:t>At least 25 percent, by cost, of permanently installed products for Project shall comply with LEED requirements for product manufacturer supply chain optimization.</w:t>
      </w:r>
    </w:p>
    <w:p>
      <w:pPr>
        <w:pStyle w:val="CMT"/>
        <w:rPr/>
      </w:pPr>
      <w:r>
        <w:rPr/>
        <w:t>Retain first paragraph below and delete remaining paragraphs in this article if Contractor is responsible for complying with credit requirements for leadership extraction practices.</w:t>
      </w:r>
    </w:p>
    <w:p>
      <w:pPr>
        <w:pStyle w:val="PR1"/>
        <w:numPr>
          <w:ilvl w:val="4"/>
          <w:numId w:val="1"/>
        </w:numPr>
        <w:ind w:hanging="0" w:left="0"/>
        <w:rPr/>
      </w:pPr>
      <w:r>
        <w:rPr/>
        <w:t>Not less than 25 percent of building materials, by cost, shall comply with LEED requirements for leadership extraction practices.</w:t>
      </w:r>
    </w:p>
    <w:p>
      <w:pPr>
        <w:pStyle w:val="PR2"/>
        <w:numPr>
          <w:ilvl w:val="5"/>
          <w:numId w:val="1"/>
        </w:numPr>
        <w:spacing w:before="240" w:after="0"/>
        <w:ind w:hanging="0" w:left="0"/>
        <w:rPr/>
      </w:pPr>
      <w:r>
        <w:rPr/>
        <w:t>Structure and enclosure materials shall not be more than 30 percent, by cost, of materials used to comply with this requirement.</w:t>
      </w:r>
    </w:p>
    <w:p>
      <w:pPr>
        <w:pStyle w:val="CMT"/>
        <w:rPr/>
      </w:pPr>
      <w:r>
        <w:rPr/>
        <w:t>Retain one or more of "Extended Producer Responsibility Program," "Recycled Content," and "Certified Wood" paragraphs below, and possibly supplement by requirements in other Sections, for bio-based materials to comply with credit requirements for leadership extraction practices.</w:t>
      </w:r>
    </w:p>
    <w:p>
      <w:pPr>
        <w:pStyle w:val="PR1"/>
        <w:numPr>
          <w:ilvl w:val="4"/>
          <w:numId w:val="1"/>
        </w:numPr>
        <w:ind w:hanging="0" w:left="0"/>
        <w:rPr/>
      </w:pPr>
      <w:r>
        <w:rPr/>
        <w:t>Extended Producer Responsibility Program: Not less than &lt;</w:t>
      </w:r>
      <w:r>
        <w:rPr>
          <w:b/>
        </w:rPr>
        <w:t>Insert number</w:t>
      </w:r>
      <w:r>
        <w:rPr/>
        <w:t>&gt; percent of building materials, by cost, shall be manufactured by a participant in an extended producer responsibility program.</w:t>
      </w:r>
    </w:p>
    <w:p>
      <w:pPr>
        <w:pStyle w:val="CMT"/>
        <w:rPr/>
      </w:pPr>
      <w:r>
        <w:rPr/>
        <w:t>"Recycled Content" Paragraph below is an alternative to requiring recycled content in Sections where such products are specified.</w:t>
      </w:r>
    </w:p>
    <w:p>
      <w:pPr>
        <w:pStyle w:val="PR1"/>
        <w:numPr>
          <w:ilvl w:val="4"/>
          <w:numId w:val="1"/>
        </w:numPr>
        <w:ind w:hanging="0" w:left="0"/>
        <w:rPr/>
      </w:pPr>
      <w:r>
        <w:rPr/>
        <w:t>Recycled Content: Building materials shall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ind w:hanging="0" w:left="0"/>
        <w:rPr/>
      </w:pPr>
      <w:r>
        <w:rPr/>
        <w:t>Cost of postconsumer recycled content plus one-half of preconsumer recycled content of an item shall be determined by dividing weight of postconsumer recycled content plus one-half of preconsumer recycled content in the item by total weight of the item and multiplying by cost of the item.</w:t>
      </w:r>
    </w:p>
    <w:p>
      <w:pPr>
        <w:pStyle w:val="PR2"/>
        <w:numPr>
          <w:ilvl w:val="5"/>
          <w:numId w:val="1"/>
        </w:numPr>
        <w:ind w:hanging="0" w:left="0"/>
        <w:rPr/>
      </w:pPr>
      <w:r>
        <w:rPr/>
        <w:t>Do not include [</w:t>
      </w:r>
      <w:r>
        <w:rPr>
          <w:b/>
        </w:rPr>
        <w:t>furniture, </w:t>
      </w:r>
      <w:r>
        <w:rPr/>
        <w:t>]plumbing, mechanical and electrical components, and specialty items, such as elevators and equipment, in the calculation.</w:t>
      </w:r>
    </w:p>
    <w:p>
      <w:pPr>
        <w:pStyle w:val="CMT"/>
        <w:rPr/>
      </w:pPr>
      <w:r>
        <w:rPr/>
        <w:t>"Certified Wood" Paragraph below is an alternative to requiring certified wood in Sections where wood products are specified.</w:t>
      </w:r>
    </w:p>
    <w:p>
      <w:pPr>
        <w:pStyle w:val="PR1"/>
        <w:numPr>
          <w:ilvl w:val="4"/>
          <w:numId w:val="1"/>
        </w:numPr>
        <w:ind w:hanging="0" w:left="0"/>
        <w:rPr/>
      </w:pPr>
      <w:r>
        <w:rPr/>
        <w:t>Certified Wood: Not less than &lt;</w:t>
      </w:r>
      <w:r>
        <w:rPr>
          <w:b/>
        </w:rPr>
        <w:t>Insert number</w:t>
      </w:r>
      <w:r>
        <w:rPr/>
        <w:t>&gt; percent, by cost, of wood-based materials shall be produced from wood obtained from forests certified by an FSC-accredited certification body to comply with FSC STD-01-001.</w:t>
      </w:r>
    </w:p>
    <w:p>
      <w:pPr>
        <w:pStyle w:val="ART"/>
        <w:numPr>
          <w:ilvl w:val="3"/>
          <w:numId w:val="1"/>
        </w:numPr>
        <w:ind w:hanging="0" w:left="0"/>
        <w:rPr/>
      </w:pPr>
      <w:r>
        <w:rPr/>
        <w:t>LOW-EMITTING MATERIALS</w:t>
      </w:r>
    </w:p>
    <w:p>
      <w:pPr>
        <w:pStyle w:val="CMT"/>
        <w:rPr/>
      </w:pPr>
      <w:r>
        <w:rPr/>
        <w:t>This article contains requirements applicable to Credit EQ "Low-Emitting Materials," Option 1. If retaining this article, coordinate with Sections where relevant products are specified to avoid conflicting requirements in those Sections. Delete option in "Paints and Coatings" Paragraph below for LEED v4 BD+C Schools and LEED v4 BD+C Healthcare credit for exterior applied products.</w:t>
      </w:r>
    </w:p>
    <w:p>
      <w:pPr>
        <w:pStyle w:val="PR1"/>
        <w:numPr>
          <w:ilvl w:val="4"/>
          <w:numId w:val="1"/>
        </w:numPr>
        <w:ind w:hanging="0" w:left="0"/>
        <w:rPr/>
      </w:pPr>
      <w:r>
        <w:rPr/>
        <w:t>Paints and Coatings: For field applications that are inside the weatherproofing system, paints and coatings shall comply with VOC content limits of authorities having jurisdiction and the following VOC content limits:</w:t>
      </w:r>
    </w:p>
    <w:p>
      <w:pPr>
        <w:pStyle w:val="CMT"/>
        <w:rPr/>
      </w:pPr>
      <w:r>
        <w:rPr/>
        <w:t>Categories in subparagraphs below are taken from USGBC's LEED Rating Systems and the standards referenced by them; if clarification is required, see those documents or LEED reference guides.</w:t>
      </w:r>
    </w:p>
    <w:p>
      <w:pPr>
        <w:pStyle w:val="PR2"/>
        <w:numPr>
          <w:ilvl w:val="5"/>
          <w:numId w:val="1"/>
        </w:numPr>
        <w:spacing w:before="240" w:after="0"/>
        <w:ind w:hanging="0" w:left="0"/>
        <w:rPr/>
      </w:pPr>
      <w:r>
        <w:rPr/>
        <w:t>Flat Paints and Coatings: 50 g/L.</w:t>
      </w:r>
    </w:p>
    <w:p>
      <w:pPr>
        <w:pStyle w:val="PR2"/>
        <w:numPr>
          <w:ilvl w:val="5"/>
          <w:numId w:val="1"/>
        </w:numPr>
        <w:ind w:hanging="0" w:left="0"/>
        <w:rPr/>
      </w:pPr>
      <w:r>
        <w:rPr/>
        <w:t>Nonflat Paints and Coatings: 50 g/L.</w:t>
      </w:r>
    </w:p>
    <w:p>
      <w:pPr>
        <w:pStyle w:val="PR2"/>
        <w:numPr>
          <w:ilvl w:val="5"/>
          <w:numId w:val="1"/>
        </w:numPr>
        <w:ind w:hanging="0" w:left="0"/>
        <w:rPr/>
      </w:pPr>
      <w:r>
        <w:rPr/>
        <w:t>Dry-Fog Coatings: 150 g/L.</w:t>
      </w:r>
    </w:p>
    <w:p>
      <w:pPr>
        <w:pStyle w:val="PR2"/>
        <w:numPr>
          <w:ilvl w:val="5"/>
          <w:numId w:val="1"/>
        </w:numPr>
        <w:ind w:hanging="0" w:left="0"/>
        <w:rPr/>
      </w:pPr>
      <w:r>
        <w:rPr/>
        <w:t>Primers, Sealers, and Undercoaters: 100 g/L.</w:t>
      </w:r>
    </w:p>
    <w:p>
      <w:pPr>
        <w:pStyle w:val="PR2"/>
        <w:numPr>
          <w:ilvl w:val="5"/>
          <w:numId w:val="1"/>
        </w:numPr>
        <w:ind w:hanging="0" w:left="0"/>
        <w:rPr/>
      </w:pPr>
      <w:r>
        <w:rPr/>
        <w:t>Rust-Preventive Coatings: 100 g/L.</w:t>
      </w:r>
    </w:p>
    <w:p>
      <w:pPr>
        <w:pStyle w:val="PR2"/>
        <w:numPr>
          <w:ilvl w:val="5"/>
          <w:numId w:val="1"/>
        </w:numPr>
        <w:ind w:hanging="0" w:left="0"/>
        <w:rPr/>
      </w:pPr>
      <w:r>
        <w:rPr/>
        <w:t>Zinc-Rich Industrial Maintenance Primers: 100 g/L.</w:t>
      </w:r>
    </w:p>
    <w:p>
      <w:pPr>
        <w:pStyle w:val="PR2"/>
        <w:numPr>
          <w:ilvl w:val="5"/>
          <w:numId w:val="1"/>
        </w:numPr>
        <w:ind w:hanging="0" w:left="0"/>
        <w:rPr/>
      </w:pPr>
      <w:r>
        <w:rPr/>
        <w:t>Pretreatment Wash Primers: 420 g/L.</w:t>
      </w:r>
    </w:p>
    <w:p>
      <w:pPr>
        <w:pStyle w:val="PR2"/>
        <w:numPr>
          <w:ilvl w:val="5"/>
          <w:numId w:val="1"/>
        </w:numPr>
        <w:ind w:hanging="0" w:left="0"/>
        <w:rPr/>
      </w:pPr>
      <w:r>
        <w:rPr/>
        <w:t>Clear Wood Finishes, Varnishes: 275 g/L.</w:t>
      </w:r>
    </w:p>
    <w:p>
      <w:pPr>
        <w:pStyle w:val="PR2"/>
        <w:numPr>
          <w:ilvl w:val="5"/>
          <w:numId w:val="1"/>
        </w:numPr>
        <w:ind w:hanging="0" w:left="0"/>
        <w:rPr/>
      </w:pPr>
      <w:r>
        <w:rPr/>
        <w:t>Clear Wood Finishes, Lacquers: 275 g/L.</w:t>
      </w:r>
    </w:p>
    <w:p>
      <w:pPr>
        <w:pStyle w:val="PR2"/>
        <w:numPr>
          <w:ilvl w:val="5"/>
          <w:numId w:val="1"/>
        </w:numPr>
        <w:ind w:hanging="0" w:left="0"/>
        <w:rPr/>
      </w:pPr>
      <w:r>
        <w:rPr/>
        <w:t>Floor Coatings: 50 g/L.</w:t>
      </w:r>
    </w:p>
    <w:p>
      <w:pPr>
        <w:pStyle w:val="PR2"/>
        <w:numPr>
          <w:ilvl w:val="5"/>
          <w:numId w:val="1"/>
        </w:numPr>
        <w:ind w:hanging="0" w:left="0"/>
        <w:rPr/>
      </w:pPr>
      <w:r>
        <w:rPr/>
        <w:t>Shellacs, Clear: 730 g/L.</w:t>
      </w:r>
    </w:p>
    <w:p>
      <w:pPr>
        <w:pStyle w:val="PR2"/>
        <w:numPr>
          <w:ilvl w:val="5"/>
          <w:numId w:val="1"/>
        </w:numPr>
        <w:ind w:hanging="0" w:left="0"/>
        <w:rPr/>
      </w:pPr>
      <w:r>
        <w:rPr/>
        <w:t>Shellacs, Pigmented: 550 g/L.</w:t>
      </w:r>
    </w:p>
    <w:p>
      <w:pPr>
        <w:pStyle w:val="PR2"/>
        <w:numPr>
          <w:ilvl w:val="5"/>
          <w:numId w:val="1"/>
        </w:numPr>
        <w:ind w:hanging="0" w:left="0"/>
        <w:rPr/>
      </w:pPr>
      <w:r>
        <w:rPr/>
        <w:t>Stains: 100 g/L.</w:t>
      </w:r>
    </w:p>
    <w:p>
      <w:pPr>
        <w:pStyle w:val="PR1"/>
        <w:numPr>
          <w:ilvl w:val="4"/>
          <w:numId w:val="1"/>
        </w:numPr>
        <w:ind w:hanging="0" w:left="0"/>
        <w:rPr/>
      </w:pPr>
      <w:r>
        <w:rPr/>
        <w:t>Paints and Coatings: For field applications that are inside the weatherproofing system, 90 percent of paints and coatings shall comply with requirements of California Department of Public Health's "Standard Method for the Testing and Evaluation of Volatile Organic Chemical Emissions from Indoor Sources Using Environmental Chambers."</w:t>
      </w:r>
    </w:p>
    <w:p>
      <w:pPr>
        <w:pStyle w:val="CMT"/>
        <w:rPr/>
      </w:pPr>
      <w:r>
        <w:rPr/>
        <w:t>Adhesives and sealants are required in many Sections where, without being specifically mentioned, they may be specified only by requirement to install products according to manufacturer's written instructions. For this reason, it is probably best to retain both "Adhesives and Sealants" paragraphs below if this credit is required.</w:t>
      </w:r>
    </w:p>
    <w:p>
      <w:pPr>
        <w:pStyle w:val="PR1"/>
        <w:numPr>
          <w:ilvl w:val="4"/>
          <w:numId w:val="1"/>
        </w:numPr>
        <w:ind w:hanging="0" w:left="0"/>
        <w:rPr/>
      </w:pPr>
      <w:r>
        <w:rPr/>
        <w:t>Adhesives and Sealants: For field applications that are inside the weatherproofing system, adhesives and sealants shall comply with VOC content limits of authorities having jurisdiction and the following VOC content limits:</w:t>
      </w:r>
    </w:p>
    <w:p>
      <w:pPr>
        <w:pStyle w:val="CMT"/>
        <w:rPr/>
      </w:pPr>
      <w:r>
        <w:rPr/>
        <w:t>Categories in subparagraphs below are taken from USGBC's LEED Rating Systems and the standards referenced by them; if clarification is required, see those documents or LEED reference guides.</w:t>
      </w:r>
    </w:p>
    <w:p>
      <w:pPr>
        <w:pStyle w:val="PR2"/>
        <w:numPr>
          <w:ilvl w:val="5"/>
          <w:numId w:val="1"/>
        </w:numPr>
        <w:spacing w:before="240" w:after="0"/>
        <w:ind w:hanging="0" w:left="0"/>
        <w:rPr/>
      </w:pPr>
      <w:r>
        <w:rPr/>
        <w:t>Wood Glues: 30 g/L.</w:t>
      </w:r>
    </w:p>
    <w:p>
      <w:pPr>
        <w:pStyle w:val="PR2"/>
        <w:numPr>
          <w:ilvl w:val="5"/>
          <w:numId w:val="1"/>
        </w:numPr>
        <w:ind w:hanging="0" w:left="0"/>
        <w:rPr/>
      </w:pPr>
      <w:r>
        <w:rPr/>
        <w:t>Metal-to-Metal Adhesives: 30 g/L.</w:t>
      </w:r>
    </w:p>
    <w:p>
      <w:pPr>
        <w:pStyle w:val="PR2"/>
        <w:numPr>
          <w:ilvl w:val="5"/>
          <w:numId w:val="1"/>
        </w:numPr>
        <w:ind w:hanging="0" w:left="0"/>
        <w:rPr/>
      </w:pPr>
      <w:r>
        <w:rPr/>
        <w:t>Adhesives for Porous Materials (except Wood): 50 g/L.</w:t>
      </w:r>
    </w:p>
    <w:p>
      <w:pPr>
        <w:pStyle w:val="PR2"/>
        <w:numPr>
          <w:ilvl w:val="5"/>
          <w:numId w:val="1"/>
        </w:numPr>
        <w:ind w:hanging="0" w:left="0"/>
        <w:rPr/>
      </w:pPr>
      <w:r>
        <w:rPr/>
        <w:t>Subfloor Adhesives: 50 g/L.</w:t>
      </w:r>
    </w:p>
    <w:p>
      <w:pPr>
        <w:pStyle w:val="PR2"/>
        <w:numPr>
          <w:ilvl w:val="5"/>
          <w:numId w:val="1"/>
        </w:numPr>
        <w:ind w:hanging="0" w:left="0"/>
        <w:rPr/>
      </w:pPr>
      <w:r>
        <w:rPr/>
        <w:t>Plastic Foam Adhesives: 50 g/L.</w:t>
      </w:r>
    </w:p>
    <w:p>
      <w:pPr>
        <w:pStyle w:val="PR2"/>
        <w:numPr>
          <w:ilvl w:val="5"/>
          <w:numId w:val="1"/>
        </w:numPr>
        <w:ind w:hanging="0" w:left="0"/>
        <w:rPr/>
      </w:pPr>
      <w:r>
        <w:rPr/>
        <w:t>Carpet Adhesives: 50 g/L.</w:t>
      </w:r>
    </w:p>
    <w:p>
      <w:pPr>
        <w:pStyle w:val="PR2"/>
        <w:numPr>
          <w:ilvl w:val="5"/>
          <w:numId w:val="1"/>
        </w:numPr>
        <w:ind w:hanging="0" w:left="0"/>
        <w:rPr/>
      </w:pPr>
      <w:r>
        <w:rPr/>
        <w:t>Carpet Pad Adhesives: 50 g/L.</w:t>
      </w:r>
    </w:p>
    <w:p>
      <w:pPr>
        <w:pStyle w:val="PR2"/>
        <w:numPr>
          <w:ilvl w:val="5"/>
          <w:numId w:val="1"/>
        </w:numPr>
        <w:ind w:hanging="0" w:left="0"/>
        <w:rPr/>
      </w:pPr>
      <w:r>
        <w:rPr/>
        <w:t>VCT and Asphalt Tile Adhesives: 50 g/L.</w:t>
      </w:r>
    </w:p>
    <w:p>
      <w:pPr>
        <w:pStyle w:val="PR2"/>
        <w:numPr>
          <w:ilvl w:val="5"/>
          <w:numId w:val="1"/>
        </w:numPr>
        <w:ind w:hanging="0" w:left="0"/>
        <w:rPr/>
      </w:pPr>
      <w:r>
        <w:rPr/>
        <w:t>Cove Base Adhesives: 50 g/L.</w:t>
      </w:r>
    </w:p>
    <w:p>
      <w:pPr>
        <w:pStyle w:val="PR2"/>
        <w:numPr>
          <w:ilvl w:val="5"/>
          <w:numId w:val="1"/>
        </w:numPr>
        <w:ind w:hanging="0" w:left="0"/>
        <w:rPr/>
      </w:pPr>
      <w:r>
        <w:rPr/>
        <w:t>Gypsum Board and Panel Adhesives: 50 g/L.</w:t>
      </w:r>
    </w:p>
    <w:p>
      <w:pPr>
        <w:pStyle w:val="PR2"/>
        <w:numPr>
          <w:ilvl w:val="5"/>
          <w:numId w:val="1"/>
        </w:numPr>
        <w:ind w:hanging="0" w:left="0"/>
        <w:rPr/>
      </w:pPr>
      <w:r>
        <w:rPr/>
        <w:t>Rubber Floor Adhesives: 60 g/L.</w:t>
      </w:r>
    </w:p>
    <w:p>
      <w:pPr>
        <w:pStyle w:val="PR2"/>
        <w:numPr>
          <w:ilvl w:val="5"/>
          <w:numId w:val="1"/>
        </w:numPr>
        <w:ind w:hanging="0" w:left="0"/>
        <w:rPr/>
      </w:pPr>
      <w:r>
        <w:rPr/>
        <w:t>Ceramic Tile Adhesives: 65 g/L.</w:t>
      </w:r>
    </w:p>
    <w:p>
      <w:pPr>
        <w:pStyle w:val="PR2"/>
        <w:numPr>
          <w:ilvl w:val="5"/>
          <w:numId w:val="1"/>
        </w:numPr>
        <w:ind w:hanging="0" w:left="0"/>
        <w:rPr/>
      </w:pPr>
      <w:r>
        <w:rPr/>
        <w:t>Multipurpose Construction Adhesives: 70 g/L.</w:t>
      </w:r>
    </w:p>
    <w:p>
      <w:pPr>
        <w:pStyle w:val="PR2"/>
        <w:numPr>
          <w:ilvl w:val="5"/>
          <w:numId w:val="1"/>
        </w:numPr>
        <w:ind w:hanging="0" w:left="0"/>
        <w:rPr/>
      </w:pPr>
      <w:r>
        <w:rPr/>
        <w:t>Fiberglass Adhesives: 80 g/L.</w:t>
      </w:r>
    </w:p>
    <w:p>
      <w:pPr>
        <w:pStyle w:val="PR2"/>
        <w:numPr>
          <w:ilvl w:val="5"/>
          <w:numId w:val="1"/>
        </w:numPr>
        <w:ind w:hanging="0" w:left="0"/>
        <w:rPr/>
      </w:pPr>
      <w:r>
        <w:rPr/>
        <w:t>Contact Adhesives: 80 g/L.</w:t>
      </w:r>
    </w:p>
    <w:p>
      <w:pPr>
        <w:pStyle w:val="PR2"/>
        <w:numPr>
          <w:ilvl w:val="5"/>
          <w:numId w:val="1"/>
        </w:numPr>
        <w:ind w:hanging="0" w:left="0"/>
        <w:rPr/>
      </w:pPr>
      <w:r>
        <w:rPr/>
        <w:t>Structural Glazing Adhesives: 100 g/L.</w:t>
      </w:r>
    </w:p>
    <w:p>
      <w:pPr>
        <w:pStyle w:val="PR2"/>
        <w:numPr>
          <w:ilvl w:val="5"/>
          <w:numId w:val="1"/>
        </w:numPr>
        <w:ind w:hanging="0" w:left="0"/>
        <w:rPr/>
      </w:pPr>
      <w:r>
        <w:rPr/>
        <w:t>Wood Flooring Adhesives: 100 g/L.</w:t>
      </w:r>
    </w:p>
    <w:p>
      <w:pPr>
        <w:pStyle w:val="PR2"/>
        <w:numPr>
          <w:ilvl w:val="5"/>
          <w:numId w:val="1"/>
        </w:numPr>
        <w:ind w:hanging="0" w:left="0"/>
        <w:rPr/>
      </w:pPr>
      <w:r>
        <w:rPr/>
        <w:t>Structural Wood Member Adhesives: 140 g/L.</w:t>
      </w:r>
    </w:p>
    <w:p>
      <w:pPr>
        <w:pStyle w:val="PR2"/>
        <w:numPr>
          <w:ilvl w:val="5"/>
          <w:numId w:val="1"/>
        </w:numPr>
        <w:ind w:hanging="0" w:left="0"/>
        <w:rPr/>
      </w:pPr>
      <w:r>
        <w:rPr/>
        <w:t>Single-Ply Roof Membrane Adhesives: 250 g/L.</w:t>
      </w:r>
    </w:p>
    <w:p>
      <w:pPr>
        <w:pStyle w:val="PR2"/>
        <w:numPr>
          <w:ilvl w:val="5"/>
          <w:numId w:val="1"/>
        </w:numPr>
        <w:ind w:hanging="0" w:left="0"/>
        <w:rPr/>
      </w:pPr>
      <w:r>
        <w:rPr/>
        <w:t xml:space="preserve">Special-Purpose Contact Adhesives (That Are Used to Bond Melamine-Covered Board, Metal, Unsupported Vinyl, Rubber, or Wood Veneer </w:t>
      </w:r>
      <w:r>
        <w:rPr>
          <w:rStyle w:val="IP"/>
        </w:rPr>
        <w:t>1/16 Inch</w:t>
      </w:r>
      <w:r>
        <w:rPr>
          <w:rStyle w:val="SI"/>
        </w:rPr>
        <w:t xml:space="preserve"> (1.6 mm)</w:t>
      </w:r>
      <w:r>
        <w:rPr/>
        <w:t xml:space="preserve"> or Less in Thickness to Any Surface): 250 g/L.</w:t>
      </w:r>
    </w:p>
    <w:p>
      <w:pPr>
        <w:pStyle w:val="PR2"/>
        <w:numPr>
          <w:ilvl w:val="5"/>
          <w:numId w:val="1"/>
        </w:numPr>
        <w:ind w:hanging="0" w:left="0"/>
        <w:rPr/>
      </w:pPr>
      <w:r>
        <w:rPr/>
        <w:t>Top and Trim Adhesives: 250 g/L.</w:t>
      </w:r>
    </w:p>
    <w:p>
      <w:pPr>
        <w:pStyle w:val="PR2"/>
        <w:numPr>
          <w:ilvl w:val="5"/>
          <w:numId w:val="1"/>
        </w:numPr>
        <w:ind w:hanging="0" w:left="0"/>
        <w:rPr/>
      </w:pPr>
      <w:r>
        <w:rPr/>
        <w:t>Plastic Cement Welding Compounds: 250 g/L.</w:t>
      </w:r>
    </w:p>
    <w:p>
      <w:pPr>
        <w:pStyle w:val="PR2"/>
        <w:numPr>
          <w:ilvl w:val="5"/>
          <w:numId w:val="1"/>
        </w:numPr>
        <w:ind w:hanging="0" w:left="0"/>
        <w:rPr/>
      </w:pPr>
      <w:r>
        <w:rPr/>
        <w:t>ABS Welding Compounds: 325 g/L.</w:t>
      </w:r>
    </w:p>
    <w:p>
      <w:pPr>
        <w:pStyle w:val="PR2"/>
        <w:numPr>
          <w:ilvl w:val="5"/>
          <w:numId w:val="1"/>
        </w:numPr>
        <w:ind w:hanging="0" w:left="0"/>
        <w:rPr/>
      </w:pPr>
      <w:r>
        <w:rPr/>
        <w:t>CPVC Welding Compounds: 490 g/L.</w:t>
      </w:r>
    </w:p>
    <w:p>
      <w:pPr>
        <w:pStyle w:val="PR2"/>
        <w:numPr>
          <w:ilvl w:val="5"/>
          <w:numId w:val="1"/>
        </w:numPr>
        <w:ind w:hanging="0" w:left="0"/>
        <w:rPr/>
      </w:pPr>
      <w:r>
        <w:rPr/>
        <w:t>PVC Welding Compounds: 510 g/L.</w:t>
      </w:r>
    </w:p>
    <w:p>
      <w:pPr>
        <w:pStyle w:val="PR2"/>
        <w:numPr>
          <w:ilvl w:val="5"/>
          <w:numId w:val="1"/>
        </w:numPr>
        <w:ind w:hanging="0" w:left="0"/>
        <w:rPr/>
      </w:pPr>
      <w:r>
        <w:rPr/>
        <w:t>Adhesive Primer for Plastic: 550 g/L.</w:t>
      </w:r>
    </w:p>
    <w:p>
      <w:pPr>
        <w:pStyle w:val="PR2"/>
        <w:numPr>
          <w:ilvl w:val="5"/>
          <w:numId w:val="1"/>
        </w:numPr>
        <w:ind w:hanging="0" w:left="0"/>
        <w:rPr/>
      </w:pPr>
      <w:r>
        <w:rPr/>
        <w:t>Sheet-Applied Rubber Lining Adhesives: 850 g/L.</w:t>
      </w:r>
    </w:p>
    <w:p>
      <w:pPr>
        <w:pStyle w:val="PR2"/>
        <w:numPr>
          <w:ilvl w:val="5"/>
          <w:numId w:val="1"/>
        </w:numPr>
        <w:ind w:hanging="0" w:left="0"/>
        <w:rPr/>
      </w:pPr>
      <w:r>
        <w:rPr/>
        <w:t>Aerosol Adhesive, General-Purpose Mist Spray: 65 percent by weight.</w:t>
      </w:r>
    </w:p>
    <w:p>
      <w:pPr>
        <w:pStyle w:val="PR2"/>
        <w:numPr>
          <w:ilvl w:val="5"/>
          <w:numId w:val="1"/>
        </w:numPr>
        <w:ind w:hanging="0" w:left="0"/>
        <w:rPr/>
      </w:pPr>
      <w:r>
        <w:rPr/>
        <w:t>Aerosol Adhesive, General-Purpose Web Spray: 55 percent by weight.</w:t>
      </w:r>
    </w:p>
    <w:p>
      <w:pPr>
        <w:pStyle w:val="PR2"/>
        <w:numPr>
          <w:ilvl w:val="5"/>
          <w:numId w:val="1"/>
        </w:numPr>
        <w:ind w:hanging="0" w:left="0"/>
        <w:rPr/>
      </w:pPr>
      <w:r>
        <w:rPr/>
        <w:t>Special-Purpose Aerosol Adhesives (All Types): 70 percent by weight.</w:t>
      </w:r>
    </w:p>
    <w:p>
      <w:pPr>
        <w:pStyle w:val="PR2"/>
        <w:numPr>
          <w:ilvl w:val="5"/>
          <w:numId w:val="1"/>
        </w:numPr>
        <w:ind w:hanging="0" w:left="0"/>
        <w:rPr/>
      </w:pPr>
      <w:r>
        <w:rPr/>
        <w:t>Other Adhesives: 250 g/L.</w:t>
      </w:r>
    </w:p>
    <w:p>
      <w:pPr>
        <w:pStyle w:val="PR2"/>
        <w:numPr>
          <w:ilvl w:val="5"/>
          <w:numId w:val="1"/>
        </w:numPr>
        <w:ind w:hanging="0" w:left="0"/>
        <w:rPr/>
      </w:pPr>
      <w:r>
        <w:rPr/>
        <w:t>Architectural Sealants: 250 g/L.</w:t>
      </w:r>
    </w:p>
    <w:p>
      <w:pPr>
        <w:pStyle w:val="PR2"/>
        <w:numPr>
          <w:ilvl w:val="5"/>
          <w:numId w:val="1"/>
        </w:numPr>
        <w:ind w:hanging="0" w:left="0"/>
        <w:rPr/>
      </w:pPr>
      <w:r>
        <w:rPr/>
        <w:t>Nonmembrane Roof Sealants: 300 g/L.</w:t>
      </w:r>
    </w:p>
    <w:p>
      <w:pPr>
        <w:pStyle w:val="PR2"/>
        <w:numPr>
          <w:ilvl w:val="5"/>
          <w:numId w:val="1"/>
        </w:numPr>
        <w:ind w:hanging="0" w:left="0"/>
        <w:rPr/>
      </w:pPr>
      <w:r>
        <w:rPr/>
        <w:t>Single-Ply Roof Membrane Sealants: 450 g/L.</w:t>
      </w:r>
    </w:p>
    <w:p>
      <w:pPr>
        <w:pStyle w:val="PR2"/>
        <w:numPr>
          <w:ilvl w:val="5"/>
          <w:numId w:val="1"/>
        </w:numPr>
        <w:ind w:hanging="0" w:left="0"/>
        <w:rPr/>
      </w:pPr>
      <w:r>
        <w:rPr/>
        <w:t>Other Sealants: 420 g/L.</w:t>
      </w:r>
    </w:p>
    <w:p>
      <w:pPr>
        <w:pStyle w:val="PR2"/>
        <w:numPr>
          <w:ilvl w:val="5"/>
          <w:numId w:val="1"/>
        </w:numPr>
        <w:ind w:hanging="0" w:left="0"/>
        <w:rPr/>
      </w:pPr>
      <w:r>
        <w:rPr/>
        <w:t>Sealant Primers for Nonporous Substrates: 250 g/L.</w:t>
      </w:r>
    </w:p>
    <w:p>
      <w:pPr>
        <w:pStyle w:val="PR2"/>
        <w:numPr>
          <w:ilvl w:val="5"/>
          <w:numId w:val="1"/>
        </w:numPr>
        <w:ind w:hanging="0" w:left="0"/>
        <w:rPr/>
      </w:pPr>
      <w:r>
        <w:rPr/>
        <w:t>Sealant Primers for Porous Substrates: 775 g/L.</w:t>
      </w:r>
    </w:p>
    <w:p>
      <w:pPr>
        <w:pStyle w:val="PR2"/>
        <w:numPr>
          <w:ilvl w:val="5"/>
          <w:numId w:val="1"/>
        </w:numPr>
        <w:ind w:hanging="0" w:left="0"/>
        <w:rPr/>
      </w:pPr>
      <w:r>
        <w:rPr/>
        <w:t>Modified Bituminous Sealant Primers: 500 g/L.</w:t>
      </w:r>
    </w:p>
    <w:p>
      <w:pPr>
        <w:pStyle w:val="PR2"/>
        <w:numPr>
          <w:ilvl w:val="5"/>
          <w:numId w:val="1"/>
        </w:numPr>
        <w:ind w:hanging="0" w:left="0"/>
        <w:rPr/>
      </w:pPr>
      <w:r>
        <w:rPr/>
        <w:t>Other Sealant Primers: 750 g/L.</w:t>
      </w:r>
    </w:p>
    <w:p>
      <w:pPr>
        <w:pStyle w:val="PR1"/>
        <w:numPr>
          <w:ilvl w:val="4"/>
          <w:numId w:val="1"/>
        </w:numPr>
        <w:ind w:hanging="0" w:left="0"/>
        <w:rPr/>
      </w:pPr>
      <w:r>
        <w:rPr/>
        <w:t>Adhesives and Sealants: For field applications that are inside the weatherproofing system, 90 percent of adhesives and sealants shall comply with requirements of California Department of Public Health's "Standard Method for the Testing and Evaluation of Volatile Organic Chemical Emissions from Indoor Sources Using Environmental Chambers."</w:t>
      </w:r>
    </w:p>
    <w:p>
      <w:pPr>
        <w:pStyle w:val="PR1"/>
        <w:numPr>
          <w:ilvl w:val="4"/>
          <w:numId w:val="1"/>
        </w:numPr>
        <w:ind w:hanging="0" w:left="0"/>
        <w:rPr/>
      </w:pPr>
      <w:r>
        <w:rPr/>
        <w:t>Flooring: Shall comply with requirements of California Department of Public Health's "Standard Method for the Testing and Evaluation of Volatile Organic Chemical Emissions from Indoor Sources Using Environmental Chambers."</w:t>
      </w:r>
    </w:p>
    <w:p>
      <w:pPr>
        <w:pStyle w:val="CMT"/>
        <w:rPr/>
      </w:pPr>
      <w:r>
        <w:rPr/>
        <w:t>If retaining "Composite Wood, Agrifiber Products, and Adhesives" Paragraph below, coordinate with Sections where composite wood products are specified to avoid conflicting requirements in those Sections.</w:t>
      </w:r>
    </w:p>
    <w:p>
      <w:pPr>
        <w:pStyle w:val="PR1"/>
        <w:numPr>
          <w:ilvl w:val="4"/>
          <w:numId w:val="1"/>
        </w:numPr>
        <w:ind w:hanging="0" w:left="0"/>
        <w:rPr/>
      </w:pPr>
      <w:r>
        <w:rPr/>
        <w:t>Composite Wood, Agrifiber Products, and Adhesives: Shall be made using ultra-low-emitting formaldehyde resins as defined in California Air Resources Board's "Airborne Toxic Control Measure to Reduce Formaldehyde Emissions from Composite Wood Products" or shall be made with no added formaldehyde.</w:t>
      </w:r>
    </w:p>
    <w:p>
      <w:pPr>
        <w:pStyle w:val="PR1"/>
        <w:numPr>
          <w:ilvl w:val="4"/>
          <w:numId w:val="1"/>
        </w:numPr>
        <w:ind w:hanging="0" w:left="0"/>
        <w:rPr/>
      </w:pPr>
      <w:r>
        <w:rPr/>
        <w:t>Ceilings, Walls, and Thermal Insulation: Shall comply with requirements of California Department of Public Health's "Standard Method for the Testing and Evaluation of Volatile Organic Chemical Emissions from Indoor Sources Using Environmental Chambers."</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ind w:hanging="0" w:left="0"/>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ind w:hanging="0" w:left="0"/>
        <w:rPr/>
      </w:pPr>
      <w:r>
        <w:rPr/>
        <w:t>Comply with Section 017419 "Construction Waste Management and Disposal."</w:t>
      </w:r>
    </w:p>
    <w:p>
      <w:pPr>
        <w:pStyle w:val="ART"/>
        <w:numPr>
          <w:ilvl w:val="3"/>
          <w:numId w:val="1"/>
        </w:numPr>
        <w:ind w:hanging="0" w:left="0"/>
        <w:rPr/>
      </w:pPr>
      <w:r>
        <w:rPr/>
        <w:t>CONSTRUCTION INDOOR-AIR-QUALITY (IAQ) MANAGEMENT</w:t>
      </w:r>
    </w:p>
    <w:p>
      <w:pPr>
        <w:pStyle w:val="PR1"/>
        <w:numPr>
          <w:ilvl w:val="4"/>
          <w:numId w:val="1"/>
        </w:numPr>
        <w:ind w:hanging="0" w:left="0"/>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ind w:hanging="0" w:left="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ind w:hanging="0" w:left="0"/>
        <w:rPr/>
      </w:pPr>
      <w:r>
        <w:rPr/>
        <w:t>Replace air filters immediately prior to occupancy with new filters specified in Section 234100 "Particulate Air Filtration."</w:t>
      </w:r>
    </w:p>
    <w:p>
      <w:pPr>
        <w:pStyle w:val="ART"/>
        <w:numPr>
          <w:ilvl w:val="3"/>
          <w:numId w:val="1"/>
        </w:numPr>
        <w:ind w:hanging="0" w:left="0"/>
        <w:rPr/>
      </w:pPr>
      <w:r>
        <w:rPr/>
        <w:t>INDOOR-AIR-QUALITY (IAQ) ASSESSMENT</w:t>
      </w:r>
    </w:p>
    <w:p>
      <w:pPr>
        <w:pStyle w:val="PR1"/>
        <w:numPr>
          <w:ilvl w:val="4"/>
          <w:numId w:val="1"/>
        </w:numPr>
        <w:ind w:hanging="0" w:left="0"/>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ind w:hanging="0" w:left="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ind w:hanging="0" w:left="0"/>
        <w:rPr/>
      </w:pPr>
      <w:r>
        <w:rPr/>
        <w:t>&lt;</w:t>
      </w:r>
      <w:r>
        <w:rPr>
          <w:b/>
        </w:rPr>
        <w:t>Insert operating requirements</w:t>
      </w:r>
      <w:r>
        <w:rPr/>
        <w:t>&gt;.</w:t>
      </w:r>
    </w:p>
    <w:p>
      <w:pPr>
        <w:pStyle w:val="PR2"/>
        <w:numPr>
          <w:ilvl w:val="5"/>
          <w:numId w:val="1"/>
        </w:numPr>
        <w:spacing w:before="240" w:after="0"/>
        <w:ind w:hanging="0" w:left="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shall be ventilated at a minimum rate of </w:t>
      </w:r>
      <w:r>
        <w:rPr>
          <w:rStyle w:val="IP"/>
        </w:rPr>
        <w:t>0.30 cfm per sq. ft.</w:t>
      </w:r>
      <w:r>
        <w:rPr>
          <w:rStyle w:val="SI"/>
        </w:rPr>
        <w:t xml:space="preserve"> (1.52 L/s per sq. m)</w:t>
      </w:r>
      <w:r>
        <w:rPr/>
        <w:t xml:space="preserve"> of outside air or the design minimum outside air rate, whichever is greater. During each day of the flush-out period, ventilation shall begin a minimum of three hours prior to occupancy and continue during occupancy. These conditions shall be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ind w:hanging="0" w:left="0"/>
        <w:rPr/>
      </w:pPr>
      <w:r>
        <w:rPr/>
        <w:t>&lt;</w:t>
      </w:r>
      <w:r>
        <w:rPr>
          <w:b/>
        </w:rPr>
        <w:t>Insert operating requirements</w:t>
      </w:r>
      <w:r>
        <w:rPr/>
        <w:t>&gt;.</w:t>
      </w:r>
    </w:p>
    <w:p>
      <w:pPr>
        <w:pStyle w:val="PR1"/>
        <w:numPr>
          <w:ilvl w:val="4"/>
          <w:numId w:val="1"/>
        </w:numPr>
        <w:ind w:hanging="0" w:left="0"/>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ind w:hanging="0" w:left="0"/>
        <w:rPr/>
      </w:pPr>
      <w:r>
        <w:rPr/>
        <w:t>Conduct baseline IAQ testing, after construction ends and prior to occupancy, using testing protocols consistent with the EPA's "Compendium of Methods for the Determination of Air Pollutants in Indoor Air," and as additionally detailed in USGBC's "LEED Reference Guide for Building Design and Construction v4."</w:t>
      </w:r>
    </w:p>
    <w:p>
      <w:pPr>
        <w:pStyle w:val="PR2"/>
        <w:numPr>
          <w:ilvl w:val="5"/>
          <w:numId w:val="1"/>
        </w:numPr>
        <w:ind w:hanging="0" w:left="0"/>
        <w:rPr/>
      </w:pPr>
      <w:r>
        <w:rPr/>
        <w:t>Demonstrate that contaminant maximum concentrations listed below are not exceeded:</w:t>
      </w:r>
    </w:p>
    <w:p>
      <w:pPr>
        <w:pStyle w:val="CMT"/>
        <w:rPr/>
      </w:pPr>
      <w:r>
        <w:rPr/>
        <w:t>Note that it may be necessary to comply with all requirements in Credit EQ "Low-Emitting Materials" to comply with limits specified in first seven subparagraphs below.</w:t>
      </w:r>
    </w:p>
    <w:p>
      <w:pPr>
        <w:pStyle w:val="PR3"/>
        <w:numPr>
          <w:ilvl w:val="6"/>
          <w:numId w:val="1"/>
        </w:numPr>
        <w:spacing w:before="240" w:after="0"/>
        <w:ind w:hanging="0" w:left="0"/>
        <w:rPr/>
      </w:pPr>
      <w:r>
        <w:rPr/>
        <w:t>Formaldehyde: 27 ppb.</w:t>
      </w:r>
    </w:p>
    <w:p>
      <w:pPr>
        <w:pStyle w:val="PR3"/>
        <w:numPr>
          <w:ilvl w:val="6"/>
          <w:numId w:val="1"/>
        </w:numPr>
        <w:ind w:hanging="0" w:left="0"/>
        <w:rPr/>
      </w:pPr>
      <w:r>
        <w:rPr/>
        <w:t>Particulates (PM10): 50 mcg/cu. m.</w:t>
      </w:r>
    </w:p>
    <w:p>
      <w:pPr>
        <w:pStyle w:val="PR3"/>
        <w:numPr>
          <w:ilvl w:val="6"/>
          <w:numId w:val="1"/>
        </w:numPr>
        <w:ind w:hanging="0" w:left="0"/>
        <w:rPr/>
      </w:pPr>
      <w:r>
        <w:rPr/>
        <w:t>Ozone: 0.075 ppm, according to ASTM D5149.</w:t>
      </w:r>
    </w:p>
    <w:p>
      <w:pPr>
        <w:pStyle w:val="PR3"/>
        <w:numPr>
          <w:ilvl w:val="6"/>
          <w:numId w:val="1"/>
        </w:numPr>
        <w:ind w:hanging="0" w:left="0"/>
        <w:rPr/>
      </w:pPr>
      <w:r>
        <w:rPr/>
        <w:t>Total Volatile Organic Compounds (TVOC): 500 mcg/cu. m.</w:t>
      </w:r>
    </w:p>
    <w:p>
      <w:pPr>
        <w:pStyle w:val="PR3"/>
        <w:numPr>
          <w:ilvl w:val="6"/>
          <w:numId w:val="1"/>
        </w:numPr>
        <w:ind w:hanging="0" w:left="0"/>
        <w:rPr/>
      </w:pPr>
      <w:r>
        <w:rPr/>
        <w:t>4-Phenylcyclohexene (4-PH): 6.5 mcg/cu. m.</w:t>
      </w:r>
    </w:p>
    <w:p>
      <w:pPr>
        <w:pStyle w:val="PR3"/>
        <w:numPr>
          <w:ilvl w:val="6"/>
          <w:numId w:val="1"/>
        </w:numPr>
        <w:ind w:hanging="0" w:left="0"/>
        <w:rPr/>
      </w:pPr>
      <w:r>
        <w:rPr/>
        <w:t>Carbon Monoxide: 9 ppm and no greater than 2 ppm above outdoor levels.</w:t>
      </w:r>
    </w:p>
    <w:p>
      <w:pPr>
        <w:pStyle w:val="PR3"/>
        <w:numPr>
          <w:ilvl w:val="6"/>
          <w:numId w:val="1"/>
        </w:numPr>
        <w:ind w:hanging="0" w:left="0"/>
        <w:rPr/>
      </w:pPr>
      <w:r>
        <w:rPr/>
        <w:t>Target Chemicals in California Department of Public Health's "Standard Method for the Testing and Evaluation of Volatile Organic Chemical Emissions from Indoor Sources Using Environmental Chambers," Table 4-1 (except formaldehyde).</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ind w:hanging="0" w:left="0"/>
        <w:rPr/>
      </w:pPr>
      <w:r>
        <w:rPr/>
        <w:t>For each sampling point where maximum concentration limits are exceeded, take corrective action until requirements have been met.</w:t>
      </w:r>
    </w:p>
    <w:p>
      <w:pPr>
        <w:pStyle w:val="PR2"/>
        <w:numPr>
          <w:ilvl w:val="5"/>
          <w:numId w:val="1"/>
        </w:numPr>
        <w:ind w:hanging="0" w:left="0"/>
        <w:rPr/>
      </w:pPr>
      <w:r>
        <w:rPr/>
        <w:t>Air-sample testing shall be conducted as follows:</w:t>
      </w:r>
    </w:p>
    <w:p>
      <w:pPr>
        <w:pStyle w:val="PR3"/>
        <w:numPr>
          <w:ilvl w:val="6"/>
          <w:numId w:val="1"/>
        </w:numPr>
        <w:spacing w:before="240" w:after="0"/>
        <w:ind w:hanging="0" w:left="0"/>
        <w:rPr/>
      </w:pPr>
      <w:r>
        <w:rPr/>
        <w:t>All measurements shall be conducted prior to occupancy but during normal occupied hours, and with building ventilation system starting at the normal daily start time and operated at the minimum outside airflow rate for the occupied mode throughout the duration of the air testing.</w:t>
      </w:r>
    </w:p>
    <w:p>
      <w:pPr>
        <w:pStyle w:val="PR3"/>
        <w:numPr>
          <w:ilvl w:val="6"/>
          <w:numId w:val="1"/>
        </w:numPr>
        <w:ind w:hanging="0" w:left="0"/>
        <w:rPr/>
      </w:pPr>
      <w:r>
        <w:rPr/>
        <w:t>Building shall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ind w:hanging="0" w:left="0"/>
        <w:rPr/>
      </w:pPr>
      <w:r>
        <w:rPr/>
        <w:t xml:space="preserve">Number of sampling locations varies depending on the size of building and number of ventilation systems. For each portion of building served by a separate ventilation system, the number of sampling points shall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ind w:hanging="0" w:left="0"/>
        <w:rPr/>
      </w:pPr>
      <w:r>
        <w:rPr/>
        <w:t xml:space="preserve">Air samples shall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018113.14</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 BD+C: NEW CONSTRUCTION</w:t>
          </w:r>
        </w:p>
      </w:tc>
      <w:tc>
        <w:tcPr>
          <w:tcW w:w="1872" w:type="dxa"/>
          <w:tcBorders/>
        </w:tcPr>
        <w:p>
          <w:pPr>
            <w:pStyle w:val="RJUST"/>
            <w:rPr/>
          </w:pPr>
          <w:r>
            <w:rPr>
              <w:rStyle w:val="NUM"/>
            </w:rPr>
            <w:t>018113.14</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1811314"/>
    <w:docVar w:name="MF95" w:val="01371"/>
    <w:docVar w:name="MFOrigin" w:val="MF04"/>
    <w:docVar w:name="SpecType" w:val="MasterSpec"/>
    <w:docVar w:name="Version" w:val="150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14&amp;ver=09-01-19&amp;format=FL&amp;sid=1508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SUSTAINABLE DESIGN REQUIREMENTS - LEED v4 BD+C: NEW CONSTRUCTION</dc:subject>
  <dc:title>SECTION 018113.14 - SUSTAINABLE DESIGN REQUIREMENTS - LEED v4 BD+C: NEW CONSTRUCTION</dc:title>
</cp:coreProperties>
</file>