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018113.21</w:t>
      </w:r>
      <w:r>
        <w:rPr/>
        <w:t xml:space="preserve"> - </w:t>
      </w:r>
      <w:r>
        <w:rPr>
          <w:rStyle w:val="NAM"/>
        </w:rPr>
        <w:t>SUSTAINABLE DESIGN REQUIREMENTS - LEED v4.1 INTERIOR DESIGN AND CONSTRUCTION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Interior Design and Construction" (hereafter, LEED v4.1 ID+C).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Interior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60 deg F (16 deg C)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Interior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mcg/cu. m.</w:t>
      </w:r>
    </w:p>
    <w:p>
      <w:pPr>
        <w:pStyle w:val="PR3"/>
        <w:numPr>
          <w:ilvl w:val="6"/>
          <w:numId w:val="1"/>
        </w:numPr>
        <w:rPr/>
      </w:pPr>
      <w:r>
        <w:rPr/>
        <w:t>Ozone: 0.07 ppm, in accordance with ASTM D5149.</w:t>
      </w:r>
    </w:p>
    <w:p>
      <w:pPr>
        <w:pStyle w:val="PR3"/>
        <w:numPr>
          <w:ilvl w:val="6"/>
          <w:numId w:val="1"/>
        </w:numPr>
        <w:rPr/>
      </w:pPr>
      <w:r>
        <w:rPr/>
        <w:t>Formaldehyde: 20 mcg/cu. m.</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Tetrachloroethylene: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 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018113.21</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INTERIOR DESIGN AND CONSTRUCTION</w:t>
          </w:r>
        </w:p>
      </w:tc>
      <w:tc>
        <w:tcPr>
          <w:tcW w:w="1872" w:type="dxa"/>
          <w:tcBorders/>
        </w:tcPr>
        <w:p>
          <w:pPr>
            <w:pStyle w:val="RJUST"/>
            <w:rPr/>
          </w:pPr>
          <w:r>
            <w:rPr>
              <w:rStyle w:val="NUM"/>
            </w:rPr>
            <w:t>018113.21</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1"/>
    <w:docVar w:name="MF95" w:val="01367"/>
    <w:docVar w:name="MFOrigin" w:val="MF04"/>
    <w:docVar w:name="SpecType" w:val="MasterSpec"/>
    <w:docVar w:name="Version" w:val="158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1&amp;ver=12-01-20&amp;format=FL&amp;sid=15851&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SUSTAINABLE DESIGN REQUIREMENTS - LEED v4.1 INTERIOR DESIGN AND CONSTRUCTION</dc:subject>
  <dc:title>SECTION 018113.21 - SUSTAINABLE DESIGN REQUIREMENTS - LEED v4.1 INTERIOR DESIGN AND CONSTRUCTION</dc:title>
</cp:coreProperties>
</file>