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018113.22</w:t>
      </w:r>
      <w:r>
        <w:rPr/>
        <w:t xml:space="preserve"> - </w:t>
      </w:r>
      <w:r>
        <w:rPr>
          <w:rStyle w:val="NAM"/>
        </w:rPr>
        <w:t>SUSTAINABLE DESIGN REQUIREMENTS - LEED v4.1 BD+C: CORE AND SHELL DEVELOPMENT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Core &amp; Shell."</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BUG Rating Method: The BUG rating of a fixture determines how much light trespass is produced by considering backlight (B), uplight (U), and glare (G).</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the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the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If retaining this article, coordinate with Sections where relevant products are specified to avoid conflicting requirements in those Sections.</w:t>
      </w:r>
    </w:p>
    <w:p>
      <w:pPr>
        <w:pStyle w:val="PR1"/>
        <w:numPr>
          <w:ilvl w:val="4"/>
          <w:numId w:val="1"/>
        </w:numPr>
        <w:rPr/>
      </w:pPr>
      <w:r>
        <w:rPr/>
        <w:t>Paints and Coatings: For field applications that are inside the weatherproofing system,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EOS"/>
        <w:rPr/>
      </w:pPr>
      <w:r>
        <w:rPr/>
        <w:t>END OF SECTION 018113.22</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CORE AND SHELL DEVELOPMENT</w:t>
          </w:r>
        </w:p>
      </w:tc>
      <w:tc>
        <w:tcPr>
          <w:tcW w:w="1872" w:type="dxa"/>
          <w:tcBorders/>
        </w:tcPr>
        <w:p>
          <w:pPr>
            <w:pStyle w:val="RJUST"/>
            <w:rPr/>
          </w:pPr>
          <w:r>
            <w:rPr>
              <w:rStyle w:val="NUM"/>
            </w:rPr>
            <w:t>018113.22</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2"/>
    <w:docVar w:name="MF95" w:val="01370"/>
    <w:docVar w:name="MFOrigin" w:val="MF04"/>
    <w:docVar w:name="SpecType" w:val="MasterSpec"/>
    <w:docVar w:name="Version" w:val="158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2&amp;ver=12-01-20&amp;format=FL&amp;sid=1585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2022-09-26T01:31:00Z</dcterms:created>
  <dc:creator>Deltek, Inc.</dc:creator>
  <dc:description/>
  <cp:keywords>BAS-12345-MS80</cp:keywords>
  <dc:language>zh-CN</dc:language>
  <cp:lastModifiedBy>Janice Nacional</cp:lastModifiedBy>
  <dcterms:modified xsi:type="dcterms:W3CDTF">2022-09-26T01:31:00Z</dcterms:modified>
  <cp:revision>2</cp:revision>
  <dc:subject>SUSTAINABLE DESIGN REQUIREMENTS - LEED v4.1 BD+C: CORE AND SHELL DEVELOPMENT</dc:subject>
  <dc:title>SECTION 018113.22 - SUSTAINABLE DESIGN REQUIREMENTS - LEED v4.1 BD+C: CORE AND SHELL DEVELOPMENT</dc:title>
</cp:coreProperties>
</file>