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018113.26</w:t>
      </w:r>
      <w:r>
        <w:rPr/>
        <w:t xml:space="preserve"> - </w:t>
      </w:r>
      <w:r>
        <w:rPr>
          <w:rStyle w:val="NAM"/>
        </w:rPr>
        <w:t>SUSTAINABLE DESIGN REQUIREMENTS - LEED v4.1 BD+C: HEALTHCARE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before revising this Section.</w:t>
      </w:r>
    </w:p>
    <w:p>
      <w:pPr>
        <w:pStyle w:val="CMT"/>
        <w:rPr/>
      </w:pPr>
      <w:r>
        <w:rPr/>
        <w:t>Where practical, terminology used in this Section has been made identical to or at least consistent with terminology used in UGBC's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INc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Building Design and Construction" (hereafter, LEED v4.1 BD+C).</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first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ANSI/BIFMA e3 Furniture Sustainability Standard: Standard addressing environmental and social impacts throughout the furniture supply chain.</w:t>
      </w:r>
    </w:p>
    <w:p>
      <w:pPr>
        <w:pStyle w:val="PR1"/>
        <w:numPr>
          <w:ilvl w:val="4"/>
          <w:numId w:val="1"/>
        </w:numPr>
        <w:rPr/>
      </w:pPr>
      <w:r>
        <w:rPr/>
        <w:t>Bio-Based Materials: Products containing some percentage of biologically renewable resource.</w:t>
      </w:r>
    </w:p>
    <w:p>
      <w:pPr>
        <w:pStyle w:val="PR1"/>
        <w:numPr>
          <w:ilvl w:val="4"/>
          <w:numId w:val="1"/>
        </w:numPr>
        <w:rPr/>
      </w:pPr>
      <w:r>
        <w:rPr/>
        <w:t>BUG Rating Method: The BUG rating of a fixture determines how much light trespass is produced by considering backlight (B), uplight (U), and glare (G).</w:t>
      </w:r>
    </w:p>
    <w:p>
      <w:pPr>
        <w:pStyle w:val="PR1"/>
        <w:numPr>
          <w:ilvl w:val="4"/>
          <w:numId w:val="1"/>
        </w:numPr>
        <w:rPr/>
      </w:pPr>
      <w:r>
        <w:rPr/>
        <w:t>Chain-of-Custody Certificates: Certificates signed by manufacturers certifying that wood used to make products was obtained from forests certified by an FSC-accredited certification body to comply with FSC STD-01-001. Certificates to include evidence that manufacturer is certified for chain of custody by an FSC-accredited certification body.</w:t>
      </w:r>
    </w:p>
    <w:p>
      <w:pPr>
        <w:pStyle w:val="PR1"/>
        <w:numPr>
          <w:ilvl w:val="4"/>
          <w:numId w:val="1"/>
        </w:numPr>
        <w:rPr/>
      </w:pPr>
      <w:r>
        <w:rPr/>
        <w:t>Cradle to Cradle: Product certification assessing material health, material reutilization, renewable energy and carbon management, water stewardship, and social fairness.</w:t>
      </w:r>
    </w:p>
    <w:p>
      <w:pPr>
        <w:pStyle w:val="PR1"/>
        <w:numPr>
          <w:ilvl w:val="4"/>
          <w:numId w:val="1"/>
        </w:numPr>
        <w:rPr/>
      </w:pPr>
      <w:r>
        <w:rPr/>
        <w:t>Declare: A product transparency disclosure that identifies material source, composition, and end-of-life procedures.</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Extended Producer Responsibility: A waste management strategy promoting integration of life-cycle costs associated with goods into the market price of products. Typically, this involves a take-back or recycling program run by manufacturer at the end of the product's lifespan.</w:t>
      </w:r>
    </w:p>
    <w:p>
      <w:pPr>
        <w:pStyle w:val="PR1"/>
        <w:numPr>
          <w:ilvl w:val="4"/>
          <w:numId w:val="1"/>
        </w:numPr>
        <w:rPr/>
      </w:pPr>
      <w:r>
        <w:rPr/>
        <w:t>Facts: Standard evaluating sustainability of furniture products over the product life cycle.</w:t>
      </w:r>
    </w:p>
    <w:p>
      <w:pPr>
        <w:pStyle w:val="PR1"/>
        <w:numPr>
          <w:ilvl w:val="4"/>
          <w:numId w:val="1"/>
        </w:numPr>
        <w:rPr/>
      </w:pPr>
      <w:r>
        <w:rPr/>
        <w:t>Health Product Declaration (HPD): Disclosure of products contents and associated health information.</w:t>
      </w:r>
    </w:p>
    <w:p>
      <w:pPr>
        <w:pStyle w:val="PR1"/>
        <w:numPr>
          <w:ilvl w:val="4"/>
          <w:numId w:val="1"/>
        </w:numPr>
        <w:rPr/>
      </w:pPr>
      <w:r>
        <w:rPr/>
        <w:t>LEED: USGBC's "LEED v4.1 for Building Design and Construction." Definitions that are part of this document apply to this Section.</w:t>
      </w:r>
    </w:p>
    <w:p>
      <w:pPr>
        <w:pStyle w:val="PR1"/>
        <w:numPr>
          <w:ilvl w:val="4"/>
          <w:numId w:val="1"/>
        </w:numPr>
        <w:rPr/>
      </w:pPr>
      <w:r>
        <w:rPr/>
        <w:t>Living Product Challenge: A product framework for manufacturers examining place, water, energy, health, materials, and equity in production of materials.</w:t>
      </w:r>
    </w:p>
    <w:p>
      <w:pPr>
        <w:pStyle w:val="PR1"/>
        <w:numPr>
          <w:ilvl w:val="4"/>
          <w:numId w:val="1"/>
        </w:numPr>
        <w:rPr/>
      </w:pPr>
      <w:r>
        <w:rPr/>
        <w:t>Manufacturer Inventory: A published, complete content inventory for products.</w:t>
      </w:r>
    </w:p>
    <w:p>
      <w:pPr>
        <w:pStyle w:val="PR1"/>
        <w:numPr>
          <w:ilvl w:val="4"/>
          <w:numId w:val="1"/>
        </w:numPr>
        <w:rPr/>
      </w:pPr>
      <w:r>
        <w:rPr/>
        <w:t>Product Lens: Transparency disclosure highlighting hazard information.</w:t>
      </w:r>
    </w:p>
    <w:p>
      <w:pPr>
        <w:pStyle w:val="PR1"/>
        <w:numPr>
          <w:ilvl w:val="4"/>
          <w:numId w:val="1"/>
        </w:numPr>
        <w:rPr/>
      </w:pPr>
      <w:r>
        <w:rPr/>
        <w:t>REACH Optimization: International standard outlining hazardous substances of high concern to be avoided in material composition.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contributes to the regional value.</w:t>
      </w:r>
    </w:p>
    <w:p>
      <w:pPr>
        <w:pStyle w:val="PR1"/>
        <w:numPr>
          <w:ilvl w:val="4"/>
          <w:numId w:val="1"/>
        </w:numPr>
        <w:rPr/>
      </w:pPr>
      <w:r>
        <w:rPr/>
        <w:t>WaterSense Label: The WaterSense label from the EPA specifies water efficiency and performance.</w:t>
      </w:r>
    </w:p>
    <w:p>
      <w:pPr>
        <w:pStyle w:val="PR1"/>
        <w:numPr>
          <w:ilvl w:val="4"/>
          <w:numId w:val="1"/>
        </w:numPr>
        <w:rPr/>
      </w:pPr>
      <w:r>
        <w:rPr/>
        <w:t>Whole-Building Life-Cycle Assessment: The Life Cycle Assessment (LCA) is a methodology that evaluates the carbon and other environmental impacts of building materials over the projected lifespan of the building.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for lighting fixtures complying with PBT source reduction guidelines.</w:t>
      </w:r>
    </w:p>
    <w:p>
      <w:pPr>
        <w:pStyle w:val="PR2"/>
        <w:numPr>
          <w:ilvl w:val="5"/>
          <w:numId w:val="1"/>
        </w:numPr>
        <w:rPr/>
      </w:pPr>
      <w:r>
        <w:rPr/>
        <w:t>Documentation for pipes and paints complying with PBT source reduction guidelines.</w:t>
      </w:r>
    </w:p>
    <w:p>
      <w:pPr>
        <w:pStyle w:val="PR2"/>
        <w:numPr>
          <w:ilvl w:val="5"/>
          <w:numId w:val="1"/>
        </w:numPr>
        <w:rPr/>
      </w:pPr>
      <w:r>
        <w:rPr/>
        <w:t>Documentation for furniture and medical furnishings complying with the requirements for furnishings.</w:t>
      </w:r>
    </w:p>
    <w:p>
      <w:pPr>
        <w:pStyle w:val="PR2"/>
        <w:numPr>
          <w:ilvl w:val="5"/>
          <w:numId w:val="1"/>
        </w:numPr>
        <w:rPr/>
      </w:pPr>
      <w:r>
        <w:rPr/>
        <w:t>Documentation complying with Section 017419 "Construction Waste Management and Disposal."</w:t>
      </w:r>
    </w:p>
    <w:p>
      <w:pPr>
        <w:pStyle w:val="CMT"/>
        <w:rPr/>
      </w:pPr>
      <w:r>
        <w:rPr/>
        <w:t>First eight subparagraphs below are based on requiring all materials in a category to comply with the minimum requirements. An alternative is the budget method. If the budget method is used, add a submittal showing calculations.</w:t>
      </w:r>
    </w:p>
    <w:p>
      <w:pPr>
        <w:pStyle w:val="PR2"/>
        <w:numPr>
          <w:ilvl w:val="5"/>
          <w:numId w:val="1"/>
        </w:numPr>
        <w:rPr/>
      </w:pPr>
      <w:r>
        <w:rPr/>
        <w:t>Product data for adhesives and sealants used inside the weatherproofing system, indicating VOC content and laboratory test reports showing compliance with requirements for low-emitting materials.</w:t>
      </w:r>
    </w:p>
    <w:p>
      <w:pPr>
        <w:pStyle w:val="PR2"/>
        <w:numPr>
          <w:ilvl w:val="5"/>
          <w:numId w:val="1"/>
        </w:numPr>
        <w:rPr/>
      </w:pPr>
      <w:r>
        <w:rPr/>
        <w:t>Product data for paints and coatings used inside the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Construction Indoor Air 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a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rPr/>
      </w:pPr>
      <w:r>
        <w:rPr/>
        <w:t>IAQ Assessment:</w:t>
      </w:r>
    </w:p>
    <w:p>
      <w:pPr>
        <w:pStyle w:val="CMT"/>
        <w:rPr/>
      </w:pPr>
      <w:r>
        <w:rPr/>
        <w:t>Retain first two subparagraphs below if using building air flush-out procedures.</w:t>
      </w:r>
    </w:p>
    <w:p>
      <w:pPr>
        <w:pStyle w:val="PR3"/>
        <w:numPr>
          <w:ilvl w:val="6"/>
          <w:numId w:val="1"/>
        </w:numPr>
        <w:spacing w:before="240" w:after="0"/>
        <w:rPr/>
      </w:pPr>
      <w:r>
        <w:rPr/>
        <w:t>Signed statement describing the building air flush-out procedures, including dates when flush-out was begun and completed and statement that filtration media was replaced after flush-out.</w:t>
      </w:r>
    </w:p>
    <w:p>
      <w:pPr>
        <w:pStyle w:val="PR3"/>
        <w:numPr>
          <w:ilvl w:val="6"/>
          <w:numId w:val="1"/>
        </w:numPr>
        <w:rPr/>
      </w:pPr>
      <w:r>
        <w:rPr/>
        <w:t>Product data for filtration media used during flush-out and occupancy.</w:t>
      </w:r>
    </w:p>
    <w:p>
      <w:pPr>
        <w:pStyle w:val="CMT"/>
        <w:rPr/>
      </w:pPr>
      <w:r>
        <w:rPr/>
        <w:t>Retain subparagraph below if using Contractor-engaged IAQ testing.</w:t>
      </w:r>
    </w:p>
    <w:p>
      <w:pPr>
        <w:pStyle w:val="PR3"/>
        <w:numPr>
          <w:ilvl w:val="6"/>
          <w:numId w:val="1"/>
        </w:numPr>
        <w:rPr/>
      </w:pPr>
      <w:r>
        <w:rPr/>
        <w:t>Report from testing and inspecting agency indicating results of IAQ testing and documentation showing compliance with IAQ testing procedures and requirements.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rPr/>
      </w:pPr>
      <w:r>
        <w:rPr/>
        <w:t>Provide products and procedures necessary to obtain LEED credits indicated as Contractor's responsibility. Although other Sections may specify some requirements that contribute to these LEED credits, Contractor provides additional materials and procedures necessary to obtain LEED credits indicated.</w:t>
      </w:r>
    </w:p>
    <w:p>
      <w:pPr>
        <w:pStyle w:val="PR1"/>
        <w:numPr>
          <w:ilvl w:val="4"/>
          <w:numId w:val="1"/>
        </w:numPr>
        <w:rPr/>
      </w:pPr>
      <w:r>
        <w:rPr/>
        <w:t>At least 20 different products from at least five different manufacturers have EPDs that comply with LEED requirements. Product-specific Type III EPDs are valued as one and one-half of a product.</w:t>
      </w:r>
    </w:p>
    <w:p>
      <w:pPr>
        <w:pStyle w:val="PR1"/>
        <w:numPr>
          <w:ilvl w:val="4"/>
          <w:numId w:val="1"/>
        </w:numPr>
        <w:rPr/>
      </w:pPr>
      <w:r>
        <w:rPr/>
        <w:t>At least 10 percent, by cost, of permanently installed products for Project comply with LEED requirements for multi-attribute optimization.</w:t>
      </w:r>
    </w:p>
    <w:p>
      <w:pPr>
        <w:pStyle w:val="PR1"/>
        <w:numPr>
          <w:ilvl w:val="4"/>
          <w:numId w:val="1"/>
        </w:numPr>
        <w:rPr/>
      </w:pPr>
      <w:r>
        <w:rPr/>
        <w:t>At least 20 different products from at least five different manufacturers have publically released reports that comply with LEED requirements for sourcing of raw materials.</w:t>
      </w:r>
    </w:p>
    <w:p>
      <w:pPr>
        <w:pStyle w:val="PR1"/>
        <w:numPr>
          <w:ilvl w:val="4"/>
          <w:numId w:val="1"/>
        </w:numPr>
        <w:rPr/>
      </w:pPr>
      <w:r>
        <w:rPr/>
        <w:t>At least 20 different products from at least five different manufacturers comply with LEED requirements for material ingredient reporting.</w:t>
      </w:r>
    </w:p>
    <w:p>
      <w:pPr>
        <w:pStyle w:val="PR1"/>
        <w:numPr>
          <w:ilvl w:val="4"/>
          <w:numId w:val="1"/>
        </w:numPr>
        <w:rPr/>
      </w:pPr>
      <w:r>
        <w:rPr/>
        <w:t>At least 10 percent, by cost, of permanently installed products for Project comply with LEED requirements for material ingredient optimization.</w:t>
      </w:r>
    </w:p>
    <w:p>
      <w:pPr>
        <w:pStyle w:val="CMT"/>
        <w:rPr/>
      </w:pPr>
      <w:r>
        <w:rPr/>
        <w:t>"Recycled Content" Paragraph below is an alternative to requiring recycled content in the Specification Sections where such products are specified.</w:t>
      </w:r>
    </w:p>
    <w:p>
      <w:pPr>
        <w:pStyle w:val="PR1"/>
        <w:numPr>
          <w:ilvl w:val="4"/>
          <w:numId w:val="1"/>
        </w:numPr>
        <w:rPr/>
      </w:pPr>
      <w:r>
        <w:rPr/>
        <w:t>Recycled Content: Building materials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rPr/>
      </w:pPr>
      <w:r>
        <w:rPr/>
        <w:t>Cost of postconsumer recycled content plus one-half of preconsumer recycled content of an item to be determined by dividing weight of postconsumer recycled content plus one-half of preconsumer recycled content in the item by total weight of the item and multiplying by cost of the item.</w:t>
      </w:r>
    </w:p>
    <w:p>
      <w:pPr>
        <w:pStyle w:val="PR2"/>
        <w:numPr>
          <w:ilvl w:val="5"/>
          <w:numId w:val="1"/>
        </w:numPr>
        <w:rPr/>
      </w:pPr>
      <w:r>
        <w:rPr/>
        <w:t>Do not include [</w:t>
      </w:r>
      <w:r>
        <w:rPr>
          <w:b/>
        </w:rPr>
        <w:t>furniture, </w:t>
      </w:r>
      <w:r>
        <w:rPr/>
        <w:t>]plumbing, mechanical and electrical components, and specialty items, such as elevators and equipment, in the calculation.</w:t>
      </w:r>
    </w:p>
    <w:p>
      <w:pPr>
        <w:pStyle w:val="ART"/>
        <w:numPr>
          <w:ilvl w:val="3"/>
          <w:numId w:val="1"/>
        </w:numPr>
        <w:ind w:hanging="0" w:left="0"/>
        <w:rPr/>
      </w:pPr>
      <w:r>
        <w:rPr/>
        <w:t>LOW-EMITTING MATERIALS</w:t>
      </w:r>
    </w:p>
    <w:p>
      <w:pPr>
        <w:pStyle w:val="CMT"/>
        <w:rPr/>
      </w:pPr>
      <w:r>
        <w:rPr/>
        <w:t>This article contains requirements applicable to EQc "Low-Emitting Materials." If retaining this article, coordinate with Sections where relevant products are specified to avoid conflicting requirements in those Sections.</w:t>
      </w:r>
    </w:p>
    <w:p>
      <w:pPr>
        <w:pStyle w:val="PR1"/>
        <w:numPr>
          <w:ilvl w:val="4"/>
          <w:numId w:val="1"/>
        </w:numPr>
        <w:rPr/>
      </w:pPr>
      <w:r>
        <w:rPr/>
        <w:t>Paints and Coatings: For field applications,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the requirement to install products in accordance with manufacturer's written instructions. For this reason, it is probably best to retain "Adhesives and Sealants" Paragraph below if this credit is required.</w:t>
      </w:r>
    </w:p>
    <w:p>
      <w:pPr>
        <w:pStyle w:val="PR1"/>
        <w:numPr>
          <w:ilvl w:val="4"/>
          <w:numId w:val="1"/>
        </w:numPr>
        <w:rPr/>
      </w:pPr>
      <w:r>
        <w:rPr/>
        <w:t>Adhesives and Sealants: For field applications,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and foamed-in-place, loose-fill, blown, and sprayed insulation. HVAC duct and plumbing piping insulation are excluded.</w:t>
      </w:r>
    </w:p>
    <w:p>
      <w:pPr>
        <w:pStyle w:val="PR1"/>
        <w:numPr>
          <w:ilvl w:val="4"/>
          <w:numId w:val="1"/>
        </w:numPr>
        <w:rPr/>
      </w:pPr>
      <w:r>
        <w:rPr/>
        <w:t>Furniture: A minimum of 75 percent of furniture meets the furniture emissions evaluation or inherently non-emitting sources or salvaged and reused materials criteria. All standalone furniture is included.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 AIR 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ART"/>
        <w:numPr>
          <w:ilvl w:val="3"/>
          <w:numId w:val="1"/>
        </w:numPr>
        <w:ind w:hanging="0" w:left="0"/>
        <w:rPr/>
      </w:pPr>
      <w:r>
        <w:rPr/>
        <w:t>INDOOR AIR QUALITY (IAQ)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ventilated at a minimum rate of </w:t>
      </w:r>
      <w:r>
        <w:rPr>
          <w:rStyle w:val="IP"/>
        </w:rPr>
        <w:t>0.30 cfm per sq. ft.</w:t>
      </w:r>
      <w:r>
        <w:rPr>
          <w:rStyle w:val="SI"/>
        </w:rPr>
        <w:t xml:space="preserve"> (1.52 L/s per sq. m)</w:t>
      </w:r>
      <w:r>
        <w:rPr/>
        <w:t xml:space="preserve"> of outside air or the design minimum outside-air rate prerequisite, whichever is greater. During each day of the flush-out period, ventilation begins a minimum of three hours prior to occupancy and continues during occupancy. These conditions are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rPr/>
      </w:pPr>
      <w:r>
        <w:rPr/>
        <w:t>Conduct baseline IAQ testing, after construction ends and prior to occupancy, using testing protocols consistent with the EPA's "Compendium of Methods for the Determination of Air Pollutants in Indoor Air," and as additionally detailed in USGBC's "LEED v4.1 Reference Guide for Building Design and Construction."</w:t>
      </w:r>
    </w:p>
    <w:p>
      <w:pPr>
        <w:pStyle w:val="PR2"/>
        <w:numPr>
          <w:ilvl w:val="5"/>
          <w:numId w:val="1"/>
        </w:numPr>
        <w:rPr/>
      </w:pPr>
      <w:r>
        <w:rPr/>
        <w:t>Demonstrate that contaminant maximum concentrations listed below are not exceeded:</w:t>
      </w:r>
    </w:p>
    <w:p>
      <w:pPr>
        <w:pStyle w:val="CMT"/>
        <w:rPr/>
      </w:pPr>
      <w:r>
        <w:rPr/>
        <w:t>Note that it may be necessary to comply with all requirements in EQc "Indoor Air Quality Assessment" to comply with limits specified in 16 subparagraphs below.</w:t>
      </w:r>
    </w:p>
    <w:p>
      <w:pPr>
        <w:pStyle w:val="PR3"/>
        <w:numPr>
          <w:ilvl w:val="6"/>
          <w:numId w:val="1"/>
        </w:numPr>
        <w:spacing w:before="240" w:after="0"/>
        <w:rPr/>
      </w:pPr>
      <w:r>
        <w:rPr/>
        <w:t>Carbon Monoxide: 9 ppm and no greater than 2 ppm above outdoor levels.</w:t>
      </w:r>
    </w:p>
    <w:p>
      <w:pPr>
        <w:pStyle w:val="PR3"/>
        <w:numPr>
          <w:ilvl w:val="6"/>
          <w:numId w:val="1"/>
        </w:numPr>
        <w:rPr/>
      </w:pPr>
      <w:r>
        <w:rPr/>
        <w:t>Particulates (PM10): 20 mcg/cu. m.</w:t>
      </w:r>
    </w:p>
    <w:p>
      <w:pPr>
        <w:pStyle w:val="PR3"/>
        <w:numPr>
          <w:ilvl w:val="6"/>
          <w:numId w:val="1"/>
        </w:numPr>
        <w:rPr/>
      </w:pPr>
      <w:r>
        <w:rPr/>
        <w:t>Particulates (PM2.5): 12 mcg/cu. m.</w:t>
      </w:r>
    </w:p>
    <w:p>
      <w:pPr>
        <w:pStyle w:val="PR3"/>
        <w:numPr>
          <w:ilvl w:val="6"/>
          <w:numId w:val="1"/>
        </w:numPr>
        <w:rPr/>
      </w:pPr>
      <w:r>
        <w:rPr/>
        <w:t>Ozone: 0.075 ppm, in accordance with ASTM D5149.</w:t>
      </w:r>
    </w:p>
    <w:p>
      <w:pPr>
        <w:pStyle w:val="PR3"/>
        <w:numPr>
          <w:ilvl w:val="6"/>
          <w:numId w:val="1"/>
        </w:numPr>
        <w:rPr/>
      </w:pPr>
      <w:r>
        <w:rPr/>
        <w:t>Formaldehyde (50-00-0): 20 mcg/cu. m.; 16 ppb.</w:t>
      </w:r>
    </w:p>
    <w:p>
      <w:pPr>
        <w:pStyle w:val="PR3"/>
        <w:numPr>
          <w:ilvl w:val="6"/>
          <w:numId w:val="1"/>
        </w:numPr>
        <w:rPr/>
      </w:pPr>
      <w:r>
        <w:rPr/>
        <w:t>Acetaldehyde (75-07-0): 140 mcg/cu. m.</w:t>
      </w:r>
    </w:p>
    <w:p>
      <w:pPr>
        <w:pStyle w:val="PR3"/>
        <w:numPr>
          <w:ilvl w:val="6"/>
          <w:numId w:val="1"/>
        </w:numPr>
        <w:rPr/>
      </w:pPr>
      <w:r>
        <w:rPr/>
        <w:t>Benzene (71-43-2): 3 mcg/cu. m.</w:t>
      </w:r>
    </w:p>
    <w:p>
      <w:pPr>
        <w:pStyle w:val="PR3"/>
        <w:numPr>
          <w:ilvl w:val="6"/>
          <w:numId w:val="1"/>
        </w:numPr>
        <w:rPr/>
      </w:pPr>
      <w:r>
        <w:rPr/>
        <w:t>Hexane (n-; 110-54-3): 7000 mcg/cu. m.</w:t>
      </w:r>
    </w:p>
    <w:p>
      <w:pPr>
        <w:pStyle w:val="PR3"/>
        <w:numPr>
          <w:ilvl w:val="6"/>
          <w:numId w:val="1"/>
        </w:numPr>
        <w:rPr/>
      </w:pPr>
      <w:r>
        <w:rPr/>
        <w:t>Naphthalene (91-20-3): 9 mcg/cu. m.</w:t>
      </w:r>
    </w:p>
    <w:p>
      <w:pPr>
        <w:pStyle w:val="PR3"/>
        <w:numPr>
          <w:ilvl w:val="6"/>
          <w:numId w:val="1"/>
        </w:numPr>
        <w:rPr/>
      </w:pPr>
      <w:r>
        <w:rPr/>
        <w:t>Phenol (108-95-2): 200 mcg/cu. m.</w:t>
      </w:r>
    </w:p>
    <w:p>
      <w:pPr>
        <w:pStyle w:val="PR3"/>
        <w:numPr>
          <w:ilvl w:val="6"/>
          <w:numId w:val="1"/>
        </w:numPr>
        <w:rPr/>
      </w:pPr>
      <w:r>
        <w:rPr/>
        <w:t>Styrene (100-42-5): 900 mcg/cu. m.</w:t>
      </w:r>
    </w:p>
    <w:p>
      <w:pPr>
        <w:pStyle w:val="PR3"/>
        <w:numPr>
          <w:ilvl w:val="6"/>
          <w:numId w:val="1"/>
        </w:numPr>
        <w:rPr/>
      </w:pPr>
      <w:r>
        <w:rPr/>
        <w:t>Tetrachloroethylene (127-18-4): 35 mcg/cu. m.</w:t>
      </w:r>
    </w:p>
    <w:p>
      <w:pPr>
        <w:pStyle w:val="PR3"/>
        <w:numPr>
          <w:ilvl w:val="6"/>
          <w:numId w:val="1"/>
        </w:numPr>
        <w:rPr/>
      </w:pPr>
      <w:r>
        <w:rPr/>
        <w:t>Toluene (108-88-3): 300 mcg/cu. m.</w:t>
      </w:r>
    </w:p>
    <w:p>
      <w:pPr>
        <w:pStyle w:val="PR3"/>
        <w:numPr>
          <w:ilvl w:val="6"/>
          <w:numId w:val="1"/>
        </w:numPr>
        <w:rPr/>
      </w:pPr>
      <w:r>
        <w:rPr/>
        <w:t>Vinyl Acetate (108-05-4): 200 mcg/cu. m.</w:t>
      </w:r>
    </w:p>
    <w:p>
      <w:pPr>
        <w:pStyle w:val="PR3"/>
        <w:numPr>
          <w:ilvl w:val="6"/>
          <w:numId w:val="1"/>
        </w:numPr>
        <w:rPr/>
      </w:pPr>
      <w:r>
        <w:rPr/>
        <w:t>Dichlorobenzene (1, 4-; 106-46-7): 800 mcg/cu. m.</w:t>
      </w:r>
    </w:p>
    <w:p>
      <w:pPr>
        <w:pStyle w:val="PR3"/>
        <w:numPr>
          <w:ilvl w:val="6"/>
          <w:numId w:val="1"/>
        </w:numPr>
        <w:rPr/>
      </w:pPr>
      <w:r>
        <w:rPr/>
        <w:t>Xylenes - Total (108-38-3; 95-47-6; 106-42-3): 700 mcg/cu. m.</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requirements have been met.</w:t>
      </w:r>
    </w:p>
    <w:p>
      <w:pPr>
        <w:pStyle w:val="PR2"/>
        <w:numPr>
          <w:ilvl w:val="5"/>
          <w:numId w:val="1"/>
        </w:numPr>
        <w:rPr/>
      </w:pPr>
      <w:r>
        <w:rPr/>
        <w:t>Air-sample testing to be conducted as follows:</w:t>
      </w:r>
    </w:p>
    <w:p>
      <w:pPr>
        <w:pStyle w:val="PR3"/>
        <w:numPr>
          <w:ilvl w:val="6"/>
          <w:numId w:val="1"/>
        </w:numPr>
        <w:spacing w:before="240" w:after="0"/>
        <w:rPr/>
      </w:pPr>
      <w:r>
        <w:rPr/>
        <w:t>All measurements to be conducted prior to occupancy but during normal occupied hours, and with building ventilation system starting at the normal daily start time and operated at the minimum outside-airflow rate for the occupied mode throughout the duration of the air testing.</w:t>
      </w:r>
    </w:p>
    <w:p>
      <w:pPr>
        <w:pStyle w:val="PR3"/>
        <w:numPr>
          <w:ilvl w:val="6"/>
          <w:numId w:val="1"/>
        </w:numPr>
        <w:rPr/>
      </w:pPr>
      <w:r>
        <w:rPr/>
        <w:t>Building to have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rPr/>
      </w:pPr>
      <w:r>
        <w:rPr/>
        <w:t xml:space="preserve">Number of sampling locations varies depending on the size of building and number of ventilation systems. For each portion of building served by a separate ventilation system, the number of sampling points to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rPr/>
      </w:pPr>
      <w:r>
        <w:rPr/>
        <w:t xml:space="preserve">Air samples to be collected between </w:t>
      </w:r>
      <w:r>
        <w:rPr>
          <w:rStyle w:val="IP"/>
        </w:rPr>
        <w:t>3 and 6 ft.</w:t>
      </w:r>
      <w:r>
        <w:rPr>
          <w:rStyle w:val="SI"/>
        </w:rPr>
        <w:t xml:space="preserve"> (0.9 and 1.8 m)</w:t>
      </w:r>
      <w:r>
        <w:rPr/>
        <w:t xml:space="preserve"> from the floor to represent the breathing zone of occupants, and over a minimum four-hour period.</w:t>
      </w:r>
    </w:p>
    <w:p>
      <w:pPr>
        <w:pStyle w:val="EOS"/>
        <w:rPr/>
      </w:pPr>
      <w:r>
        <w:rPr/>
        <w:t>END OF SECTION 018113.26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BD+C: HEALTHCARE</w:t>
          </w:r>
        </w:p>
      </w:tc>
      <w:tc>
        <w:tcPr>
          <w:tcW w:w="1872" w:type="dxa"/>
          <w:tcBorders/>
        </w:tcPr>
        <w:p>
          <w:pPr>
            <w:pStyle w:val="RJUST"/>
            <w:rPr/>
          </w:pPr>
          <w:r>
            <w:rPr>
              <w:rStyle w:val="NUM"/>
            </w:rPr>
            <w:t>018113.26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1811326"/>
    <w:docVar w:name="MF95" w:val="01375"/>
    <w:docVar w:name="MFOrigin" w:val="MF04"/>
    <w:docVar w:name="SpecType" w:val="MasterSpec"/>
    <w:docVar w:name="Version" w:val="1585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6&amp;ver=12-01-20&amp;format=FL&amp;sid=1585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2022-09-26T01:32:00Z</dcterms:created>
  <dc:creator>Deltek, Inc.</dc:creator>
  <dc:description/>
  <cp:keywords>BAS-12345-MS80</cp:keywords>
  <dc:language>zh-CN</dc:language>
  <cp:lastModifiedBy>Janice Nacional</cp:lastModifiedBy>
  <dcterms:modified xsi:type="dcterms:W3CDTF">2022-09-26T01:32:00Z</dcterms:modified>
  <cp:revision>2</cp:revision>
  <dc:subject>SUSTAINABLE DESIGN REQUIREMENTS - LEED v4.1 BD+C: HEALTHCARE</dc:subject>
  <dc:title>SECTION 018113.26 - SUSTAINABLE DESIGN REQUIREMENTS - LEED v4.1 BD+C: HEALTHCARE</dc:title>
</cp:coreProperties>
</file>