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018113.33</w:t>
      </w:r>
      <w:r>
        <w:rPr/>
        <w:t xml:space="preserve"> - </w:t>
      </w:r>
      <w:r>
        <w:rPr>
          <w:rStyle w:val="NAM"/>
        </w:rPr>
        <w:t>SUSTAINABLE DESIGN REQUIREMENTS - IgCC/ASHRAE 189.1</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certain International Green Construction Code powered by ASHRAE 189.1 (IgCC/ASHRAE 189.1) requirements.</w:t>
      </w:r>
    </w:p>
    <w:p>
      <w:pPr>
        <w:pStyle w:val="PR2"/>
        <w:numPr>
          <w:ilvl w:val="5"/>
          <w:numId w:val="1"/>
        </w:numPr>
        <w:spacing w:before="240" w:after="0"/>
        <w:rPr/>
      </w:pPr>
      <w:r>
        <w:rPr/>
        <w:t>Other IgCC/ASHRAE 1891 requirements depend on product selections and may not be specifically identified as IgCC/ASHRAE 189.1 requirements. Compliance with IgCC/ASHRAE 189.1 requirements will be used as one criterion to evaluate substitution requests and comparable product requests.</w:t>
      </w:r>
    </w:p>
    <w:p>
      <w:pPr>
        <w:pStyle w:val="PR2"/>
        <w:numPr>
          <w:ilvl w:val="5"/>
          <w:numId w:val="1"/>
        </w:numPr>
        <w:rPr/>
      </w:pPr>
      <w:r>
        <w:rPr/>
        <w:t>Specific IgCC/ASHRAE 189.1 requirements are also included in other Sections.</w:t>
      </w:r>
    </w:p>
    <w:p>
      <w:pPr>
        <w:pStyle w:val="ART"/>
        <w:numPr>
          <w:ilvl w:val="3"/>
          <w:numId w:val="1"/>
        </w:numPr>
        <w:ind w:hanging="0" w:left="0"/>
        <w:rPr/>
      </w:pPr>
      <w:r>
        <w:rPr/>
        <w:t>DEFINITIONS</w:t>
      </w:r>
    </w:p>
    <w:p>
      <w:pPr>
        <w:pStyle w:val="PR1"/>
        <w:numPr>
          <w:ilvl w:val="4"/>
          <w:numId w:val="1"/>
        </w:numPr>
        <w:rPr/>
      </w:pPr>
      <w:r>
        <w:rPr/>
        <w:t>IgCC/ASHRAE 189.1: International Green Construction Code powered by ASHRAE 189.1.</w:t>
      </w:r>
    </w:p>
    <w:p>
      <w:pPr>
        <w:pStyle w:val="PR2"/>
        <w:numPr>
          <w:ilvl w:val="5"/>
          <w:numId w:val="1"/>
        </w:numPr>
        <w:spacing w:before="240" w:after="0"/>
        <w:rPr/>
      </w:pPr>
      <w:r>
        <w:rPr/>
        <w:t>Definitions that are a part of the IgCC/ASHRAE 189.1 apply to this Section.</w:t>
      </w:r>
    </w:p>
    <w:p>
      <w:pPr>
        <w:pStyle w:val="PR1"/>
        <w:numPr>
          <w:ilvl w:val="4"/>
          <w:numId w:val="1"/>
        </w:numPr>
        <w:rPr/>
      </w:pPr>
      <w:r>
        <w:rPr/>
        <w:t>Recycled Content: Building product recycled content is determined as postconsumer content plus one half preconsumer recycled content, based on weight. The recycled fraction is then multiplied by the cost of the product or assembly.</w:t>
      </w:r>
    </w:p>
    <w:p>
      <w:pPr>
        <w:pStyle w:val="PR1"/>
        <w:numPr>
          <w:ilvl w:val="4"/>
          <w:numId w:val="1"/>
        </w:numPr>
        <w:rPr/>
      </w:pPr>
      <w:r>
        <w:rPr/>
        <w:t>Salvaged Material Content: Building product salvaged content is determined by the actual cost of the salvaged material or the cost of a comparable alternative component material.</w:t>
      </w:r>
    </w:p>
    <w:p>
      <w:pPr>
        <w:pStyle w:val="PR1"/>
        <w:numPr>
          <w:ilvl w:val="4"/>
          <w:numId w:val="1"/>
        </w:numPr>
        <w:rPr/>
      </w:pPr>
      <w:r>
        <w:rPr/>
        <w:t>Recyclable Building Materials and Building Components: Materials and components that can be recycled into the same or another material with a recovery rate of not less than 50 percent or that are recyclable through an established, nationally available, closed-loop manufacturer's take-back program.</w:t>
      </w:r>
    </w:p>
    <w:p>
      <w:pPr>
        <w:pStyle w:val="PR1"/>
        <w:numPr>
          <w:ilvl w:val="4"/>
          <w:numId w:val="1"/>
        </w:numPr>
        <w:rPr/>
      </w:pPr>
      <w:r>
        <w:rPr/>
        <w:t>Bio-Based Materials: Building products that meet one of the following requirements:</w:t>
      </w:r>
    </w:p>
    <w:p>
      <w:pPr>
        <w:pStyle w:val="PR2"/>
        <w:numPr>
          <w:ilvl w:val="5"/>
          <w:numId w:val="1"/>
        </w:numPr>
        <w:spacing w:before="240" w:after="0"/>
        <w:rPr/>
      </w:pPr>
      <w:r>
        <w:rPr/>
        <w:t>Materials that comply with the minimum biobased contents of the USDA's BioPreferred Program.</w:t>
      </w:r>
    </w:p>
    <w:p>
      <w:pPr>
        <w:pStyle w:val="PR2"/>
        <w:numPr>
          <w:ilvl w:val="5"/>
          <w:numId w:val="1"/>
        </w:numPr>
        <w:rPr/>
      </w:pPr>
      <w:r>
        <w:rPr/>
        <w:t>Materials that contain the USDA-certified Biobased Product label.</w:t>
      </w:r>
    </w:p>
    <w:p>
      <w:pPr>
        <w:pStyle w:val="PR2"/>
        <w:numPr>
          <w:ilvl w:val="5"/>
          <w:numId w:val="1"/>
        </w:numPr>
        <w:rPr/>
      </w:pPr>
      <w:r>
        <w:rPr/>
        <w:t>Materials composed of solid wood, engineered wood, bamboo, wool, cotton, cork, agricultural fibers, or other biobased materials with at least 50% bio-based content.</w:t>
      </w:r>
    </w:p>
    <w:p>
      <w:pPr>
        <w:pStyle w:val="PR2"/>
        <w:numPr>
          <w:ilvl w:val="5"/>
          <w:numId w:val="1"/>
        </w:numPr>
        <w:rPr/>
      </w:pPr>
      <w:r>
        <w:rPr/>
        <w:t>Wood and wood products that contain not less than 60% wood content tracked by a chain-of-custody process and documented and certified in accordance with principles, standards, and criteria developed using ISO/IEC Guide 59 or the WTO Agreement on Technical Barriers to Trade.</w:t>
      </w:r>
    </w:p>
    <w:p>
      <w:pPr>
        <w:pStyle w:val="PR1"/>
        <w:numPr>
          <w:ilvl w:val="4"/>
          <w:numId w:val="1"/>
        </w:numPr>
        <w:rPr/>
      </w:pPr>
      <w:r>
        <w:rPr/>
        <w:t xml:space="preserve">Regional Materials: Building materials that are composed of materials and products that are manufactured within </w:t>
      </w:r>
      <w:r>
        <w:rPr>
          <w:rStyle w:val="IP"/>
        </w:rPr>
        <w:t>500 miles</w:t>
      </w:r>
      <w:r>
        <w:rPr>
          <w:rStyle w:val="SI"/>
        </w:rPr>
        <w:t xml:space="preserve"> (800 km)</w:t>
      </w:r>
      <w:r>
        <w:rPr/>
        <w:t xml:space="preserve"> of Project site from materials that have been extracted, harvested, or recovered, as well as manufactured, within </w:t>
      </w:r>
      <w:r>
        <w:rPr>
          <w:rStyle w:val="IP"/>
        </w:rPr>
        <w:t>500 miles</w:t>
      </w:r>
      <w:r>
        <w:rPr>
          <w:rStyle w:val="SI"/>
        </w:rPr>
        <w:t xml:space="preserve"> (800 km)</w:t>
      </w:r>
      <w:r>
        <w:rPr/>
        <w:t xml:space="preserve"> of Project site. If materials are transported by rail or water, multiply the distance transported by rail or water by 0.25 to determine the distance to the Project site. If only a portion of a material or product complies with this requirement, only that portion contributes to regional compliance.</w:t>
      </w:r>
    </w:p>
    <w:p>
      <w:pPr>
        <w:pStyle w:val="PR1"/>
        <w:numPr>
          <w:ilvl w:val="4"/>
          <w:numId w:val="1"/>
        </w:numPr>
        <w:rPr/>
      </w:pPr>
      <w:r>
        <w:rPr/>
        <w:t>Multiple-Attribute Product Declaration or Certification: A minimum of 10 different products installed in the Project comply with one of the following:</w:t>
      </w:r>
    </w:p>
    <w:p>
      <w:pPr>
        <w:pStyle w:val="PR2"/>
        <w:numPr>
          <w:ilvl w:val="5"/>
          <w:numId w:val="1"/>
        </w:numPr>
        <w:spacing w:before="240" w:after="0"/>
        <w:rPr/>
      </w:pPr>
      <w:r>
        <w:rPr/>
        <w:t>Type III Industry-Wide Environmental Product Declaration consistent with ISO 14025 and ISO 21930 and minimum cradle-to-gate scope.</w:t>
      </w:r>
    </w:p>
    <w:p>
      <w:pPr>
        <w:pStyle w:val="PR2"/>
        <w:numPr>
          <w:ilvl w:val="5"/>
          <w:numId w:val="1"/>
        </w:numPr>
        <w:rPr/>
      </w:pPr>
      <w:r>
        <w:rPr/>
        <w:t>Type III Product-Specific Environmental Product Declaration complying with the goal and scope for the cradle-to-gate requirements in accordance with ISO 14025 and ISO 21930.</w:t>
      </w:r>
    </w:p>
    <w:p>
      <w:pPr>
        <w:pStyle w:val="PR2"/>
        <w:numPr>
          <w:ilvl w:val="5"/>
          <w:numId w:val="1"/>
        </w:numPr>
        <w:rPr/>
      </w:pPr>
      <w:r>
        <w:rPr/>
        <w:t>Material-Specific Third-Party Multi-Attribute Certification in Accordance with One of the Following Standards:</w:t>
      </w:r>
    </w:p>
    <w:p>
      <w:pPr>
        <w:pStyle w:val="PR3"/>
        <w:numPr>
          <w:ilvl w:val="6"/>
          <w:numId w:val="1"/>
        </w:numPr>
        <w:spacing w:before="240" w:after="0"/>
        <w:rPr/>
      </w:pPr>
      <w:r>
        <w:rPr/>
        <w:t>NSF/BIFMA E3.</w:t>
      </w:r>
    </w:p>
    <w:p>
      <w:pPr>
        <w:pStyle w:val="PR3"/>
        <w:numPr>
          <w:ilvl w:val="6"/>
          <w:numId w:val="1"/>
        </w:numPr>
        <w:rPr/>
      </w:pPr>
      <w:r>
        <w:rPr/>
        <w:t>NSF/ANSI 140.</w:t>
      </w:r>
    </w:p>
    <w:p>
      <w:pPr>
        <w:pStyle w:val="PR3"/>
        <w:numPr>
          <w:ilvl w:val="6"/>
          <w:numId w:val="1"/>
        </w:numPr>
        <w:rPr/>
      </w:pPr>
      <w:r>
        <w:rPr/>
        <w:t>NSF/ANSI 332.</w:t>
      </w:r>
    </w:p>
    <w:p>
      <w:pPr>
        <w:pStyle w:val="PR3"/>
        <w:numPr>
          <w:ilvl w:val="6"/>
          <w:numId w:val="1"/>
        </w:numPr>
        <w:rPr/>
      </w:pPr>
      <w:r>
        <w:rPr/>
        <w:t>NSF/ANSI 336.</w:t>
      </w:r>
    </w:p>
    <w:p>
      <w:pPr>
        <w:pStyle w:val="PR3"/>
        <w:numPr>
          <w:ilvl w:val="6"/>
          <w:numId w:val="1"/>
        </w:numPr>
        <w:rPr/>
      </w:pPr>
      <w:r>
        <w:rPr/>
        <w:t>NSF/ANSI 342.</w:t>
      </w:r>
    </w:p>
    <w:p>
      <w:pPr>
        <w:pStyle w:val="PR3"/>
        <w:numPr>
          <w:ilvl w:val="6"/>
          <w:numId w:val="1"/>
        </w:numPr>
        <w:rPr/>
      </w:pPr>
      <w:r>
        <w:rPr/>
        <w:t>NSF/ANSI 347.</w:t>
      </w:r>
    </w:p>
    <w:p>
      <w:pPr>
        <w:pStyle w:val="PR3"/>
        <w:numPr>
          <w:ilvl w:val="6"/>
          <w:numId w:val="1"/>
        </w:numPr>
        <w:rPr/>
      </w:pPr>
      <w:r>
        <w:rPr/>
        <w:t>NSC/ANSI 373.</w:t>
      </w:r>
    </w:p>
    <w:p>
      <w:pPr>
        <w:pStyle w:val="PR3"/>
        <w:numPr>
          <w:ilvl w:val="6"/>
          <w:numId w:val="1"/>
        </w:numPr>
        <w:rPr/>
      </w:pPr>
      <w:r>
        <w:rPr/>
        <w:t>ANSI A138.1.</w:t>
      </w:r>
    </w:p>
    <w:p>
      <w:pPr>
        <w:pStyle w:val="PR3"/>
        <w:numPr>
          <w:ilvl w:val="6"/>
          <w:numId w:val="1"/>
        </w:numPr>
        <w:rPr/>
      </w:pPr>
      <w:r>
        <w:rPr/>
        <w:t>UL 100.</w:t>
      </w:r>
    </w:p>
    <w:p>
      <w:pPr>
        <w:pStyle w:val="PR3"/>
        <w:numPr>
          <w:ilvl w:val="6"/>
          <w:numId w:val="1"/>
        </w:numPr>
        <w:rPr/>
      </w:pPr>
      <w:r>
        <w:rPr/>
        <w:t>UL 102.</w:t>
      </w:r>
    </w:p>
    <w:p>
      <w:pPr>
        <w:pStyle w:val="PR2"/>
        <w:numPr>
          <w:ilvl w:val="5"/>
          <w:numId w:val="1"/>
        </w:numPr>
        <w:spacing w:before="240" w:after="0"/>
        <w:rPr/>
      </w:pPr>
      <w:r>
        <w:rPr/>
        <w:t>Third-party critical review of product life-cycle assessment in compliance with ISO 14040 and ISO 14044.</w:t>
      </w:r>
    </w:p>
    <w:p>
      <w:pPr>
        <w:pStyle w:val="PR1"/>
        <w:numPr>
          <w:ilvl w:val="4"/>
          <w:numId w:val="1"/>
        </w:numPr>
        <w:rPr/>
      </w:pPr>
      <w:r>
        <w:rPr/>
        <w:t>Performance Option: Perform life-cycle assessment in accordance with ASTM E2921 and ISO 14044.</w:t>
      </w:r>
    </w:p>
    <w:p>
      <w:pPr>
        <w:pStyle w:val="ART"/>
        <w:numPr>
          <w:ilvl w:val="3"/>
          <w:numId w:val="1"/>
        </w:numPr>
        <w:ind w:hanging="0" w:left="0"/>
        <w:rPr/>
      </w:pPr>
      <w:r>
        <w:rPr/>
        <w:t>PREINSTALLATION MEETINGS</w:t>
      </w:r>
    </w:p>
    <w:p>
      <w:pPr>
        <w:pStyle w:val="PR1"/>
        <w:numPr>
          <w:ilvl w:val="4"/>
          <w:numId w:val="1"/>
        </w:numPr>
        <w:rPr/>
      </w:pPr>
      <w:r>
        <w:rPr/>
        <w:t>Preinstallation Conference: Conduct conference at [</w:t>
      </w:r>
      <w:r>
        <w:rPr>
          <w:b/>
        </w:rPr>
        <w:t>Project site</w:t>
      </w:r>
      <w:r>
        <w:rPr/>
        <w:t>] &lt;</w:t>
      </w:r>
      <w:r>
        <w:rPr>
          <w:b/>
        </w:rPr>
        <w:t>Insert location</w:t>
      </w:r>
      <w:r>
        <w:rPr/>
        <w:t>&gt;. Review IgCC/ASHRAE 189.1 requirements and action plans for meeting requirements.</w:t>
      </w:r>
    </w:p>
    <w:p>
      <w:pPr>
        <w:pStyle w:val="ART"/>
        <w:numPr>
          <w:ilvl w:val="3"/>
          <w:numId w:val="1"/>
        </w:numPr>
        <w:ind w:hanging="0" w:left="0"/>
        <w:rPr/>
      </w:pPr>
      <w:r>
        <w:rPr/>
        <w:t>ADMINISTRATIVE REQUIREMENTS</w:t>
      </w:r>
    </w:p>
    <w:p>
      <w:pPr>
        <w:pStyle w:val="PR1"/>
        <w:numPr>
          <w:ilvl w:val="4"/>
          <w:numId w:val="1"/>
        </w:numPr>
        <w:rPr/>
      </w:pPr>
      <w:r>
        <w:rPr/>
        <w:t>Respond to questions and requests from Architect regarding IgCC/ASHRAE 189.1 requirements that are the responsibility of the Contractor, that depend on product selection or product qualities, or that depend on Contractor's procedures. Document responses as informational submittals.</w:t>
      </w:r>
    </w:p>
    <w:p>
      <w:pPr>
        <w:pStyle w:val="ART"/>
        <w:numPr>
          <w:ilvl w:val="3"/>
          <w:numId w:val="1"/>
        </w:numPr>
        <w:ind w:hanging="0" w:left="0"/>
        <w:rPr/>
      </w:pPr>
      <w:r>
        <w:rPr/>
        <w:t>ACTION SUBMITTALS</w:t>
      </w:r>
    </w:p>
    <w:p>
      <w:pPr>
        <w:pStyle w:val="PR1"/>
        <w:numPr>
          <w:ilvl w:val="4"/>
          <w:numId w:val="1"/>
        </w:numPr>
        <w:rPr/>
      </w:pPr>
      <w:r>
        <w:rPr/>
        <w:t>General: Submit additional sustainable design submittals required by other Specification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an additional copy with other submittal as a record copy of compliance with indicated IgCC/ASHRAE 189.1 requirements instead of separate sustainable design submittal. Mark additional copy "Sustainable design submittal."</w:t>
      </w:r>
    </w:p>
    <w:p>
      <w:pPr>
        <w:pStyle w:val="CMT"/>
        <w:rPr/>
      </w:pPr>
      <w:r>
        <w:rPr/>
        <w:t>Submittals in "IgCC/ASHRAE 189.1 Documentation Submittals" Paragraph below may be necessary to verify compliance with indicated IgCC/ASHRAE 189.1 requirements. Additional submittals may be required in other Sections.</w:t>
      </w:r>
    </w:p>
    <w:p>
      <w:pPr>
        <w:pStyle w:val="PR1"/>
        <w:numPr>
          <w:ilvl w:val="4"/>
          <w:numId w:val="1"/>
        </w:numPr>
        <w:rPr/>
      </w:pPr>
      <w:r>
        <w:rPr/>
        <w:t>IgCC/ASHRAE 189.1 Documentation Submittals:</w:t>
      </w:r>
    </w:p>
    <w:p>
      <w:pPr>
        <w:pStyle w:val="PR2"/>
        <w:numPr>
          <w:ilvl w:val="5"/>
          <w:numId w:val="1"/>
        </w:numPr>
        <w:spacing w:before="240" w:after="0"/>
        <w:rPr/>
      </w:pPr>
      <w:r>
        <w:rPr/>
        <w:t>Material Selection: Product Data for salvaged, recycled, recyclable, bio-based, and regional materials showing compliance with requirements. Tabulate cost for building materials used in the Project and indicate those that are salvaged, recycled, recyclable, bio-based, or regional. Include summary of building materials tabulation, showing compliance with requirement and the following:</w:t>
      </w:r>
    </w:p>
    <w:p>
      <w:pPr>
        <w:pStyle w:val="PR3"/>
        <w:numPr>
          <w:ilvl w:val="6"/>
          <w:numId w:val="1"/>
        </w:numPr>
        <w:spacing w:before="240" w:after="0"/>
        <w:rPr/>
      </w:pPr>
      <w:r>
        <w:rPr/>
        <w:t>Receipts for salvaged materials, indicating sources and mass, volume, or cost as applicable.</w:t>
      </w:r>
    </w:p>
    <w:p>
      <w:pPr>
        <w:pStyle w:val="PR3"/>
        <w:numPr>
          <w:ilvl w:val="6"/>
          <w:numId w:val="1"/>
        </w:numPr>
        <w:rPr/>
      </w:pPr>
      <w:r>
        <w:rPr/>
        <w:t>Product Data and certification letter from product manufacturers for recyclable materials. Include statement indicating cost.</w:t>
      </w:r>
    </w:p>
    <w:p>
      <w:pPr>
        <w:pStyle w:val="PR3"/>
        <w:numPr>
          <w:ilvl w:val="6"/>
          <w:numId w:val="1"/>
        </w:numPr>
        <w:rPr/>
      </w:pPr>
      <w:r>
        <w:rPr/>
        <w:t>Product Data and certification letter from product manufacturers indicating percentage by weight of recycled content for products having recycled content. Include statement indicating cost.</w:t>
      </w:r>
    </w:p>
    <w:p>
      <w:pPr>
        <w:pStyle w:val="PR3"/>
        <w:numPr>
          <w:ilvl w:val="6"/>
          <w:numId w:val="1"/>
        </w:numPr>
        <w:rPr/>
      </w:pPr>
      <w:r>
        <w:rPr/>
        <w:t>Product Data and certification letter from product manufacturers for bio-based materials. Include chain-of-custody certificates for products containing certified wood. Include statement indicating cost.</w:t>
      </w:r>
    </w:p>
    <w:p>
      <w:pPr>
        <w:pStyle w:val="PR3"/>
        <w:numPr>
          <w:ilvl w:val="6"/>
          <w:numId w:val="1"/>
        </w:numPr>
        <w:rPr/>
      </w:pPr>
      <w:r>
        <w:rPr/>
        <w:t>Product Data for indigenous materials indicating location of material manufacturer and point of extraction, harvest, or recovery for raw materials. Include statement indicating distances from Project site, modes of transportation, and cost.</w:t>
      </w:r>
    </w:p>
    <w:p>
      <w:pPr>
        <w:pStyle w:val="PR2"/>
        <w:numPr>
          <w:ilvl w:val="5"/>
          <w:numId w:val="1"/>
        </w:numPr>
        <w:spacing w:before="240" w:after="0"/>
        <w:rPr/>
      </w:pPr>
      <w:r>
        <w:rPr/>
        <w:t>Construction Waste Management: Comply with Section 017419 "Construction Waste Management and Disposal."</w:t>
      </w:r>
    </w:p>
    <w:p>
      <w:pPr>
        <w:pStyle w:val="PR2"/>
        <w:numPr>
          <w:ilvl w:val="5"/>
          <w:numId w:val="1"/>
        </w:numPr>
        <w:rPr/>
      </w:pPr>
      <w:r>
        <w:rPr/>
        <w:t>Indoor-Air Quality (IAQ) During Construction:</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2"/>
        <w:numPr>
          <w:ilvl w:val="5"/>
          <w:numId w:val="1"/>
        </w:numPr>
        <w:spacing w:before="240" w:after="0"/>
        <w:rPr/>
      </w:pPr>
      <w:r>
        <w:rPr/>
        <w:t>Material Emissions and Pollutant Control: Product Data for the following, indicating compliance with requirements:</w:t>
      </w:r>
    </w:p>
    <w:p>
      <w:pPr>
        <w:pStyle w:val="PR3"/>
        <w:numPr>
          <w:ilvl w:val="6"/>
          <w:numId w:val="1"/>
        </w:numPr>
        <w:spacing w:before="240" w:after="0"/>
        <w:rPr/>
      </w:pPr>
      <w:r>
        <w:rPr/>
        <w:t>Composite wood products.</w:t>
      </w:r>
    </w:p>
    <w:p>
      <w:pPr>
        <w:pStyle w:val="PR3"/>
        <w:numPr>
          <w:ilvl w:val="6"/>
          <w:numId w:val="1"/>
        </w:numPr>
        <w:rPr/>
      </w:pPr>
      <w:r>
        <w:rPr/>
        <w:t>Adhesives and sealants.</w:t>
      </w:r>
    </w:p>
    <w:p>
      <w:pPr>
        <w:pStyle w:val="PR3"/>
        <w:numPr>
          <w:ilvl w:val="6"/>
          <w:numId w:val="1"/>
        </w:numPr>
        <w:rPr/>
      </w:pPr>
      <w:r>
        <w:rPr/>
        <w:t>Paints and coatings.</w:t>
      </w:r>
    </w:p>
    <w:p>
      <w:pPr>
        <w:pStyle w:val="PR3"/>
        <w:numPr>
          <w:ilvl w:val="6"/>
          <w:numId w:val="1"/>
        </w:numPr>
        <w:rPr/>
      </w:pPr>
      <w:r>
        <w:rPr/>
        <w:t>Flooring.</w:t>
      </w:r>
    </w:p>
    <w:p>
      <w:pPr>
        <w:pStyle w:val="PR3"/>
        <w:numPr>
          <w:ilvl w:val="6"/>
          <w:numId w:val="1"/>
        </w:numPr>
        <w:rPr/>
      </w:pPr>
      <w:r>
        <w:rPr/>
        <w:t>Acoustical ceilings and wall systems.</w:t>
      </w:r>
    </w:p>
    <w:p>
      <w:pPr>
        <w:pStyle w:val="PR3"/>
        <w:numPr>
          <w:ilvl w:val="6"/>
          <w:numId w:val="1"/>
        </w:numPr>
        <w:rPr/>
      </w:pPr>
      <w:r>
        <w:rPr/>
        <w:t>Insulation.</w:t>
      </w:r>
    </w:p>
    <w:p>
      <w:pPr>
        <w:pStyle w:val="ART"/>
        <w:numPr>
          <w:ilvl w:val="3"/>
          <w:numId w:val="1"/>
        </w:numPr>
        <w:ind w:hanging="0" w:left="0"/>
        <w:rPr/>
      </w:pPr>
      <w:r>
        <w:rPr/>
        <w:t>INFORMATIONAL SUBMITTALS</w:t>
      </w:r>
    </w:p>
    <w:p>
      <w:pPr>
        <w:pStyle w:val="CMT"/>
        <w:rPr/>
      </w:pPr>
      <w:r>
        <w:rPr/>
        <w:t>"Action Plans" Paragraph below requires Contractor to make early submittals, indicating how certain requirements will be met. This action can provide reassurance that Contractor understands the requirements and can help to clear up misunderstandings before they become a bigger problem.</w:t>
      </w:r>
    </w:p>
    <w:p>
      <w:pPr>
        <w:pStyle w:val="PR1"/>
        <w:numPr>
          <w:ilvl w:val="4"/>
          <w:numId w:val="1"/>
        </w:numPr>
        <w:rPr/>
      </w:pPr>
      <w:r>
        <w:rPr/>
        <w:t>Action Plans: Submit the following action plans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requirements will be met.</w:t>
      </w:r>
    </w:p>
    <w:p>
      <w:pPr>
        <w:pStyle w:val="PR2"/>
        <w:numPr>
          <w:ilvl w:val="5"/>
          <w:numId w:val="1"/>
        </w:numPr>
        <w:spacing w:before="240" w:after="0"/>
        <w:rPr/>
      </w:pPr>
      <w:r>
        <w:rPr/>
        <w:t>Material Selection Plan: List of proposed materials. Tabulate anticipated mass, volume, or cost for proposed building materials and indicate those that are used, recycled, recyclable, bio-based, or indigenous. Include summary of proposed building materials tabulation, showing compliance with requirement.</w:t>
      </w:r>
    </w:p>
    <w:p>
      <w:pPr>
        <w:pStyle w:val="PR2"/>
        <w:numPr>
          <w:ilvl w:val="5"/>
          <w:numId w:val="1"/>
        </w:numPr>
        <w:rPr/>
      </w:pPr>
      <w:r>
        <w:rPr/>
        <w:t>Waste management plan complying with Section 017419 "Construction Waste Management and Disposal."</w:t>
      </w:r>
    </w:p>
    <w:p>
      <w:pPr>
        <w:pStyle w:val="PR2"/>
        <w:numPr>
          <w:ilvl w:val="5"/>
          <w:numId w:val="1"/>
        </w:numPr>
        <w:rPr/>
      </w:pPr>
      <w:r>
        <w:rPr/>
        <w:t>Material Emissions and Pollutant Control Plan: List of proposed products. Indicate each product that complies with criteria, each product that does not, and anticipated quantities of each that will be used. Include calculations showing that percentage of noncompliant products will not exceed allowable limit.</w:t>
      </w:r>
    </w:p>
    <w:p>
      <w:pPr>
        <w:pStyle w:val="PR2"/>
        <w:numPr>
          <w:ilvl w:val="5"/>
          <w:numId w:val="1"/>
        </w:numPr>
        <w:rPr/>
      </w:pPr>
      <w:r>
        <w:rPr/>
        <w:t>Construction IAQ management plan.</w:t>
      </w:r>
    </w:p>
    <w:p>
      <w:pPr>
        <w:pStyle w:val="PR1"/>
        <w:numPr>
          <w:ilvl w:val="4"/>
          <w:numId w:val="1"/>
        </w:numPr>
        <w:rPr/>
      </w:pPr>
      <w:r>
        <w:rPr/>
        <w:t>Progress Reports: Concurrent with each Application for Payment, submit reports comparing actual construction activities with action plans.</w:t>
      </w:r>
    </w:p>
    <w:p>
      <w:pPr>
        <w:pStyle w:val="CMT"/>
        <w:rPr/>
      </w:pPr>
      <w:r>
        <w:rPr/>
        <w:t>Retain "IAQ test report" Paragraph below if using Contractor-engaged IAQ testing.</w:t>
      </w:r>
    </w:p>
    <w:p>
      <w:pPr>
        <w:pStyle w:val="PR1"/>
        <w:numPr>
          <w:ilvl w:val="4"/>
          <w:numId w:val="1"/>
        </w:numPr>
        <w:rPr/>
      </w:pPr>
      <w:r>
        <w:rPr/>
        <w:t>IAQ test report.</w:t>
      </w:r>
    </w:p>
    <w:p>
      <w:pPr>
        <w:pStyle w:val="PRT"/>
        <w:numPr>
          <w:ilvl w:val="0"/>
          <w:numId w:val="1"/>
        </w:numPr>
        <w:ind w:hanging="0" w:left="0"/>
        <w:rPr/>
      </w:pPr>
      <w:r>
        <w:rPr/>
        <w:t>PRODUCTS</w:t>
      </w:r>
    </w:p>
    <w:p>
      <w:pPr>
        <w:pStyle w:val="ART"/>
        <w:numPr>
          <w:ilvl w:val="3"/>
          <w:numId w:val="1"/>
        </w:numPr>
        <w:ind w:hanging="0" w:left="0"/>
        <w:rPr/>
      </w:pPr>
      <w:r>
        <w:rPr/>
        <w:t>MATERIALS, GENERAL</w:t>
      </w:r>
    </w:p>
    <w:p>
      <w:pPr>
        <w:pStyle w:val="CMT"/>
        <w:rPr/>
      </w:pPr>
      <w:r>
        <w:rPr/>
        <w:t>Usually, retain this article when requirements for used, recycled, recyclable, bio-based, or indigenous materials, or for VOC emissions or content, are included in technical Sections. This will help ensure that requirements for material selection and material emissions and pollutant control are met.</w:t>
      </w:r>
    </w:p>
    <w:p>
      <w:pPr>
        <w:pStyle w:val="PR1"/>
        <w:numPr>
          <w:ilvl w:val="4"/>
          <w:numId w:val="1"/>
        </w:numPr>
        <w:rPr/>
      </w:pPr>
      <w:r>
        <w:rPr/>
        <w:t>Provide products and procedures necessary to comply with requirements in this Section for material selection and for material emissions and pollutant control. Although other Sections may specify some requirements for material selection and for material emissions and pollutant control, the Contractor provides additional materials and procedures necessary to comply with requirements.</w:t>
      </w:r>
    </w:p>
    <w:p>
      <w:pPr>
        <w:pStyle w:val="ART"/>
        <w:numPr>
          <w:ilvl w:val="3"/>
          <w:numId w:val="1"/>
        </w:numPr>
        <w:ind w:hanging="0" w:left="0"/>
        <w:rPr/>
      </w:pPr>
      <w:r>
        <w:rPr/>
        <w:t>MATERIAL EMISSIONS AND POLLUTANT CONTROL</w:t>
      </w:r>
    </w:p>
    <w:p>
      <w:pPr>
        <w:pStyle w:val="PR1"/>
        <w:numPr>
          <w:ilvl w:val="4"/>
          <w:numId w:val="1"/>
        </w:numPr>
        <w:rPr/>
      </w:pPr>
      <w:r>
        <w:rPr/>
        <w:t>Composite Wood Products: Formaldehyde emission rates not greater than the following when tested according to ASTM D6007 or ASTM E1333.</w:t>
      </w:r>
    </w:p>
    <w:p>
      <w:pPr>
        <w:pStyle w:val="PR2"/>
        <w:numPr>
          <w:ilvl w:val="5"/>
          <w:numId w:val="1"/>
        </w:numPr>
        <w:spacing w:before="240" w:after="0"/>
        <w:rPr/>
      </w:pPr>
      <w:r>
        <w:rPr/>
        <w:t>Hardwood Plywood: 0.05 ppm.</w:t>
      </w:r>
    </w:p>
    <w:p>
      <w:pPr>
        <w:pStyle w:val="PR2"/>
        <w:numPr>
          <w:ilvl w:val="5"/>
          <w:numId w:val="1"/>
        </w:numPr>
        <w:rPr/>
      </w:pPr>
      <w:r>
        <w:rPr/>
        <w:t>Particleboard: 0.09 ppm.</w:t>
      </w:r>
    </w:p>
    <w:p>
      <w:pPr>
        <w:pStyle w:val="PR2"/>
        <w:numPr>
          <w:ilvl w:val="5"/>
          <w:numId w:val="1"/>
        </w:numPr>
        <w:rPr/>
      </w:pPr>
      <w:r>
        <w:rPr/>
        <w:t xml:space="preserve">Medium-Density Fiberboard More Than </w:t>
      </w:r>
      <w:r>
        <w:rPr>
          <w:rStyle w:val="IP"/>
        </w:rPr>
        <w:t>5/16 Inch</w:t>
      </w:r>
      <w:r>
        <w:rPr>
          <w:rStyle w:val="SI"/>
        </w:rPr>
        <w:t xml:space="preserve"> (8 mm)</w:t>
      </w:r>
      <w:r>
        <w:rPr/>
        <w:t xml:space="preserve"> Thick: 0.11 ppm.</w:t>
      </w:r>
    </w:p>
    <w:p>
      <w:pPr>
        <w:pStyle w:val="PR2"/>
        <w:numPr>
          <w:ilvl w:val="5"/>
          <w:numId w:val="1"/>
        </w:numPr>
        <w:rPr/>
      </w:pPr>
      <w:r>
        <w:rPr/>
        <w:t xml:space="preserve">Medium-Density Fiberboard </w:t>
      </w:r>
      <w:r>
        <w:rPr>
          <w:rStyle w:val="IP"/>
        </w:rPr>
        <w:t>5/16 Inch</w:t>
      </w:r>
      <w:r>
        <w:rPr>
          <w:rStyle w:val="SI"/>
        </w:rPr>
        <w:t xml:space="preserve"> (8 mm)</w:t>
      </w:r>
      <w:r>
        <w:rPr/>
        <w:t xml:space="preserve"> or Less in Thickness: 0.13 ppm.</w:t>
      </w:r>
    </w:p>
    <w:p>
      <w:pPr>
        <w:pStyle w:val="PR1"/>
        <w:numPr>
          <w:ilvl w:val="4"/>
          <w:numId w:val="1"/>
        </w:numPr>
        <w:rPr/>
      </w:pPr>
      <w:r>
        <w:rPr/>
        <w:t>Adhesives and Sealants Inside the Weatherproofing System: Comply with either of first two subparagraphs below:</w:t>
      </w:r>
    </w:p>
    <w:p>
      <w:pPr>
        <w:pStyle w:val="PR2"/>
        <w:numPr>
          <w:ilvl w:val="5"/>
          <w:numId w:val="1"/>
        </w:numPr>
        <w:spacing w:before="240" w:after="0"/>
        <w:rPr/>
      </w:pPr>
      <w:r>
        <w:rPr/>
        <w:t>Comply with VOC emissions requirements of the California Department of Public Health's "Standard Method for the Testing and Evaluation of Volatile Organic Chemical Emissions from Indoor Sources Using Environmental Chambers." Do not exceed formaldehyde emissions of 16.5 micrograms/cu. m or 13.5 ppb, whichever is less.</w:t>
      </w:r>
    </w:p>
    <w:p>
      <w:pPr>
        <w:pStyle w:val="PR2"/>
        <w:numPr>
          <w:ilvl w:val="5"/>
          <w:numId w:val="1"/>
        </w:numPr>
        <w:rPr/>
      </w:pPr>
      <w:r>
        <w:rPr/>
        <w:t>Do not exceed VOC content limits of authorities having jurisdiction and the following:</w:t>
      </w:r>
    </w:p>
    <w:p>
      <w:pPr>
        <w:pStyle w:val="PR3"/>
        <w:numPr>
          <w:ilvl w:val="6"/>
          <w:numId w:val="1"/>
        </w:numPr>
        <w:spacing w:before="240" w:after="0"/>
        <w:rPr/>
      </w:pPr>
      <w:r>
        <w:rPr/>
        <w:t>Carpet Adhesives: 50 g/L.</w:t>
      </w:r>
    </w:p>
    <w:p>
      <w:pPr>
        <w:pStyle w:val="PR3"/>
        <w:numPr>
          <w:ilvl w:val="6"/>
          <w:numId w:val="1"/>
        </w:numPr>
        <w:rPr/>
      </w:pPr>
      <w:r>
        <w:rPr/>
        <w:t>Carpet Pad Adhesives: 50 g/L.</w:t>
      </w:r>
    </w:p>
    <w:p>
      <w:pPr>
        <w:pStyle w:val="PR3"/>
        <w:numPr>
          <w:ilvl w:val="6"/>
          <w:numId w:val="1"/>
        </w:numPr>
        <w:rPr/>
      </w:pPr>
      <w:r>
        <w:rPr/>
        <w:t>Wood Flooring Adhesive: 100 g/L.</w:t>
      </w:r>
    </w:p>
    <w:p>
      <w:pPr>
        <w:pStyle w:val="PR3"/>
        <w:numPr>
          <w:ilvl w:val="6"/>
          <w:numId w:val="1"/>
        </w:numPr>
        <w:rPr/>
      </w:pPr>
      <w:r>
        <w:rPr/>
        <w:t>Rubber Floor Adhesives: 60 g/L.</w:t>
      </w:r>
    </w:p>
    <w:p>
      <w:pPr>
        <w:pStyle w:val="PR3"/>
        <w:numPr>
          <w:ilvl w:val="6"/>
          <w:numId w:val="1"/>
        </w:numPr>
        <w:rPr/>
      </w:pPr>
      <w:r>
        <w:rPr/>
        <w:t>Subfloor Adhesives: 50 g/L.</w:t>
      </w:r>
    </w:p>
    <w:p>
      <w:pPr>
        <w:pStyle w:val="PR3"/>
        <w:numPr>
          <w:ilvl w:val="6"/>
          <w:numId w:val="1"/>
        </w:numPr>
        <w:rPr/>
      </w:pPr>
      <w:r>
        <w:rPr/>
        <w:t>Ceramic Tile Adhesives: 65 g/L.</w:t>
      </w:r>
    </w:p>
    <w:p>
      <w:pPr>
        <w:pStyle w:val="PR3"/>
        <w:numPr>
          <w:ilvl w:val="6"/>
          <w:numId w:val="1"/>
        </w:numPr>
        <w:rPr/>
      </w:pPr>
      <w:r>
        <w:rPr/>
        <w:t>VCT and Asphalt Tile Adhesives: 50 g/L.</w:t>
      </w:r>
    </w:p>
    <w:p>
      <w:pPr>
        <w:pStyle w:val="PR3"/>
        <w:numPr>
          <w:ilvl w:val="6"/>
          <w:numId w:val="1"/>
        </w:numPr>
        <w:rPr/>
      </w:pPr>
      <w:r>
        <w:rPr/>
        <w:t>Gypsum Board and Panel Adhesives: 50 g/L.</w:t>
      </w:r>
    </w:p>
    <w:p>
      <w:pPr>
        <w:pStyle w:val="PR3"/>
        <w:numPr>
          <w:ilvl w:val="6"/>
          <w:numId w:val="1"/>
        </w:numPr>
        <w:rPr/>
      </w:pPr>
      <w:r>
        <w:rPr/>
        <w:t>Cove Base Adhesives: 50 g/L.</w:t>
      </w:r>
    </w:p>
    <w:p>
      <w:pPr>
        <w:pStyle w:val="PR3"/>
        <w:numPr>
          <w:ilvl w:val="6"/>
          <w:numId w:val="1"/>
        </w:numPr>
        <w:rPr/>
      </w:pPr>
      <w:r>
        <w:rPr/>
        <w:t>Multipurpose Construction Adhesives: 70 g/L.</w:t>
      </w:r>
    </w:p>
    <w:p>
      <w:pPr>
        <w:pStyle w:val="PR3"/>
        <w:numPr>
          <w:ilvl w:val="6"/>
          <w:numId w:val="1"/>
        </w:numPr>
        <w:rPr/>
      </w:pPr>
      <w:r>
        <w:rPr/>
        <w:t>Structural Glazing Adhesives: 100 g/L.</w:t>
      </w:r>
    </w:p>
    <w:p>
      <w:pPr>
        <w:pStyle w:val="PR3"/>
        <w:numPr>
          <w:ilvl w:val="6"/>
          <w:numId w:val="1"/>
        </w:numPr>
        <w:rPr/>
      </w:pPr>
      <w:r>
        <w:rPr/>
        <w:t>Single-Ply Roof Membrane Adhesive: 250 g/L.</w:t>
      </w:r>
    </w:p>
    <w:p>
      <w:pPr>
        <w:pStyle w:val="PR3"/>
        <w:numPr>
          <w:ilvl w:val="6"/>
          <w:numId w:val="1"/>
        </w:numPr>
        <w:rPr/>
      </w:pPr>
      <w:r>
        <w:rPr/>
        <w:t>Architectural Sealants: 250 g/L.</w:t>
      </w:r>
    </w:p>
    <w:p>
      <w:pPr>
        <w:pStyle w:val="PR3"/>
        <w:numPr>
          <w:ilvl w:val="6"/>
          <w:numId w:val="1"/>
        </w:numPr>
        <w:rPr/>
      </w:pPr>
      <w:r>
        <w:rPr/>
        <w:t>Sealant Primers for Nonporous Substrates: 250 g/L.</w:t>
      </w:r>
    </w:p>
    <w:p>
      <w:pPr>
        <w:pStyle w:val="PR3"/>
        <w:numPr>
          <w:ilvl w:val="6"/>
          <w:numId w:val="1"/>
        </w:numPr>
        <w:rPr/>
      </w:pPr>
      <w:r>
        <w:rPr/>
        <w:t>Sealant Primers for Porous Substrates: 775 g/L.</w:t>
      </w:r>
    </w:p>
    <w:p>
      <w:pPr>
        <w:pStyle w:val="PR3"/>
        <w:numPr>
          <w:ilvl w:val="6"/>
          <w:numId w:val="1"/>
        </w:numPr>
        <w:rPr/>
      </w:pPr>
      <w:r>
        <w:rPr/>
        <w:t>Modified Bituminous Sealant Primers: 500 g/L.</w:t>
      </w:r>
    </w:p>
    <w:p>
      <w:pPr>
        <w:pStyle w:val="PR3"/>
        <w:numPr>
          <w:ilvl w:val="6"/>
          <w:numId w:val="1"/>
        </w:numPr>
        <w:rPr/>
      </w:pPr>
      <w:r>
        <w:rPr/>
        <w:t>Other Sealant Primers: 750 g/L.</w:t>
      </w:r>
    </w:p>
    <w:p>
      <w:pPr>
        <w:pStyle w:val="PR3"/>
        <w:numPr>
          <w:ilvl w:val="6"/>
          <w:numId w:val="1"/>
        </w:numPr>
        <w:rPr/>
      </w:pPr>
      <w:r>
        <w:rPr/>
        <w:t>CPVC Welding Compounds: 490 g/L.</w:t>
      </w:r>
    </w:p>
    <w:p>
      <w:pPr>
        <w:pStyle w:val="PR3"/>
        <w:numPr>
          <w:ilvl w:val="6"/>
          <w:numId w:val="1"/>
        </w:numPr>
        <w:rPr/>
      </w:pPr>
      <w:r>
        <w:rPr/>
        <w:t>PVC Welding Compounds: 510 g/L.</w:t>
      </w:r>
    </w:p>
    <w:p>
      <w:pPr>
        <w:pStyle w:val="PR3"/>
        <w:numPr>
          <w:ilvl w:val="6"/>
          <w:numId w:val="1"/>
        </w:numPr>
        <w:rPr/>
      </w:pPr>
      <w:r>
        <w:rPr/>
        <w:t>ABS Welding Compounds: 325 g/L.</w:t>
      </w:r>
    </w:p>
    <w:p>
      <w:pPr>
        <w:pStyle w:val="PR3"/>
        <w:numPr>
          <w:ilvl w:val="6"/>
          <w:numId w:val="1"/>
        </w:numPr>
        <w:rPr/>
      </w:pPr>
      <w:r>
        <w:rPr/>
        <w:t>Plastic Cement Welding Compounds: 250 g/L.</w:t>
      </w:r>
    </w:p>
    <w:p>
      <w:pPr>
        <w:pStyle w:val="PR3"/>
        <w:numPr>
          <w:ilvl w:val="6"/>
          <w:numId w:val="1"/>
        </w:numPr>
        <w:rPr/>
      </w:pPr>
      <w:r>
        <w:rPr/>
        <w:t>Adhesive Primer for Plastic: 550 g/L.</w:t>
      </w:r>
    </w:p>
    <w:p>
      <w:pPr>
        <w:pStyle w:val="PR3"/>
        <w:numPr>
          <w:ilvl w:val="6"/>
          <w:numId w:val="1"/>
        </w:numPr>
        <w:rPr/>
      </w:pPr>
      <w:r>
        <w:rPr/>
        <w:t>Contact Adhesive: 80 g/L.</w:t>
      </w:r>
    </w:p>
    <w:p>
      <w:pPr>
        <w:pStyle w:val="PR3"/>
        <w:numPr>
          <w:ilvl w:val="6"/>
          <w:numId w:val="1"/>
        </w:numPr>
        <w:rPr/>
      </w:pPr>
      <w:r>
        <w:rPr/>
        <w:t>Special-Purpose Contact Adhesives (Contact Adhesives That Are Used to Bond Melamine-Covered Board, Metal, Unsupported Vinyl, Rubber, or Wood Veneer 1/16 Inch or Less in Thickness to Any Surface): 250 g/L.</w:t>
      </w:r>
    </w:p>
    <w:p>
      <w:pPr>
        <w:pStyle w:val="PR3"/>
        <w:numPr>
          <w:ilvl w:val="6"/>
          <w:numId w:val="1"/>
        </w:numPr>
        <w:rPr/>
      </w:pPr>
      <w:r>
        <w:rPr/>
        <w:t>Structural Wood Member Adhesives: 140 g/L.</w:t>
      </w:r>
    </w:p>
    <w:p>
      <w:pPr>
        <w:pStyle w:val="PR1"/>
        <w:numPr>
          <w:ilvl w:val="4"/>
          <w:numId w:val="1"/>
        </w:numPr>
        <w:rPr/>
      </w:pPr>
      <w:r>
        <w:rPr/>
        <w:t>Field Paints and Coatings Inside the Weatherproofing System: Comply with either of the following for VOC emissions:</w:t>
      </w:r>
    </w:p>
    <w:p>
      <w:pPr>
        <w:pStyle w:val="PR2"/>
        <w:numPr>
          <w:ilvl w:val="5"/>
          <w:numId w:val="1"/>
        </w:numPr>
        <w:spacing w:before="240" w:after="0"/>
        <w:rPr/>
      </w:pPr>
      <w:r>
        <w:rPr/>
        <w:t>The requirements of the California Department of Public Health's "Standard Method for the Testing and Evaluation of Volatile Organic Chemical Emissions from Indoor Sources Using Environmental Chambers." Formaldehyde emissions shall not exceed 16.5 micrograms/cu. m or 13.5 ppb, whichever is less.</w:t>
      </w:r>
    </w:p>
    <w:p>
      <w:pPr>
        <w:pStyle w:val="PR2"/>
        <w:numPr>
          <w:ilvl w:val="5"/>
          <w:numId w:val="1"/>
        </w:numPr>
        <w:rPr/>
      </w:pPr>
      <w:r>
        <w:rPr/>
        <w:t>Do not exceed VOC content limits of authorities having jurisdiction and the following:</w:t>
      </w:r>
    </w:p>
    <w:p>
      <w:pPr>
        <w:pStyle w:val="PR3"/>
        <w:numPr>
          <w:ilvl w:val="6"/>
          <w:numId w:val="1"/>
        </w:numPr>
        <w:spacing w:before="240" w:after="0"/>
        <w:rPr/>
      </w:pPr>
      <w:r>
        <w:rPr/>
        <w:t>Flat Coatings: 50 g/L.</w:t>
      </w:r>
    </w:p>
    <w:p>
      <w:pPr>
        <w:pStyle w:val="PR3"/>
        <w:numPr>
          <w:ilvl w:val="6"/>
          <w:numId w:val="1"/>
        </w:numPr>
        <w:rPr/>
      </w:pPr>
      <w:r>
        <w:rPr/>
        <w:t>Nonflat Coatings: 100 g/L.</w:t>
      </w:r>
    </w:p>
    <w:p>
      <w:pPr>
        <w:pStyle w:val="PR3"/>
        <w:numPr>
          <w:ilvl w:val="6"/>
          <w:numId w:val="1"/>
        </w:numPr>
        <w:rPr/>
      </w:pPr>
      <w:r>
        <w:rPr/>
        <w:t>Nonflat - High Gloss Coatings: 150 g/L.</w:t>
      </w:r>
    </w:p>
    <w:p>
      <w:pPr>
        <w:pStyle w:val="PR3"/>
        <w:numPr>
          <w:ilvl w:val="6"/>
          <w:numId w:val="1"/>
        </w:numPr>
        <w:rPr/>
      </w:pPr>
      <w:r>
        <w:rPr/>
        <w:t>Basement Special Coatings: 400 g/L.</w:t>
      </w:r>
    </w:p>
    <w:p>
      <w:pPr>
        <w:pStyle w:val="PR3"/>
        <w:numPr>
          <w:ilvl w:val="6"/>
          <w:numId w:val="1"/>
        </w:numPr>
        <w:rPr/>
      </w:pPr>
      <w:r>
        <w:rPr/>
        <w:t>Bond Breakers: 350 g/L.</w:t>
      </w:r>
    </w:p>
    <w:p>
      <w:pPr>
        <w:pStyle w:val="PR3"/>
        <w:numPr>
          <w:ilvl w:val="6"/>
          <w:numId w:val="1"/>
        </w:numPr>
        <w:rPr/>
      </w:pPr>
      <w:r>
        <w:rPr/>
        <w:t>Concrete Curing Compounds: 350 g/L.</w:t>
      </w:r>
    </w:p>
    <w:p>
      <w:pPr>
        <w:pStyle w:val="PR3"/>
        <w:numPr>
          <w:ilvl w:val="6"/>
          <w:numId w:val="1"/>
        </w:numPr>
        <w:rPr/>
      </w:pPr>
      <w:r>
        <w:rPr/>
        <w:t>Concrete/Masonry Sealers: 100 g/L.</w:t>
      </w:r>
    </w:p>
    <w:p>
      <w:pPr>
        <w:pStyle w:val="PR3"/>
        <w:numPr>
          <w:ilvl w:val="6"/>
          <w:numId w:val="1"/>
        </w:numPr>
        <w:rPr/>
      </w:pPr>
      <w:r>
        <w:rPr/>
        <w:t>Dry-Fog Coatings: 150 g/L.</w:t>
      </w:r>
    </w:p>
    <w:p>
      <w:pPr>
        <w:pStyle w:val="PR3"/>
        <w:numPr>
          <w:ilvl w:val="6"/>
          <w:numId w:val="1"/>
        </w:numPr>
        <w:rPr/>
      </w:pPr>
      <w:r>
        <w:rPr/>
        <w:t>Faux Finishing Coatings: 350 g/L.</w:t>
      </w:r>
    </w:p>
    <w:p>
      <w:pPr>
        <w:pStyle w:val="PR3"/>
        <w:numPr>
          <w:ilvl w:val="6"/>
          <w:numId w:val="1"/>
        </w:numPr>
        <w:rPr/>
      </w:pPr>
      <w:r>
        <w:rPr/>
        <w:t>Fire-Resistive Coatings: 350 g/L.</w:t>
      </w:r>
    </w:p>
    <w:p>
      <w:pPr>
        <w:pStyle w:val="PR3"/>
        <w:numPr>
          <w:ilvl w:val="6"/>
          <w:numId w:val="1"/>
        </w:numPr>
        <w:rPr/>
      </w:pPr>
      <w:r>
        <w:rPr/>
        <w:t>Floor Coatings: 100 g/L.</w:t>
      </w:r>
    </w:p>
    <w:p>
      <w:pPr>
        <w:pStyle w:val="PR3"/>
        <w:numPr>
          <w:ilvl w:val="6"/>
          <w:numId w:val="1"/>
        </w:numPr>
        <w:rPr/>
      </w:pPr>
      <w:r>
        <w:rPr/>
        <w:t>Form-Release Compounds: 250 g/L.</w:t>
      </w:r>
    </w:p>
    <w:p>
      <w:pPr>
        <w:pStyle w:val="PR3"/>
        <w:numPr>
          <w:ilvl w:val="6"/>
          <w:numId w:val="1"/>
        </w:numPr>
        <w:rPr/>
      </w:pPr>
      <w:r>
        <w:rPr/>
        <w:t>Graphic Arts Coatings (Sign Paints): 500 g/L.</w:t>
      </w:r>
    </w:p>
    <w:p>
      <w:pPr>
        <w:pStyle w:val="PR3"/>
        <w:numPr>
          <w:ilvl w:val="6"/>
          <w:numId w:val="1"/>
        </w:numPr>
        <w:rPr/>
      </w:pPr>
      <w:r>
        <w:rPr/>
        <w:t>High-Temperature Coatings: 420 g/L.</w:t>
      </w:r>
    </w:p>
    <w:p>
      <w:pPr>
        <w:pStyle w:val="PR3"/>
        <w:numPr>
          <w:ilvl w:val="6"/>
          <w:numId w:val="1"/>
        </w:numPr>
        <w:rPr/>
      </w:pPr>
      <w:r>
        <w:rPr/>
        <w:t>Industrial Maintenance Coatings: 250 g/L.</w:t>
      </w:r>
    </w:p>
    <w:p>
      <w:pPr>
        <w:pStyle w:val="PR3"/>
        <w:numPr>
          <w:ilvl w:val="6"/>
          <w:numId w:val="1"/>
        </w:numPr>
        <w:rPr/>
      </w:pPr>
      <w:r>
        <w:rPr/>
        <w:t>Low-Solids Coatings: 120 g/L.</w:t>
      </w:r>
    </w:p>
    <w:p>
      <w:pPr>
        <w:pStyle w:val="PR3"/>
        <w:numPr>
          <w:ilvl w:val="6"/>
          <w:numId w:val="1"/>
        </w:numPr>
        <w:rPr/>
      </w:pPr>
      <w:r>
        <w:rPr/>
        <w:t>Magnesite Cement Coatings: 450 g/L.</w:t>
      </w:r>
    </w:p>
    <w:p>
      <w:pPr>
        <w:pStyle w:val="PR3"/>
        <w:numPr>
          <w:ilvl w:val="6"/>
          <w:numId w:val="1"/>
        </w:numPr>
        <w:rPr/>
      </w:pPr>
      <w:r>
        <w:rPr/>
        <w:t>Mastic Texture Coatings: 100 g/L.</w:t>
      </w:r>
    </w:p>
    <w:p>
      <w:pPr>
        <w:pStyle w:val="PR3"/>
        <w:numPr>
          <w:ilvl w:val="6"/>
          <w:numId w:val="1"/>
        </w:numPr>
        <w:rPr/>
      </w:pPr>
      <w:r>
        <w:rPr/>
        <w:t>Metallic Pigmented Coatings: 500 g/L.</w:t>
      </w:r>
    </w:p>
    <w:p>
      <w:pPr>
        <w:pStyle w:val="PR3"/>
        <w:numPr>
          <w:ilvl w:val="6"/>
          <w:numId w:val="1"/>
        </w:numPr>
        <w:rPr/>
      </w:pPr>
      <w:r>
        <w:rPr/>
        <w:t>Multicolor Coatings: 250 g/L.</w:t>
      </w:r>
    </w:p>
    <w:p>
      <w:pPr>
        <w:pStyle w:val="PR3"/>
        <w:numPr>
          <w:ilvl w:val="6"/>
          <w:numId w:val="1"/>
        </w:numPr>
        <w:rPr/>
      </w:pPr>
      <w:r>
        <w:rPr/>
        <w:t>Pretreatment Wash Primers: 420 g/L.</w:t>
      </w:r>
    </w:p>
    <w:p>
      <w:pPr>
        <w:pStyle w:val="PR3"/>
        <w:numPr>
          <w:ilvl w:val="6"/>
          <w:numId w:val="1"/>
        </w:numPr>
        <w:rPr/>
      </w:pPr>
      <w:r>
        <w:rPr/>
        <w:t>Primers, Sealers, and Undercoaters: 100 g/L.</w:t>
      </w:r>
    </w:p>
    <w:p>
      <w:pPr>
        <w:pStyle w:val="PR3"/>
        <w:numPr>
          <w:ilvl w:val="6"/>
          <w:numId w:val="1"/>
        </w:numPr>
        <w:rPr/>
      </w:pPr>
      <w:r>
        <w:rPr/>
        <w:t>Reactive Penetrating Sealers: 350 g/L.</w:t>
      </w:r>
    </w:p>
    <w:p>
      <w:pPr>
        <w:pStyle w:val="PR3"/>
        <w:numPr>
          <w:ilvl w:val="6"/>
          <w:numId w:val="1"/>
        </w:numPr>
        <w:rPr/>
      </w:pPr>
      <w:r>
        <w:rPr/>
        <w:t>Recycled Coatings: 250 g/L.</w:t>
      </w:r>
    </w:p>
    <w:p>
      <w:pPr>
        <w:pStyle w:val="PR3"/>
        <w:numPr>
          <w:ilvl w:val="6"/>
          <w:numId w:val="1"/>
        </w:numPr>
        <w:rPr/>
      </w:pPr>
      <w:r>
        <w:rPr/>
        <w:t>Rust-Preventive Coatings: 250 g/L.</w:t>
      </w:r>
    </w:p>
    <w:p>
      <w:pPr>
        <w:pStyle w:val="PR3"/>
        <w:numPr>
          <w:ilvl w:val="6"/>
          <w:numId w:val="1"/>
        </w:numPr>
        <w:rPr/>
      </w:pPr>
      <w:r>
        <w:rPr/>
        <w:t>Shellacs, Clear: 730 g/L.</w:t>
      </w:r>
    </w:p>
    <w:p>
      <w:pPr>
        <w:pStyle w:val="PR3"/>
        <w:numPr>
          <w:ilvl w:val="6"/>
          <w:numId w:val="1"/>
        </w:numPr>
        <w:rPr/>
      </w:pPr>
      <w:r>
        <w:rPr/>
        <w:t>Shellacs, Pigmented: 550 g/L.</w:t>
      </w:r>
    </w:p>
    <w:p>
      <w:pPr>
        <w:pStyle w:val="PR3"/>
        <w:numPr>
          <w:ilvl w:val="6"/>
          <w:numId w:val="1"/>
        </w:numPr>
        <w:rPr/>
      </w:pPr>
      <w:r>
        <w:rPr/>
        <w:t>Stains: 250 g/L.</w:t>
      </w:r>
    </w:p>
    <w:p>
      <w:pPr>
        <w:pStyle w:val="PR3"/>
        <w:numPr>
          <w:ilvl w:val="6"/>
          <w:numId w:val="1"/>
        </w:numPr>
        <w:rPr/>
      </w:pPr>
      <w:r>
        <w:rPr/>
        <w:t>Swimming Pool Coatings: 340 g/L.</w:t>
      </w:r>
    </w:p>
    <w:p>
      <w:pPr>
        <w:pStyle w:val="PR3"/>
        <w:numPr>
          <w:ilvl w:val="6"/>
          <w:numId w:val="1"/>
        </w:numPr>
        <w:rPr/>
      </w:pPr>
      <w:r>
        <w:rPr/>
        <w:t>Tub and Tile Refinish Coatings: 420 g/L.</w:t>
      </w:r>
    </w:p>
    <w:p>
      <w:pPr>
        <w:pStyle w:val="PR3"/>
        <w:numPr>
          <w:ilvl w:val="6"/>
          <w:numId w:val="1"/>
        </w:numPr>
        <w:rPr/>
      </w:pPr>
      <w:r>
        <w:rPr/>
        <w:t>Waterproof Membranes: 250 g/L.</w:t>
      </w:r>
    </w:p>
    <w:p>
      <w:pPr>
        <w:pStyle w:val="PR3"/>
        <w:numPr>
          <w:ilvl w:val="6"/>
          <w:numId w:val="1"/>
        </w:numPr>
        <w:rPr/>
      </w:pPr>
      <w:r>
        <w:rPr/>
        <w:t>Wood Coatings: 275 g/L.</w:t>
      </w:r>
    </w:p>
    <w:p>
      <w:pPr>
        <w:pStyle w:val="PR3"/>
        <w:numPr>
          <w:ilvl w:val="6"/>
          <w:numId w:val="1"/>
        </w:numPr>
        <w:rPr/>
      </w:pPr>
      <w:r>
        <w:rPr/>
        <w:t>Wood Preservatives: 350 g/L.</w:t>
      </w:r>
    </w:p>
    <w:p>
      <w:pPr>
        <w:pStyle w:val="PR3"/>
        <w:numPr>
          <w:ilvl w:val="6"/>
          <w:numId w:val="1"/>
        </w:numPr>
        <w:rPr/>
      </w:pPr>
      <w:r>
        <w:rPr/>
        <w:t>Zinc-Rich Primers: 340 g/L.</w:t>
      </w:r>
    </w:p>
    <w:p>
      <w:pPr>
        <w:pStyle w:val="PR1"/>
        <w:numPr>
          <w:ilvl w:val="4"/>
          <w:numId w:val="1"/>
        </w:numPr>
        <w:rPr/>
      </w:pPr>
      <w:r>
        <w:rPr/>
        <w:t>Flooring: Comply with the requirements of the California Department of Public Health's "Standard Method for the Testing and Evaluation of Volatile Organic Chemical Emissions from Indoor Sources Using Environmental Chambers." Formaldehyde emissions shall not exceed 16.5 micrograms/cu. m or 13.5 ppb, whichever is less. Where postmanufactured coatings or applications have not been applied, concrete, ceramic and concrete tile, clay and concrete pavers, metal, and organic-free, mineral-based flooring complies with this requirement.</w:t>
      </w:r>
    </w:p>
    <w:p>
      <w:pPr>
        <w:pStyle w:val="PR1"/>
        <w:numPr>
          <w:ilvl w:val="4"/>
          <w:numId w:val="1"/>
        </w:numPr>
        <w:rPr/>
      </w:pPr>
      <w:r>
        <w:rPr/>
        <w:t>Acoustical Ceilings: Comply with the requirements of the California Department of Public Health's "Standard Method for the Testing and Evaluation of Volatile Organic Chemical Emissions from Indoor Sources Using Environmental Chambers." Formaldehyde emissions shall not exceed 16.5 micrograms/cu. m or 13.5 ppb, whichever is less.</w:t>
      </w:r>
    </w:p>
    <w:p>
      <w:pPr>
        <w:pStyle w:val="PR1"/>
        <w:numPr>
          <w:ilvl w:val="4"/>
          <w:numId w:val="1"/>
        </w:numPr>
        <w:rPr/>
      </w:pPr>
      <w:r>
        <w:rPr/>
        <w:t>Wall Systems: Comply with the requirements of the California Department of Public Health's "Standard Method for the Testing and Evaluation of Volatile Organic Chemical Emissions from Indoor Sources Using Environmental Chambers." Formaldehyde emissions shall not exceed 16.5 micrograms/cu. m or 13.5 ppb, whichever is less. Where postmanufactured coatings or applications have not been applied, concrete, concrete masonry, clay masonry, gypsum plaster, ceramic and concrete tile, metal, and organic-free, mineral-based materials comply with this requirement.</w:t>
      </w:r>
    </w:p>
    <w:p>
      <w:pPr>
        <w:pStyle w:val="PR1"/>
        <w:numPr>
          <w:ilvl w:val="4"/>
          <w:numId w:val="1"/>
        </w:numPr>
        <w:rPr/>
      </w:pPr>
      <w:r>
        <w:rPr/>
        <w:t>Insulation: Comply with the requirements of the California Department of Public Health's "Standard Method for the Testing and Evaluation of Volatile Organic Chemical Emissions from Indoor Sources Using Environmental Chambers." Formaldehyde emissions shall not exceed 16.5 micrograms/cu. m or 13.5 ppb, whichever is less, except for insulation manufactured without formaldehyde.</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feet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IAQ MANAGEMENT</w:t>
      </w:r>
    </w:p>
    <w:p>
      <w:pPr>
        <w:pStyle w:val="PR1"/>
        <w:numPr>
          <w:ilvl w:val="4"/>
          <w:numId w:val="1"/>
        </w:numPr>
        <w:rPr/>
      </w:pPr>
      <w:r>
        <w:rPr/>
        <w:t>Cover or close openings in ducts and other related air-distribution component openings with tape, plastic, sheet metal, or other approved method before beginning dust-producing operations, and maintain until dust-producing operations are complete.</w:t>
      </w:r>
    </w:p>
    <w:p>
      <w:pPr>
        <w:pStyle w:val="PR1"/>
        <w:numPr>
          <w:ilvl w:val="4"/>
          <w:numId w:val="1"/>
        </w:numPr>
        <w:rPr/>
      </w:pPr>
      <w:r>
        <w:rPr/>
        <w:t>Provide temporary ventilation during construction, using one or more of the following methods:</w:t>
      </w:r>
    </w:p>
    <w:p>
      <w:pPr>
        <w:pStyle w:val="PR2"/>
        <w:numPr>
          <w:ilvl w:val="5"/>
          <w:numId w:val="1"/>
        </w:numPr>
        <w:spacing w:before="240" w:after="0"/>
        <w:rPr/>
      </w:pPr>
      <w:r>
        <w:rPr/>
        <w:t>Natural ventilation complying with the IBC.</w:t>
      </w:r>
    </w:p>
    <w:p>
      <w:pPr>
        <w:pStyle w:val="PR2"/>
        <w:numPr>
          <w:ilvl w:val="5"/>
          <w:numId w:val="1"/>
        </w:numPr>
        <w:rPr/>
      </w:pPr>
      <w:r>
        <w:rPr/>
        <w:t>Fans that produce three air changes per hour.</w:t>
      </w:r>
    </w:p>
    <w:p>
      <w:pPr>
        <w:pStyle w:val="PR2"/>
        <w:numPr>
          <w:ilvl w:val="5"/>
          <w:numId w:val="1"/>
        </w:numPr>
        <w:rPr/>
      </w:pPr>
      <w:r>
        <w:rPr/>
        <w:t xml:space="preserve">Exhaust in work areas at not less than </w:t>
      </w:r>
      <w:r>
        <w:rPr>
          <w:rStyle w:val="IP"/>
        </w:rPr>
        <w:t>0.05 cfm/sq. ft.</w:t>
      </w:r>
      <w:r>
        <w:rPr>
          <w:rStyle w:val="SI"/>
        </w:rPr>
        <w:t xml:space="preserve"> (0.24 L/sq. m)</w:t>
      </w:r>
      <w:r>
        <w:rPr/>
        <w:t xml:space="preserve"> and not less than 10 percent greater than supply air to maintain a negative pressure.</w:t>
      </w:r>
    </w:p>
    <w:p>
      <w:pPr>
        <w:pStyle w:val="CMT"/>
        <w:rPr/>
      </w:pPr>
      <w:r>
        <w:rPr/>
        <w:t>Coordinate "Air Quality Testing" Paragraph below with Section 015000 "Temporary Facilities and Controls." Identify air handlers and associated return-air inlets authorized by Owner for use during construction period.</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PR2"/>
        <w:numPr>
          <w:ilvl w:val="5"/>
          <w:numId w:val="1"/>
        </w:numPr>
        <w:spacing w:before="240" w:after="0"/>
        <w:rPr/>
      </w:pPr>
      <w:r>
        <w:rPr/>
        <w:t>Conduct baseline IAQ testing, after construction ends and prior to occupancy, using testing protocols in accordance with ASTM D5197, ASTM D5466, ASTM D6196, ASTM D6345, and ISO 7708. A minimum of one sampling point per 25,000 sq. ft. or contiguous floor area is required.</w:t>
      </w:r>
    </w:p>
    <w:p>
      <w:pPr>
        <w:pStyle w:val="PR2"/>
        <w:numPr>
          <w:ilvl w:val="5"/>
          <w:numId w:val="1"/>
        </w:numPr>
        <w:rPr/>
      </w:pPr>
      <w:r>
        <w:rPr/>
        <w:t>Concentrations of the following shall not exceed the following:</w:t>
      </w:r>
    </w:p>
    <w:p>
      <w:pPr>
        <w:pStyle w:val="PR3"/>
        <w:numPr>
          <w:ilvl w:val="6"/>
          <w:numId w:val="1"/>
        </w:numPr>
        <w:spacing w:before="240" w:after="0"/>
        <w:rPr/>
      </w:pPr>
      <w:r>
        <w:rPr/>
        <w:t>Particulates (PM2.5): 35 micrograms/cu. m. (24 h)</w:t>
      </w:r>
    </w:p>
    <w:p>
      <w:pPr>
        <w:pStyle w:val="PR3"/>
        <w:numPr>
          <w:ilvl w:val="6"/>
          <w:numId w:val="1"/>
        </w:numPr>
        <w:rPr/>
      </w:pPr>
      <w:r>
        <w:rPr/>
        <w:t>Particulates (PM10): 150 micrograms/cu. m. (24 h)</w:t>
      </w:r>
    </w:p>
    <w:p>
      <w:pPr>
        <w:pStyle w:val="PR3"/>
        <w:numPr>
          <w:ilvl w:val="6"/>
          <w:numId w:val="1"/>
        </w:numPr>
        <w:rPr/>
      </w:pPr>
      <w:r>
        <w:rPr/>
        <w:t>Carbon Monoxide: 9 ppm and no greater than 2 ppm above outdoor levels.</w:t>
      </w:r>
    </w:p>
    <w:p>
      <w:pPr>
        <w:pStyle w:val="PR3"/>
        <w:numPr>
          <w:ilvl w:val="6"/>
          <w:numId w:val="1"/>
        </w:numPr>
        <w:rPr/>
      </w:pPr>
      <w:r>
        <w:rPr/>
        <w:t>1, 1, 1-Trichloroethane: 1000 micrograms/cu. m.</w:t>
      </w:r>
    </w:p>
    <w:p>
      <w:pPr>
        <w:pStyle w:val="PR3"/>
        <w:numPr>
          <w:ilvl w:val="6"/>
          <w:numId w:val="1"/>
        </w:numPr>
        <w:rPr/>
      </w:pPr>
      <w:r>
        <w:rPr/>
        <w:t>1, 3-Butadiene: 20 micrograms/cu. m.</w:t>
      </w:r>
    </w:p>
    <w:p>
      <w:pPr>
        <w:pStyle w:val="PR3"/>
        <w:numPr>
          <w:ilvl w:val="6"/>
          <w:numId w:val="1"/>
        </w:numPr>
        <w:rPr/>
      </w:pPr>
      <w:r>
        <w:rPr/>
        <w:t>1, 4-Dichlorobenzene: 800 micrograms/cu. m.</w:t>
      </w:r>
    </w:p>
    <w:p>
      <w:pPr>
        <w:pStyle w:val="PR3"/>
        <w:numPr>
          <w:ilvl w:val="6"/>
          <w:numId w:val="1"/>
        </w:numPr>
        <w:rPr/>
      </w:pPr>
      <w:r>
        <w:rPr/>
        <w:t>1, 4-Dioxane: 3000 micrograms/cu. m.</w:t>
      </w:r>
    </w:p>
    <w:p>
      <w:pPr>
        <w:pStyle w:val="PR3"/>
        <w:numPr>
          <w:ilvl w:val="6"/>
          <w:numId w:val="1"/>
        </w:numPr>
        <w:rPr/>
      </w:pPr>
      <w:r>
        <w:rPr/>
        <w:t>2-Propanol: 7000 micrograms/cu. m.</w:t>
      </w:r>
    </w:p>
    <w:p>
      <w:pPr>
        <w:pStyle w:val="PR3"/>
        <w:numPr>
          <w:ilvl w:val="6"/>
          <w:numId w:val="1"/>
        </w:numPr>
        <w:rPr/>
      </w:pPr>
      <w:r>
        <w:rPr/>
        <w:t>Acetaldhyde: 140 micrograms/cu. m.</w:t>
      </w:r>
    </w:p>
    <w:p>
      <w:pPr>
        <w:pStyle w:val="PR3"/>
        <w:numPr>
          <w:ilvl w:val="6"/>
          <w:numId w:val="1"/>
        </w:numPr>
        <w:rPr/>
      </w:pPr>
      <w:r>
        <w:rPr/>
        <w:t>Acrylonitrile: 5 micrograms/cu. m.</w:t>
      </w:r>
    </w:p>
    <w:p>
      <w:pPr>
        <w:pStyle w:val="PR3"/>
        <w:numPr>
          <w:ilvl w:val="6"/>
          <w:numId w:val="1"/>
        </w:numPr>
        <w:rPr/>
      </w:pPr>
      <w:r>
        <w:rPr/>
        <w:t>Benzene: 60 micrograms/cu. m.</w:t>
      </w:r>
    </w:p>
    <w:p>
      <w:pPr>
        <w:pStyle w:val="PR3"/>
        <w:numPr>
          <w:ilvl w:val="6"/>
          <w:numId w:val="1"/>
        </w:numPr>
        <w:rPr/>
      </w:pPr>
      <w:r>
        <w:rPr/>
        <w:t>t-Butyl Methyl Ether: 8000 micrograms/cu. m.</w:t>
      </w:r>
    </w:p>
    <w:p>
      <w:pPr>
        <w:pStyle w:val="PR3"/>
        <w:numPr>
          <w:ilvl w:val="6"/>
          <w:numId w:val="1"/>
        </w:numPr>
        <w:rPr/>
      </w:pPr>
      <w:r>
        <w:rPr/>
        <w:t>Carbon Disulfide: 800 micrograms/cu. m.</w:t>
      </w:r>
    </w:p>
    <w:p>
      <w:pPr>
        <w:pStyle w:val="PR3"/>
        <w:numPr>
          <w:ilvl w:val="6"/>
          <w:numId w:val="1"/>
        </w:numPr>
        <w:rPr/>
      </w:pPr>
      <w:r>
        <w:rPr/>
        <w:t>Carbon Tetrachloride: 40 micrograms/cu. m.</w:t>
      </w:r>
    </w:p>
    <w:p>
      <w:pPr>
        <w:pStyle w:val="PR3"/>
        <w:numPr>
          <w:ilvl w:val="6"/>
          <w:numId w:val="1"/>
        </w:numPr>
        <w:rPr/>
      </w:pPr>
      <w:r>
        <w:rPr/>
        <w:t>Chlorobenzene: 1000 micrograms/cu. m.</w:t>
      </w:r>
    </w:p>
    <w:p>
      <w:pPr>
        <w:pStyle w:val="PR3"/>
        <w:numPr>
          <w:ilvl w:val="6"/>
          <w:numId w:val="1"/>
        </w:numPr>
        <w:rPr/>
      </w:pPr>
      <w:r>
        <w:rPr/>
        <w:t>Chloroform: 300 micrograms/cu. m.</w:t>
      </w:r>
    </w:p>
    <w:p>
      <w:pPr>
        <w:pStyle w:val="PR3"/>
        <w:numPr>
          <w:ilvl w:val="6"/>
          <w:numId w:val="1"/>
        </w:numPr>
        <w:rPr/>
      </w:pPr>
      <w:r>
        <w:rPr/>
        <w:t>Dichloromethene: 400 micrograms/cu. m.</w:t>
      </w:r>
    </w:p>
    <w:p>
      <w:pPr>
        <w:pStyle w:val="PR3"/>
        <w:numPr>
          <w:ilvl w:val="6"/>
          <w:numId w:val="1"/>
        </w:numPr>
        <w:rPr/>
      </w:pPr>
      <w:r>
        <w:rPr/>
        <w:t>Ethybenzene: 2000 micrograms/cu. m.</w:t>
      </w:r>
    </w:p>
    <w:p>
      <w:pPr>
        <w:pStyle w:val="PR3"/>
        <w:numPr>
          <w:ilvl w:val="6"/>
          <w:numId w:val="1"/>
        </w:numPr>
        <w:rPr/>
      </w:pPr>
      <w:r>
        <w:rPr/>
        <w:t>Ethylene Glycol: 400 micrograms/cu. m.</w:t>
      </w:r>
    </w:p>
    <w:p>
      <w:pPr>
        <w:pStyle w:val="PR3"/>
        <w:numPr>
          <w:ilvl w:val="6"/>
          <w:numId w:val="1"/>
        </w:numPr>
        <w:rPr/>
      </w:pPr>
      <w:r>
        <w:rPr/>
        <w:t>Formaldehyde: 33 micrograms/cu. m.</w:t>
      </w:r>
    </w:p>
    <w:p>
      <w:pPr>
        <w:pStyle w:val="PR3"/>
        <w:numPr>
          <w:ilvl w:val="6"/>
          <w:numId w:val="1"/>
        </w:numPr>
        <w:rPr/>
      </w:pPr>
      <w:r>
        <w:rPr/>
        <w:t>n-Hexane: 7000 micrograms/cu. m.</w:t>
      </w:r>
    </w:p>
    <w:p>
      <w:pPr>
        <w:pStyle w:val="PR3"/>
        <w:numPr>
          <w:ilvl w:val="6"/>
          <w:numId w:val="1"/>
        </w:numPr>
        <w:rPr/>
      </w:pPr>
      <w:r>
        <w:rPr/>
        <w:t>Naphthalene: 9 micrograms/cu. m.</w:t>
      </w:r>
    </w:p>
    <w:p>
      <w:pPr>
        <w:pStyle w:val="PR3"/>
        <w:numPr>
          <w:ilvl w:val="6"/>
          <w:numId w:val="1"/>
        </w:numPr>
        <w:rPr/>
      </w:pPr>
      <w:r>
        <w:rPr/>
        <w:t>Phenol: 200 micrograms/cu. m.</w:t>
      </w:r>
    </w:p>
    <w:p>
      <w:pPr>
        <w:pStyle w:val="PR3"/>
        <w:numPr>
          <w:ilvl w:val="6"/>
          <w:numId w:val="1"/>
        </w:numPr>
        <w:rPr/>
      </w:pPr>
      <w:r>
        <w:rPr/>
        <w:t>Styrene: 900 micrograms/cu. m.</w:t>
      </w:r>
    </w:p>
    <w:p>
      <w:pPr>
        <w:pStyle w:val="PR3"/>
        <w:numPr>
          <w:ilvl w:val="6"/>
          <w:numId w:val="1"/>
        </w:numPr>
        <w:rPr/>
      </w:pPr>
      <w:r>
        <w:rPr/>
        <w:t>Tetrachloroethane: 35 micrograms/cu. m.</w:t>
      </w:r>
    </w:p>
    <w:p>
      <w:pPr>
        <w:pStyle w:val="PR3"/>
        <w:numPr>
          <w:ilvl w:val="6"/>
          <w:numId w:val="1"/>
        </w:numPr>
        <w:rPr/>
      </w:pPr>
      <w:r>
        <w:rPr/>
        <w:t>Toluene: 300 micrograms/cu. m.</w:t>
      </w:r>
    </w:p>
    <w:p>
      <w:pPr>
        <w:pStyle w:val="PR3"/>
        <w:numPr>
          <w:ilvl w:val="6"/>
          <w:numId w:val="1"/>
        </w:numPr>
        <w:rPr/>
      </w:pPr>
      <w:r>
        <w:rPr/>
        <w:t>Trichloroethane: 600 micrograms/cu. m.</w:t>
      </w:r>
    </w:p>
    <w:p>
      <w:pPr>
        <w:pStyle w:val="PR3"/>
        <w:numPr>
          <w:ilvl w:val="6"/>
          <w:numId w:val="1"/>
        </w:numPr>
        <w:rPr/>
      </w:pPr>
      <w:r>
        <w:rPr/>
        <w:t>Xylene Isomers: 700 micrograms/cu. m.</w:t>
      </w:r>
    </w:p>
    <w:p>
      <w:pPr>
        <w:pStyle w:val="PR3"/>
        <w:numPr>
          <w:ilvl w:val="6"/>
          <w:numId w:val="1"/>
        </w:numPr>
        <w:rPr/>
      </w:pPr>
      <w:r>
        <w:rPr/>
        <w:t>Total Volatile Organic Compounds: 500 micrograms/cu. m.</w:t>
      </w:r>
    </w:p>
    <w:p>
      <w:pPr>
        <w:pStyle w:val="PR2"/>
        <w:numPr>
          <w:ilvl w:val="5"/>
          <w:numId w:val="1"/>
        </w:numPr>
        <w:spacing w:before="240" w:after="0"/>
        <w:rPr/>
      </w:pPr>
      <w:r>
        <w:rPr/>
        <w:t>Where carpets and fabrics with styrene butadiene rubber latex backing are installed, the following are the maximum allowable concentrations:</w:t>
      </w:r>
    </w:p>
    <w:p>
      <w:pPr>
        <w:pStyle w:val="PR3"/>
        <w:numPr>
          <w:ilvl w:val="6"/>
          <w:numId w:val="1"/>
        </w:numPr>
        <w:spacing w:before="240" w:after="0"/>
        <w:rPr/>
      </w:pPr>
      <w:r>
        <w:rPr/>
        <w:t>1-Methyl-2-Pyrrolidinone: 160 micrograms/cu. m.</w:t>
      </w:r>
    </w:p>
    <w:p>
      <w:pPr>
        <w:pStyle w:val="PR3"/>
        <w:numPr>
          <w:ilvl w:val="6"/>
          <w:numId w:val="1"/>
        </w:numPr>
        <w:rPr/>
      </w:pPr>
      <w:r>
        <w:rPr/>
        <w:t>2-Ethylhexanoic Acid: 25 micrograms/cu. m.</w:t>
      </w:r>
    </w:p>
    <w:p>
      <w:pPr>
        <w:pStyle w:val="PR3"/>
        <w:numPr>
          <w:ilvl w:val="6"/>
          <w:numId w:val="1"/>
        </w:numPr>
        <w:rPr/>
      </w:pPr>
      <w:r>
        <w:rPr/>
        <w:t>4-Phenylcyclohexene (4-PH): 2.5 micrograms/cu. m.</w:t>
      </w:r>
    </w:p>
    <w:p>
      <w:pPr>
        <w:pStyle w:val="PR3"/>
        <w:numPr>
          <w:ilvl w:val="6"/>
          <w:numId w:val="1"/>
        </w:numPr>
        <w:rPr/>
      </w:pPr>
      <w:r>
        <w:rPr/>
        <w:t>Caprolactam: 100 micrograms/cu. m.</w:t>
      </w:r>
    </w:p>
    <w:p>
      <w:pPr>
        <w:pStyle w:val="PR3"/>
        <w:numPr>
          <w:ilvl w:val="6"/>
          <w:numId w:val="1"/>
        </w:numPr>
        <w:rPr/>
      </w:pPr>
      <w:r>
        <w:rPr/>
        <w:t>Nonanal: 13 micrograms/cu. m.</w:t>
      </w:r>
    </w:p>
    <w:p>
      <w:pPr>
        <w:pStyle w:val="PR3"/>
        <w:numPr>
          <w:ilvl w:val="6"/>
          <w:numId w:val="1"/>
        </w:numPr>
        <w:rPr/>
      </w:pPr>
      <w:r>
        <w:rPr/>
        <w:t>Octanal: 7.2 micrograms/cu. m.</w:t>
      </w:r>
    </w:p>
    <w:p>
      <w:pPr>
        <w:pStyle w:val="CMT"/>
        <w:rPr/>
      </w:pPr>
      <w:r>
        <w:rPr/>
        <w:t>First subparagraph below is not necessarily part of IgCC/ASHRAE 189.1 and creates requirements that are contingent on field conditions that are unknown at time of bid and could influence bids.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conduct additional flush-out with outside air and retest the specific parameter(s) exceeded to indicate that requirements are achieved. Repeat procedure until all requirements have been met. When retesting noncomplying building areas, take samples from same locations as in the first test.</w:t>
      </w:r>
    </w:p>
    <w:p>
      <w:pPr>
        <w:pStyle w:val="CMT"/>
        <w:rPr/>
      </w:pPr>
      <w:r>
        <w:rPr/>
        <w:t>Subparagraph below is an alternative to last subparagraph above. If procedure below is used, occupancy can begin after seven days of the 14-day flush-out period.</w:t>
      </w:r>
    </w:p>
    <w:p>
      <w:pPr>
        <w:pStyle w:val="PR2"/>
        <w:numPr>
          <w:ilvl w:val="5"/>
          <w:numId w:val="1"/>
        </w:numPr>
        <w:rPr/>
      </w:pPr>
      <w:r>
        <w:rPr/>
        <w:t xml:space="preserve">If any maximum concentration limit is exceeded and not mitigated and successfully retested, the building shall be flushed out for 14 days with air-handling units at maximum outside air while maintaining a temperature of at least </w:t>
      </w:r>
      <w:r>
        <w:rPr>
          <w:rStyle w:val="IP"/>
        </w:rPr>
        <w:t>60 deg F</w:t>
      </w:r>
      <w:r>
        <w:rPr>
          <w:rStyle w:val="SI"/>
        </w:rPr>
        <w:t xml:space="preserve"> (15.6 deg C)</w:t>
      </w:r>
      <w:r>
        <w:rPr/>
        <w:t xml:space="preserve"> and a relative humidity of not more than 60 percent.</w:t>
      </w:r>
    </w:p>
    <w:p>
      <w:pPr>
        <w:pStyle w:val="EOS"/>
        <w:rPr/>
      </w:pPr>
      <w:r>
        <w:rPr/>
        <w:t>END OF SECTION 018113.33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IgCC/ASHRAE 189.1</w:t>
          </w:r>
        </w:p>
      </w:tc>
      <w:tc>
        <w:tcPr>
          <w:tcW w:w="1872" w:type="dxa"/>
          <w:tcBorders/>
        </w:tcPr>
        <w:p>
          <w:pPr>
            <w:pStyle w:val="RJUST"/>
            <w:rPr/>
          </w:pPr>
          <w:r>
            <w:rPr>
              <w:rStyle w:val="NUM"/>
            </w:rPr>
            <w:t>018113.33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1811333"/>
    <w:docVar w:name="MF95" w:val="01366"/>
    <w:docVar w:name="MFOrigin" w:val="MF04"/>
    <w:docVar w:name="SpecType" w:val="MasterSpec"/>
    <w:docVar w:name="Version" w:val="153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33&amp;ver=03-01-20&amp;format=FL&amp;sid=1533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IgCC/ASHRAE 189.1</dc:subject>
  <dc:title>SECTION 018113.33 - SUSTAINABLE DESIGN REQUIREMENTS - IgCC/ASHRAE 189.1</dc:title>
</cp:coreProperties>
</file>