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018113.43</w:t>
      </w:r>
      <w:r>
        <w:rPr/>
        <w:t xml:space="preserve"> - </w:t>
      </w:r>
      <w:r>
        <w:rPr>
          <w:rStyle w:val="NAM"/>
        </w:rPr>
        <w:t>SUSTAINABLE DESIGN REQUIREMENTS - ASHRAE 189.1</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general requirements and procedures for compliance with certain requirements of ASHRAE 189.1, "Standard for the Design of High-Performance Green Buildings - except Low-Rise Residential Buildings."</w:t>
      </w:r>
    </w:p>
    <w:p>
      <w:pPr>
        <w:pStyle w:val="PR2"/>
        <w:numPr>
          <w:ilvl w:val="5"/>
          <w:numId w:val="1"/>
        </w:numPr>
        <w:spacing w:before="240" w:after="0"/>
        <w:ind w:hanging="0" w:left="0"/>
        <w:rPr/>
      </w:pPr>
      <w:r>
        <w:rPr/>
        <w:t>Other ASHRAE 189.1 requirements depend on product selections and may not be specifically identified as ASHRAE 189.1 requirements. Compliance with ASHRAE 189.1 requirements will be used as one criterion to evaluate substitution requests and comparable product requests.</w:t>
      </w:r>
    </w:p>
    <w:p>
      <w:pPr>
        <w:pStyle w:val="PR2"/>
        <w:numPr>
          <w:ilvl w:val="5"/>
          <w:numId w:val="1"/>
        </w:numPr>
        <w:ind w:hanging="0" w:left="0"/>
        <w:rPr/>
      </w:pPr>
      <w:r>
        <w:rPr/>
        <w:t>Specific ASHRAE 189.1 requirements are also included in other Sections.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ASHRAE 189.1: ASHRAE/USGBC/IES 189.1.</w:t>
      </w:r>
    </w:p>
    <w:p>
      <w:pPr>
        <w:pStyle w:val="PR2"/>
        <w:numPr>
          <w:ilvl w:val="5"/>
          <w:numId w:val="1"/>
        </w:numPr>
        <w:spacing w:before="240" w:after="0"/>
        <w:ind w:hanging="0" w:left="0"/>
        <w:rPr/>
      </w:pPr>
      <w:r>
        <w:rPr/>
        <w:t>Definitions that are a part of ASHRAE 189.1 apply to this Section.</w:t>
      </w:r>
    </w:p>
    <w:p>
      <w:pPr>
        <w:pStyle w:val="PR1"/>
        <w:numPr>
          <w:ilvl w:val="4"/>
          <w:numId w:val="1"/>
        </w:numPr>
        <w:ind w:hanging="0" w:left="0"/>
        <w:rPr/>
      </w:pPr>
      <w:r>
        <w:rPr/>
        <w:t xml:space="preserve">Regional Materials: Materials and products that are manufactured within </w:t>
      </w:r>
      <w:r>
        <w:rPr>
          <w:rStyle w:val="IP"/>
        </w:rPr>
        <w:t>500 miles</w:t>
      </w:r>
      <w:r>
        <w:rPr>
          <w:rStyle w:val="SI"/>
        </w:rPr>
        <w:t xml:space="preserve"> (800 km)</w:t>
      </w:r>
      <w:r>
        <w:rPr/>
        <w:t xml:space="preserve"> of Project site from materials that have been extracted, harvested, or recovered, as well as manufactured, within </w:t>
      </w:r>
      <w:r>
        <w:rPr>
          <w:rStyle w:val="IP"/>
        </w:rPr>
        <w:t>500 miles</w:t>
      </w:r>
      <w:r>
        <w:rPr>
          <w:rStyle w:val="SI"/>
        </w:rPr>
        <w:t xml:space="preserve"> (800 km)</w:t>
      </w:r>
      <w:r>
        <w:rPr/>
        <w:t xml:space="preserve"> of Project site. If materials are transported by rail or water, the distance transported by rail or water shall be multiplied by 0.25 in determining the distance to Project site. If only a portion of a material or product complies with this requirement, only that portion, by weight, shall be considered regional.</w:t>
      </w:r>
    </w:p>
    <w:p>
      <w:pPr>
        <w:pStyle w:val="PR1"/>
        <w:numPr>
          <w:ilvl w:val="4"/>
          <w:numId w:val="1"/>
        </w:numPr>
        <w:ind w:hanging="0" w:left="0"/>
        <w:rPr/>
      </w:pPr>
      <w:r>
        <w:rPr/>
        <w:t>Biobased Products: Products that comply with the USDA's Designation of Biobased Items for Federal Procurement, contain the "USDA Certified Biobased Product" label, or be composed of solid wood, engineered wood, bamboo, wool, cotton, cork, agricultural fibers, or other biobased materials with at least 50 percent biobased content.</w:t>
      </w:r>
    </w:p>
    <w:p>
      <w:pPr>
        <w:pStyle w:val="PR2"/>
        <w:numPr>
          <w:ilvl w:val="5"/>
          <w:numId w:val="1"/>
        </w:numPr>
        <w:spacing w:before="240" w:after="0"/>
        <w:ind w:hanging="0" w:left="0"/>
        <w:rPr/>
      </w:pPr>
      <w:r>
        <w:rPr/>
        <w:t>Wood components used to comply with this requirement shall contain not less than 60 percent certified wood tracked through a chain-of-custody process. Certification shall be by a forest certification system with principles, criteria, and standards developed using ISO/TEC Guide 59 or the WTO Agreement on Technical Barriers to Trade.</w:t>
      </w:r>
    </w:p>
    <w:p>
      <w:pPr>
        <w:pStyle w:val="ART"/>
        <w:numPr>
          <w:ilvl w:val="3"/>
          <w:numId w:val="1"/>
        </w:numPr>
        <w:ind w:hanging="0" w:left="0"/>
        <w:rPr/>
      </w:pPr>
      <w:r>
        <w:rPr/>
        <w:t>PREINSTALLATION MEETINGS</w:t>
      </w:r>
    </w:p>
    <w:p>
      <w:pPr>
        <w:pStyle w:val="PR1"/>
        <w:numPr>
          <w:ilvl w:val="4"/>
          <w:numId w:val="1"/>
        </w:numPr>
        <w:ind w:hanging="0" w:left="0"/>
        <w:rPr/>
      </w:pPr>
      <w:r>
        <w:rPr/>
        <w:t>Preinstallation Conference: Conduct conference at [</w:t>
      </w:r>
      <w:r>
        <w:rPr>
          <w:b/>
        </w:rPr>
        <w:t>Project site</w:t>
      </w:r>
      <w:r>
        <w:rPr/>
        <w:t>] &lt;</w:t>
      </w:r>
      <w:r>
        <w:rPr>
          <w:b/>
        </w:rPr>
        <w:t>Insert location</w:t>
      </w:r>
      <w:r>
        <w:rPr/>
        <w:t>&gt;. Review ASHRAE 189.1 requirements and action plans for compliance with requirements.</w:t>
      </w:r>
    </w:p>
    <w:p>
      <w:pPr>
        <w:pStyle w:val="ART"/>
        <w:numPr>
          <w:ilvl w:val="3"/>
          <w:numId w:val="1"/>
        </w:numPr>
        <w:ind w:hanging="0" w:left="0"/>
        <w:rPr/>
      </w:pPr>
      <w:r>
        <w:rPr/>
        <w:t>ADMINISTRATIVE REQUIREMENTS</w:t>
      </w:r>
    </w:p>
    <w:p>
      <w:pPr>
        <w:pStyle w:val="PR1"/>
        <w:numPr>
          <w:ilvl w:val="4"/>
          <w:numId w:val="1"/>
        </w:numPr>
        <w:ind w:hanging="0" w:left="0"/>
        <w:rPr/>
      </w:pPr>
      <w:r>
        <w:rPr/>
        <w:t>Respond to questions and requests from Architect about ASHRAE 189.1 requirements that are the responsibility of Contractor, that depend on product selection or product qualities, or that depend on Contractor's procedures. Document responses as informational submittals.</w:t>
      </w:r>
    </w:p>
    <w:p>
      <w:pPr>
        <w:pStyle w:val="ART"/>
        <w:numPr>
          <w:ilvl w:val="3"/>
          <w:numId w:val="1"/>
        </w:numPr>
        <w:ind w:hanging="0" w:left="0"/>
        <w:rPr/>
      </w:pPr>
      <w:r>
        <w:rPr/>
        <w:t>ACTION SUBMITTALS</w:t>
      </w:r>
    </w:p>
    <w:p>
      <w:pPr>
        <w:pStyle w:val="PR1"/>
        <w:numPr>
          <w:ilvl w:val="4"/>
          <w:numId w:val="1"/>
        </w:numPr>
        <w:ind w:hanging="0" w:left="0"/>
        <w:rPr/>
      </w:pPr>
      <w:r>
        <w:rPr/>
        <w:t>General: Submit additional sustainable design submittals required by other Specification Sections.</w:t>
      </w:r>
    </w:p>
    <w:p>
      <w:pPr>
        <w:pStyle w:val="CMT"/>
        <w:rPr/>
      </w:pPr>
      <w:r>
        <w:rPr/>
        <w:t>Retain first paragraph below if separate sustainable design submittals are required.</w:t>
      </w:r>
    </w:p>
    <w:p>
      <w:pPr>
        <w:pStyle w:val="PR1"/>
        <w:numPr>
          <w:ilvl w:val="4"/>
          <w:numId w:val="1"/>
        </w:numPr>
        <w:ind w:hanging="0" w:left="0"/>
        <w:rPr/>
      </w:pPr>
      <w:r>
        <w:rPr/>
        <w:t>Sustainable design submittals are in addition to other submittals.</w:t>
      </w:r>
    </w:p>
    <w:p>
      <w:pPr>
        <w:pStyle w:val="PR2"/>
        <w:numPr>
          <w:ilvl w:val="5"/>
          <w:numId w:val="1"/>
        </w:numPr>
        <w:spacing w:before="240" w:after="0"/>
        <w:ind w:hanging="0" w:left="0"/>
        <w:rPr/>
      </w:pPr>
      <w:r>
        <w:rPr/>
        <w:t>If submitted item is identical to that submitted to comply with other requirements, include an additional copy with other submittal as a record copy of compliance with indicated ASHRAE 189.1 requirements instead of separate sustainable design submittal. Mark additional copy "Sustainable design submittal."</w:t>
      </w:r>
    </w:p>
    <w:p>
      <w:pPr>
        <w:pStyle w:val="CMT"/>
        <w:rPr/>
      </w:pPr>
      <w:r>
        <w:rPr/>
        <w:t>Submittals in "ASHRAE 189.1 Documentation Submittals" Paragraph below may be necessary to verify compliance with indicated ASHRAE 189.1 requirements. Additional submittals may be required in other Sections.</w:t>
      </w:r>
    </w:p>
    <w:p>
      <w:pPr>
        <w:pStyle w:val="PR1"/>
        <w:numPr>
          <w:ilvl w:val="4"/>
          <w:numId w:val="1"/>
        </w:numPr>
        <w:ind w:hanging="0" w:left="0"/>
        <w:rPr/>
      </w:pPr>
      <w:r>
        <w:rPr/>
        <w:t>ASHRAE 189.1 Documentation Submittals:</w:t>
      </w:r>
    </w:p>
    <w:p>
      <w:pPr>
        <w:pStyle w:val="PR2"/>
        <w:numPr>
          <w:ilvl w:val="5"/>
          <w:numId w:val="1"/>
        </w:numPr>
        <w:spacing w:before="240" w:after="0"/>
        <w:ind w:hanging="0" w:left="0"/>
        <w:rPr/>
      </w:pPr>
      <w:r>
        <w:rPr/>
        <w:t>Recycled Materials: Product Data and certification letter from product manufacturers indicating percentages by weight of postconsumer and preconsumer recycled content for products having recycled content. Include statement indicating cost.</w:t>
      </w:r>
    </w:p>
    <w:p>
      <w:pPr>
        <w:pStyle w:val="PR2"/>
        <w:numPr>
          <w:ilvl w:val="5"/>
          <w:numId w:val="1"/>
        </w:numPr>
        <w:ind w:hanging="0" w:left="0"/>
        <w:rPr/>
      </w:pPr>
      <w:r>
        <w:rPr/>
        <w:t>Regional Materials: Product Data indicating location of material manufacturer and point of extraction, harvest, or recovery for raw materials. Include statement indicating distances from Project site, modes of transportation, and cost.</w:t>
      </w:r>
    </w:p>
    <w:p>
      <w:pPr>
        <w:pStyle w:val="PR2"/>
        <w:numPr>
          <w:ilvl w:val="5"/>
          <w:numId w:val="1"/>
        </w:numPr>
        <w:ind w:hanging="0" w:left="0"/>
        <w:rPr/>
      </w:pPr>
      <w:r>
        <w:rPr/>
        <w:t>Biobased Products: Product Data and certification indicating biobased content. Include chain-of-custody certificates for products containing certified wood. Include statement indicating cost for each certified wood product.</w:t>
      </w:r>
    </w:p>
    <w:p>
      <w:pPr>
        <w:pStyle w:val="PR2"/>
        <w:numPr>
          <w:ilvl w:val="5"/>
          <w:numId w:val="1"/>
        </w:numPr>
        <w:ind w:hanging="0" w:left="0"/>
        <w:rPr/>
      </w:pPr>
      <w:r>
        <w:rPr/>
        <w:t>Construction Waste Management: Comply with Section 017419 "Construction Waste Management and Disposal."</w:t>
      </w:r>
    </w:p>
    <w:p>
      <w:pPr>
        <w:pStyle w:val="PR2"/>
        <w:numPr>
          <w:ilvl w:val="5"/>
          <w:numId w:val="1"/>
        </w:numPr>
        <w:ind w:hanging="0" w:left="0"/>
        <w:rPr/>
      </w:pPr>
      <w:r>
        <w:rPr/>
        <w:t>Indoor Air Quality during Construction:</w:t>
      </w:r>
    </w:p>
    <w:p>
      <w:pPr>
        <w:pStyle w:val="PR3"/>
        <w:numPr>
          <w:ilvl w:val="6"/>
          <w:numId w:val="1"/>
        </w:numPr>
        <w:spacing w:before="240" w:after="0"/>
        <w:ind w:hanging="0" w:left="0"/>
        <w:rPr/>
      </w:pPr>
      <w:r>
        <w:rPr/>
        <w:t>Construction indoor-air-quality management plan.</w:t>
      </w:r>
    </w:p>
    <w:p>
      <w:pPr>
        <w:pStyle w:val="PR3"/>
        <w:numPr>
          <w:ilvl w:val="6"/>
          <w:numId w:val="1"/>
        </w:numPr>
        <w:ind w:hanging="0" w:left="0"/>
        <w:rPr/>
      </w:pPr>
      <w:r>
        <w:rPr/>
        <w:t>Product Data for temporary filtration media.</w:t>
      </w:r>
    </w:p>
    <w:p>
      <w:pPr>
        <w:pStyle w:val="PR3"/>
        <w:numPr>
          <w:ilvl w:val="6"/>
          <w:numId w:val="1"/>
        </w:numPr>
        <w:ind w:hanging="0" w:left="0"/>
        <w:rPr/>
      </w:pPr>
      <w:r>
        <w:rPr/>
        <w:t>Product Data for filtration media used during occupancy.</w:t>
      </w:r>
    </w:p>
    <w:p>
      <w:pPr>
        <w:pStyle w:val="PR2"/>
        <w:numPr>
          <w:ilvl w:val="5"/>
          <w:numId w:val="1"/>
        </w:numPr>
        <w:spacing w:before="240" w:after="0"/>
        <w:ind w:hanging="0" w:left="0"/>
        <w:rPr/>
      </w:pPr>
      <w:r>
        <w:rPr/>
        <w:t>Material Emissions and Pollutant Control: Product Data for the following indicating compliance with requirements.</w:t>
      </w:r>
    </w:p>
    <w:p>
      <w:pPr>
        <w:pStyle w:val="PR3"/>
        <w:numPr>
          <w:ilvl w:val="6"/>
          <w:numId w:val="1"/>
        </w:numPr>
        <w:spacing w:before="240" w:after="0"/>
        <w:ind w:hanging="0" w:left="0"/>
        <w:rPr/>
      </w:pPr>
      <w:r>
        <w:rPr/>
        <w:t>Adhesives and sealants.</w:t>
      </w:r>
    </w:p>
    <w:p>
      <w:pPr>
        <w:pStyle w:val="PR3"/>
        <w:numPr>
          <w:ilvl w:val="6"/>
          <w:numId w:val="1"/>
        </w:numPr>
        <w:ind w:hanging="0" w:left="0"/>
        <w:rPr/>
      </w:pPr>
      <w:r>
        <w:rPr/>
        <w:t>Paints and coatings.</w:t>
      </w:r>
    </w:p>
    <w:p>
      <w:pPr>
        <w:pStyle w:val="PR3"/>
        <w:numPr>
          <w:ilvl w:val="6"/>
          <w:numId w:val="1"/>
        </w:numPr>
        <w:ind w:hanging="0" w:left="0"/>
        <w:rPr/>
      </w:pPr>
      <w:r>
        <w:rPr/>
        <w:t>Floor covering materials.</w:t>
      </w:r>
    </w:p>
    <w:p>
      <w:pPr>
        <w:pStyle w:val="PR3"/>
        <w:numPr>
          <w:ilvl w:val="6"/>
          <w:numId w:val="1"/>
        </w:numPr>
        <w:ind w:hanging="0" w:left="0"/>
        <w:rPr/>
      </w:pPr>
      <w:r>
        <w:rPr/>
        <w:t>Composite wood products.</w:t>
      </w:r>
    </w:p>
    <w:p>
      <w:pPr>
        <w:pStyle w:val="PR3"/>
        <w:numPr>
          <w:ilvl w:val="6"/>
          <w:numId w:val="1"/>
        </w:numPr>
        <w:ind w:hanging="0" w:left="0"/>
        <w:rPr/>
      </w:pPr>
      <w:r>
        <w:rPr/>
        <w:t>Ceiling and wall systems.</w:t>
      </w:r>
    </w:p>
    <w:p>
      <w:pPr>
        <w:pStyle w:val="ART"/>
        <w:numPr>
          <w:ilvl w:val="3"/>
          <w:numId w:val="1"/>
        </w:numPr>
        <w:ind w:hanging="0" w:left="0"/>
        <w:rPr/>
      </w:pPr>
      <w:r>
        <w:rPr/>
        <w:t>INFORMATIONAL SUBMITTALS</w:t>
      </w:r>
    </w:p>
    <w:p>
      <w:pPr>
        <w:pStyle w:val="PR1"/>
        <w:numPr>
          <w:ilvl w:val="4"/>
          <w:numId w:val="1"/>
        </w:numPr>
        <w:ind w:hanging="0" w:left="0"/>
        <w:rPr/>
      </w:pPr>
      <w:r>
        <w:rPr/>
        <w:t>Project Materials Cost Data: Provide statement indicating total cost for materials used for Project. Costs exclude labor, overhead, and profit. Include breakout of costs for the following categories of items:</w:t>
      </w:r>
    </w:p>
    <w:p>
      <w:pPr>
        <w:pStyle w:val="PR2"/>
        <w:numPr>
          <w:ilvl w:val="5"/>
          <w:numId w:val="1"/>
        </w:numPr>
        <w:spacing w:before="240" w:after="0"/>
        <w:ind w:hanging="0" w:left="0"/>
        <w:rPr/>
      </w:pPr>
      <w:r>
        <w:rPr/>
        <w:t>Mechanical.</w:t>
      </w:r>
    </w:p>
    <w:p>
      <w:pPr>
        <w:pStyle w:val="PR2"/>
        <w:numPr>
          <w:ilvl w:val="5"/>
          <w:numId w:val="1"/>
        </w:numPr>
        <w:ind w:hanging="0" w:left="0"/>
        <w:rPr/>
      </w:pPr>
      <w:r>
        <w:rPr/>
        <w:t>Electrical.</w:t>
      </w:r>
    </w:p>
    <w:p>
      <w:pPr>
        <w:pStyle w:val="PR2"/>
        <w:numPr>
          <w:ilvl w:val="5"/>
          <w:numId w:val="1"/>
        </w:numPr>
        <w:ind w:hanging="0" w:left="0"/>
        <w:rPr/>
      </w:pPr>
      <w:r>
        <w:rPr/>
        <w:t>Plumbing.</w:t>
      </w:r>
    </w:p>
    <w:p>
      <w:pPr>
        <w:pStyle w:val="PR2"/>
        <w:numPr>
          <w:ilvl w:val="5"/>
          <w:numId w:val="1"/>
        </w:numPr>
        <w:ind w:hanging="0" w:left="0"/>
        <w:rPr/>
      </w:pPr>
      <w:r>
        <w:rPr/>
        <w:t>Fire safety systems.</w:t>
      </w:r>
    </w:p>
    <w:p>
      <w:pPr>
        <w:pStyle w:val="PR2"/>
        <w:numPr>
          <w:ilvl w:val="5"/>
          <w:numId w:val="1"/>
        </w:numPr>
        <w:ind w:hanging="0" w:left="0"/>
        <w:rPr/>
      </w:pPr>
      <w:r>
        <w:rPr/>
        <w:t>Transportation devices.</w:t>
      </w:r>
    </w:p>
    <w:p>
      <w:pPr>
        <w:pStyle w:val="PR2"/>
        <w:numPr>
          <w:ilvl w:val="5"/>
          <w:numId w:val="1"/>
        </w:numPr>
        <w:ind w:hanging="0" w:left="0"/>
        <w:rPr/>
      </w:pPr>
      <w:r>
        <w:rPr/>
        <w:t>Piping.</w:t>
      </w:r>
    </w:p>
    <w:p>
      <w:pPr>
        <w:pStyle w:val="PR2"/>
        <w:numPr>
          <w:ilvl w:val="5"/>
          <w:numId w:val="1"/>
        </w:numPr>
        <w:ind w:hanging="0" w:left="0"/>
        <w:rPr/>
      </w:pPr>
      <w:r>
        <w:rPr/>
        <w:t>Plumbing fixtures.</w:t>
      </w:r>
    </w:p>
    <w:p>
      <w:pPr>
        <w:pStyle w:val="PR2"/>
        <w:numPr>
          <w:ilvl w:val="5"/>
          <w:numId w:val="1"/>
        </w:numPr>
        <w:ind w:hanging="0" w:left="0"/>
        <w:rPr/>
      </w:pPr>
      <w:r>
        <w:rPr/>
        <w:t>Ductwork.</w:t>
      </w:r>
    </w:p>
    <w:p>
      <w:pPr>
        <w:pStyle w:val="PR2"/>
        <w:numPr>
          <w:ilvl w:val="5"/>
          <w:numId w:val="1"/>
        </w:numPr>
        <w:ind w:hanging="0" w:left="0"/>
        <w:rPr/>
      </w:pPr>
      <w:r>
        <w:rPr/>
        <w:t>Conduit.</w:t>
      </w:r>
    </w:p>
    <w:p>
      <w:pPr>
        <w:pStyle w:val="PR2"/>
        <w:numPr>
          <w:ilvl w:val="5"/>
          <w:numId w:val="1"/>
        </w:numPr>
        <w:ind w:hanging="0" w:left="0"/>
        <w:rPr/>
      </w:pPr>
      <w:r>
        <w:rPr/>
        <w:t>Wiring.</w:t>
      </w:r>
    </w:p>
    <w:p>
      <w:pPr>
        <w:pStyle w:val="PR2"/>
        <w:numPr>
          <w:ilvl w:val="5"/>
          <w:numId w:val="1"/>
        </w:numPr>
        <w:ind w:hanging="0" w:left="0"/>
        <w:rPr/>
      </w:pPr>
      <w:r>
        <w:rPr/>
        <w:t>Cabling.</w:t>
      </w:r>
    </w:p>
    <w:p>
      <w:pPr>
        <w:pStyle w:val="PR2"/>
        <w:numPr>
          <w:ilvl w:val="5"/>
          <w:numId w:val="1"/>
        </w:numPr>
        <w:ind w:hanging="0" w:left="0"/>
        <w:rPr/>
      </w:pPr>
      <w:r>
        <w:rPr/>
        <w:t>Elevator and escalator framing.</w:t>
      </w:r>
    </w:p>
    <w:p>
      <w:pPr>
        <w:pStyle w:val="CMT"/>
        <w:rPr/>
      </w:pPr>
      <w:r>
        <w:rPr/>
        <w:t>"Action Plans" Paragraph below requires Contractor to make early submittals indicating how certain requirements will be met. This action can provide reassurance that Contractor understands the requirements and can help to clear up misunderstandings before they become a bigger problem.</w:t>
      </w:r>
    </w:p>
    <w:p>
      <w:pPr>
        <w:pStyle w:val="PR1"/>
        <w:numPr>
          <w:ilvl w:val="4"/>
          <w:numId w:val="1"/>
        </w:numPr>
        <w:ind w:hanging="0" w:left="0"/>
        <w:rPr/>
      </w:pPr>
      <w:r>
        <w:rPr/>
        <w:t>Action Plans: Submit the following action plans within [</w:t>
      </w:r>
      <w:r>
        <w:rPr>
          <w:b/>
        </w:rPr>
        <w:t>seven</w:t>
      </w:r>
      <w:r>
        <w:rPr/>
        <w:t>] [</w:t>
      </w:r>
      <w:r>
        <w:rPr>
          <w:b/>
        </w:rPr>
        <w:t>14</w:t>
      </w:r>
      <w:r>
        <w:rPr/>
        <w:t>] [</w:t>
      </w:r>
      <w:r>
        <w:rPr>
          <w:b/>
        </w:rPr>
        <w:t>30</w:t>
      </w:r>
      <w:r>
        <w:rPr/>
        <w:t>] [</w:t>
      </w:r>
      <w:r>
        <w:rPr>
          <w:b/>
        </w:rPr>
        <w:t>60</w:t>
      </w:r>
      <w:r>
        <w:rPr/>
        <w:t>] &lt;</w:t>
      </w:r>
      <w:r>
        <w:rPr>
          <w:b/>
        </w:rPr>
        <w:t>Insert number</w:t>
      </w:r>
      <w:r>
        <w:rPr/>
        <w:t>&gt; days of date established for [</w:t>
      </w:r>
      <w:r>
        <w:rPr>
          <w:b/>
        </w:rPr>
        <w:t>commencement of the Work</w:t>
      </w:r>
      <w:r>
        <w:rPr/>
        <w:t>] [</w:t>
      </w:r>
      <w:r>
        <w:rPr>
          <w:b/>
        </w:rPr>
        <w:t>the Notice to Proceed</w:t>
      </w:r>
      <w:r>
        <w:rPr/>
        <w:t>] [</w:t>
      </w:r>
      <w:r>
        <w:rPr>
          <w:b/>
        </w:rPr>
        <w:t>the Notice of Award</w:t>
      </w:r>
      <w:r>
        <w:rPr/>
        <w:t>] indicating how requirements will be met.</w:t>
      </w:r>
    </w:p>
    <w:p>
      <w:pPr>
        <w:pStyle w:val="PR2"/>
        <w:numPr>
          <w:ilvl w:val="5"/>
          <w:numId w:val="1"/>
        </w:numPr>
        <w:spacing w:before="240" w:after="0"/>
        <w:ind w:hanging="0" w:left="0"/>
        <w:rPr/>
      </w:pPr>
      <w:r>
        <w:rPr/>
        <w:t>List of proposed materials with recycled content. Indicate cost, postconsumer recycled content, and preconsumer recycled content for each product having recycled content.</w:t>
      </w:r>
    </w:p>
    <w:p>
      <w:pPr>
        <w:pStyle w:val="PR2"/>
        <w:numPr>
          <w:ilvl w:val="5"/>
          <w:numId w:val="1"/>
        </w:numPr>
        <w:ind w:hanging="0" w:left="0"/>
        <w:rPr/>
      </w:pPr>
      <w:r>
        <w:rPr/>
        <w:t>List of proposed regional materials.</w:t>
      </w:r>
    </w:p>
    <w:p>
      <w:pPr>
        <w:pStyle w:val="PR2"/>
        <w:numPr>
          <w:ilvl w:val="5"/>
          <w:numId w:val="1"/>
        </w:numPr>
        <w:ind w:hanging="0" w:left="0"/>
        <w:rPr/>
      </w:pPr>
      <w:r>
        <w:rPr/>
        <w:t>List of proposed biobased products.</w:t>
      </w:r>
    </w:p>
    <w:p>
      <w:pPr>
        <w:pStyle w:val="PR2"/>
        <w:numPr>
          <w:ilvl w:val="5"/>
          <w:numId w:val="1"/>
        </w:numPr>
        <w:ind w:hanging="0" w:left="0"/>
        <w:rPr/>
      </w:pPr>
      <w:r>
        <w:rPr/>
        <w:t>Waste management plan complying with Section 017419 "Construction Waste Management and Disposal."</w:t>
      </w:r>
    </w:p>
    <w:p>
      <w:pPr>
        <w:pStyle w:val="PR2"/>
        <w:numPr>
          <w:ilvl w:val="5"/>
          <w:numId w:val="1"/>
        </w:numPr>
        <w:ind w:hanging="0" w:left="0"/>
        <w:rPr/>
      </w:pPr>
      <w:r>
        <w:rPr/>
        <w:t>Construction indoor-air-quality management plan.</w:t>
      </w:r>
    </w:p>
    <w:p>
      <w:pPr>
        <w:pStyle w:val="PR1"/>
        <w:numPr>
          <w:ilvl w:val="4"/>
          <w:numId w:val="1"/>
        </w:numPr>
        <w:ind w:hanging="0" w:left="0"/>
        <w:rPr/>
      </w:pPr>
      <w:r>
        <w:rPr/>
        <w:t>Progress Reports: Concurrent with each Application for Payment, submit reports comparing actual construction activities with action plans.</w:t>
      </w:r>
    </w:p>
    <w:p>
      <w:pPr>
        <w:pStyle w:val="CMT"/>
        <w:rPr/>
      </w:pPr>
      <w:r>
        <w:rPr/>
        <w:t>Retain paragraph below if using Contractor-engaged, indoor-air-quality testing.</w:t>
      </w:r>
    </w:p>
    <w:p>
      <w:pPr>
        <w:pStyle w:val="PR1"/>
        <w:numPr>
          <w:ilvl w:val="4"/>
          <w:numId w:val="1"/>
        </w:numPr>
        <w:ind w:hanging="0" w:left="0"/>
        <w:rPr/>
      </w:pPr>
      <w:r>
        <w:rPr/>
        <w:t>Indoor-air-quality test report.</w:t>
      </w:r>
    </w:p>
    <w:p>
      <w:pPr>
        <w:pStyle w:val="PRT"/>
        <w:numPr>
          <w:ilvl w:val="0"/>
          <w:numId w:val="1"/>
        </w:numPr>
        <w:ind w:hanging="0" w:left="0"/>
        <w:rPr/>
      </w:pPr>
      <w:r>
        <w:rPr/>
        <w:t>PRODUCTS</w:t>
      </w:r>
    </w:p>
    <w:p>
      <w:pPr>
        <w:pStyle w:val="ART"/>
        <w:numPr>
          <w:ilvl w:val="3"/>
          <w:numId w:val="1"/>
        </w:numPr>
        <w:ind w:hanging="0" w:left="0"/>
        <w:rPr/>
      </w:pPr>
      <w:r>
        <w:rPr/>
        <w:t>MATERIALS, GENERAL</w:t>
      </w:r>
    </w:p>
    <w:p>
      <w:pPr>
        <w:pStyle w:val="CMT"/>
        <w:rPr/>
      </w:pPr>
      <w:r>
        <w:rPr/>
        <w:t>Usually retain this article when requirements for used, recycled content, recyclable, biobased, or indigenous materials or for VOC emissions or content are included in technical Sections. This will help ensure that requirements for material selection and material emissions and pollutant control are met.</w:t>
      </w:r>
    </w:p>
    <w:p>
      <w:pPr>
        <w:pStyle w:val="PR1"/>
        <w:numPr>
          <w:ilvl w:val="4"/>
          <w:numId w:val="1"/>
        </w:numPr>
        <w:ind w:hanging="0" w:left="0"/>
        <w:rPr/>
      </w:pPr>
      <w:r>
        <w:rPr/>
        <w:t>Provide products and procedures necessary to comply with requirements in this Section for material selection and material emissions and pollutant control. Although other Sections may specify some requirements for material selection and material emissions and pollutant control, Contractor shall provide additional materials and procedures necessary to comply with requirements.</w:t>
      </w:r>
    </w:p>
    <w:p>
      <w:pPr>
        <w:pStyle w:val="ART"/>
        <w:numPr>
          <w:ilvl w:val="3"/>
          <w:numId w:val="1"/>
        </w:numPr>
        <w:ind w:hanging="0" w:left="0"/>
        <w:rPr/>
      </w:pPr>
      <w:r>
        <w:rPr/>
        <w:t>MATERIAL SELECTION</w:t>
      </w:r>
    </w:p>
    <w:p>
      <w:pPr>
        <w:pStyle w:val="CMT"/>
        <w:rPr/>
      </w:pPr>
      <w:r>
        <w:rPr/>
        <w:t>Retain this article if Contractor is responsible for meeting requirement for recycled content of materials.</w:t>
      </w:r>
    </w:p>
    <w:p>
      <w:pPr>
        <w:pStyle w:val="PR1"/>
        <w:numPr>
          <w:ilvl w:val="4"/>
          <w:numId w:val="1"/>
        </w:numPr>
        <w:ind w:hanging="0" w:left="0"/>
        <w:rPr/>
      </w:pPr>
      <w:r>
        <w:rPr/>
        <w:t>Recycled Content: Building materials shall have recycled content such that postconsumer recycled content plus one-half of preconsumer recycled content for Project constitutes a minimum of 10 percent of cost of materials used for Project.</w:t>
      </w:r>
    </w:p>
    <w:p>
      <w:pPr>
        <w:pStyle w:val="PR2"/>
        <w:numPr>
          <w:ilvl w:val="5"/>
          <w:numId w:val="1"/>
        </w:numPr>
        <w:spacing w:before="240" w:after="0"/>
        <w:ind w:hanging="0" w:left="0"/>
        <w:rPr/>
      </w:pPr>
      <w:r>
        <w:rPr/>
        <w:t>Cost of postconsumer recycled content plus one-half of preconsumer recycled content of an item shall be determined by dividing weight of postconsumer recycled content plus one-half of preconsumer recycled content in the item by total weight of the item and multiplying by cost of the item.</w:t>
      </w:r>
    </w:p>
    <w:p>
      <w:pPr>
        <w:pStyle w:val="PR2"/>
        <w:numPr>
          <w:ilvl w:val="5"/>
          <w:numId w:val="1"/>
        </w:numPr>
        <w:ind w:hanging="0" w:left="0"/>
        <w:rPr/>
      </w:pPr>
      <w:r>
        <w:rPr/>
        <w:t>Do not include components of mechanical, electrical, plumbing, and fire safety systems and transportation devices other than piping, plumbing fixtures, ductwork, conduit, wiring, cabling, and elevator and escalator framing in the calculation.</w:t>
      </w:r>
    </w:p>
    <w:p>
      <w:pPr>
        <w:pStyle w:val="PR1"/>
        <w:numPr>
          <w:ilvl w:val="4"/>
          <w:numId w:val="1"/>
        </w:numPr>
        <w:ind w:hanging="0" w:left="0"/>
        <w:rPr/>
      </w:pPr>
      <w:r>
        <w:rPr/>
        <w:t>Regional Materials: Not less than 15 percent of building materials, based on cost, shall be regional materials.</w:t>
      </w:r>
    </w:p>
    <w:p>
      <w:pPr>
        <w:pStyle w:val="PR1"/>
        <w:numPr>
          <w:ilvl w:val="4"/>
          <w:numId w:val="1"/>
        </w:numPr>
        <w:ind w:hanging="0" w:left="0"/>
        <w:rPr/>
      </w:pPr>
      <w:r>
        <w:rPr/>
        <w:t>Biobased Products: Not less than 5 percent of building materials, based on cost, shall be biobased materials.</w:t>
      </w:r>
    </w:p>
    <w:p>
      <w:pPr>
        <w:pStyle w:val="ART"/>
        <w:numPr>
          <w:ilvl w:val="3"/>
          <w:numId w:val="1"/>
        </w:numPr>
        <w:ind w:hanging="0" w:left="0"/>
        <w:rPr/>
      </w:pPr>
      <w:r>
        <w:rPr/>
        <w:t>MATERIAL EMISSIONS AND POLLUTANT CONTROL</w:t>
      </w:r>
    </w:p>
    <w:p>
      <w:pPr>
        <w:pStyle w:val="PR1"/>
        <w:numPr>
          <w:ilvl w:val="4"/>
          <w:numId w:val="1"/>
        </w:numPr>
        <w:ind w:hanging="0" w:left="0"/>
        <w:rPr/>
      </w:pPr>
      <w:r>
        <w:rPr/>
        <w:t>Adhesives and Sealants: Field-applied adhesives and sealants that are inside the weatherproofing system shall comply with either of the following:</w:t>
      </w:r>
    </w:p>
    <w:p>
      <w:pPr>
        <w:pStyle w:val="PR2"/>
        <w:numPr>
          <w:ilvl w:val="5"/>
          <w:numId w:val="1"/>
        </w:numPr>
        <w:spacing w:before="240" w:after="0"/>
        <w:ind w:hanging="0" w:left="0"/>
        <w:rPr/>
      </w:pPr>
      <w:r>
        <w:rPr/>
        <w:t>Low-Emitting Materials: VOC emissions shall comply with the requirements of the California Department of Public Health's "Standard Method for the Testing and Evaluation of Volatile Organic Chemical Emissions from Indoor Sources Using Environmental Chambers."</w:t>
      </w:r>
    </w:p>
    <w:p>
      <w:pPr>
        <w:pStyle w:val="PR2"/>
        <w:numPr>
          <w:ilvl w:val="5"/>
          <w:numId w:val="1"/>
        </w:numPr>
        <w:ind w:hanging="0" w:left="0"/>
        <w:rPr/>
      </w:pPr>
      <w:r>
        <w:rPr/>
        <w:t>VOC content shall not exceed limits of authorities having jurisdiction and the following:</w:t>
      </w:r>
    </w:p>
    <w:p>
      <w:pPr>
        <w:pStyle w:val="PR3"/>
        <w:numPr>
          <w:ilvl w:val="6"/>
          <w:numId w:val="1"/>
        </w:numPr>
        <w:spacing w:before="240" w:after="0"/>
        <w:ind w:hanging="0" w:left="0"/>
        <w:rPr/>
      </w:pPr>
      <w:r>
        <w:rPr/>
        <w:t>Wood Glues: 30 g/L.</w:t>
      </w:r>
    </w:p>
    <w:p>
      <w:pPr>
        <w:pStyle w:val="PR3"/>
        <w:numPr>
          <w:ilvl w:val="6"/>
          <w:numId w:val="1"/>
        </w:numPr>
        <w:ind w:hanging="0" w:left="0"/>
        <w:rPr/>
      </w:pPr>
      <w:r>
        <w:rPr/>
        <w:t>Metal-to-Metal Adhesives: 30 g/L.</w:t>
      </w:r>
    </w:p>
    <w:p>
      <w:pPr>
        <w:pStyle w:val="PR3"/>
        <w:numPr>
          <w:ilvl w:val="6"/>
          <w:numId w:val="1"/>
        </w:numPr>
        <w:ind w:hanging="0" w:left="0"/>
        <w:rPr/>
      </w:pPr>
      <w:r>
        <w:rPr/>
        <w:t>Adhesives for Porous Materials (except Wood): 50 g/L.</w:t>
      </w:r>
    </w:p>
    <w:p>
      <w:pPr>
        <w:pStyle w:val="PR3"/>
        <w:numPr>
          <w:ilvl w:val="6"/>
          <w:numId w:val="1"/>
        </w:numPr>
        <w:ind w:hanging="0" w:left="0"/>
        <w:rPr/>
      </w:pPr>
      <w:r>
        <w:rPr/>
        <w:t>Subfloor Adhesives: 50 g/L.</w:t>
      </w:r>
    </w:p>
    <w:p>
      <w:pPr>
        <w:pStyle w:val="PR3"/>
        <w:numPr>
          <w:ilvl w:val="6"/>
          <w:numId w:val="1"/>
        </w:numPr>
        <w:ind w:hanging="0" w:left="0"/>
        <w:rPr/>
      </w:pPr>
      <w:r>
        <w:rPr/>
        <w:t>Plastic Foam Adhesives: 50 g/L.</w:t>
      </w:r>
    </w:p>
    <w:p>
      <w:pPr>
        <w:pStyle w:val="PR3"/>
        <w:numPr>
          <w:ilvl w:val="6"/>
          <w:numId w:val="1"/>
        </w:numPr>
        <w:ind w:hanging="0" w:left="0"/>
        <w:rPr/>
      </w:pPr>
      <w:r>
        <w:rPr/>
        <w:t>Carpet Adhesives: 50 g/L.</w:t>
      </w:r>
    </w:p>
    <w:p>
      <w:pPr>
        <w:pStyle w:val="PR3"/>
        <w:numPr>
          <w:ilvl w:val="6"/>
          <w:numId w:val="1"/>
        </w:numPr>
        <w:ind w:hanging="0" w:left="0"/>
        <w:rPr/>
      </w:pPr>
      <w:r>
        <w:rPr/>
        <w:t>Carpet Pad Adhesives: 50 g/L.</w:t>
      </w:r>
    </w:p>
    <w:p>
      <w:pPr>
        <w:pStyle w:val="PR3"/>
        <w:numPr>
          <w:ilvl w:val="6"/>
          <w:numId w:val="1"/>
        </w:numPr>
        <w:ind w:hanging="0" w:left="0"/>
        <w:rPr/>
      </w:pPr>
      <w:r>
        <w:rPr/>
        <w:t>VCT and Asphalt Tile Adhesives: 50 g/L.</w:t>
      </w:r>
    </w:p>
    <w:p>
      <w:pPr>
        <w:pStyle w:val="PR3"/>
        <w:numPr>
          <w:ilvl w:val="6"/>
          <w:numId w:val="1"/>
        </w:numPr>
        <w:ind w:hanging="0" w:left="0"/>
        <w:rPr/>
      </w:pPr>
      <w:r>
        <w:rPr/>
        <w:t>Cove Base Adhesives: 50 g/L.</w:t>
      </w:r>
    </w:p>
    <w:p>
      <w:pPr>
        <w:pStyle w:val="PR3"/>
        <w:numPr>
          <w:ilvl w:val="6"/>
          <w:numId w:val="1"/>
        </w:numPr>
        <w:ind w:hanging="0" w:left="0"/>
        <w:rPr/>
      </w:pPr>
      <w:r>
        <w:rPr/>
        <w:t>Gypsum Board and Panel Adhesives: 50 g/L.</w:t>
      </w:r>
    </w:p>
    <w:p>
      <w:pPr>
        <w:pStyle w:val="PR3"/>
        <w:numPr>
          <w:ilvl w:val="6"/>
          <w:numId w:val="1"/>
        </w:numPr>
        <w:ind w:hanging="0" w:left="0"/>
        <w:rPr/>
      </w:pPr>
      <w:r>
        <w:rPr/>
        <w:t>Rubber Floor Adhesives: 60 g/L.</w:t>
      </w:r>
    </w:p>
    <w:p>
      <w:pPr>
        <w:pStyle w:val="PR3"/>
        <w:numPr>
          <w:ilvl w:val="6"/>
          <w:numId w:val="1"/>
        </w:numPr>
        <w:ind w:hanging="0" w:left="0"/>
        <w:rPr/>
      </w:pPr>
      <w:r>
        <w:rPr/>
        <w:t>Ceramic Tile Adhesives: 65 g/L.</w:t>
      </w:r>
    </w:p>
    <w:p>
      <w:pPr>
        <w:pStyle w:val="PR3"/>
        <w:numPr>
          <w:ilvl w:val="6"/>
          <w:numId w:val="1"/>
        </w:numPr>
        <w:ind w:hanging="0" w:left="0"/>
        <w:rPr/>
      </w:pPr>
      <w:r>
        <w:rPr/>
        <w:t>Multipurpose Construction Adhesives: 70 g/L.</w:t>
      </w:r>
    </w:p>
    <w:p>
      <w:pPr>
        <w:pStyle w:val="PR3"/>
        <w:numPr>
          <w:ilvl w:val="6"/>
          <w:numId w:val="1"/>
        </w:numPr>
        <w:ind w:hanging="0" w:left="0"/>
        <w:rPr/>
      </w:pPr>
      <w:r>
        <w:rPr/>
        <w:t>Fiberglass Adhesives: 80 g/L.</w:t>
      </w:r>
    </w:p>
    <w:p>
      <w:pPr>
        <w:pStyle w:val="PR3"/>
        <w:numPr>
          <w:ilvl w:val="6"/>
          <w:numId w:val="1"/>
        </w:numPr>
        <w:ind w:hanging="0" w:left="0"/>
        <w:rPr/>
      </w:pPr>
      <w:r>
        <w:rPr/>
        <w:t>Contact Adhesive: 80 g/L.</w:t>
      </w:r>
    </w:p>
    <w:p>
      <w:pPr>
        <w:pStyle w:val="PR3"/>
        <w:numPr>
          <w:ilvl w:val="6"/>
          <w:numId w:val="1"/>
        </w:numPr>
        <w:ind w:hanging="0" w:left="0"/>
        <w:rPr/>
      </w:pPr>
      <w:r>
        <w:rPr/>
        <w:t>Structural Glazing Adhesives: 100 g/L.</w:t>
      </w:r>
    </w:p>
    <w:p>
      <w:pPr>
        <w:pStyle w:val="PR3"/>
        <w:numPr>
          <w:ilvl w:val="6"/>
          <w:numId w:val="1"/>
        </w:numPr>
        <w:ind w:hanging="0" w:left="0"/>
        <w:rPr/>
      </w:pPr>
      <w:r>
        <w:rPr/>
        <w:t>Wood Flooring Adhesive: 100 g/L.</w:t>
      </w:r>
    </w:p>
    <w:p>
      <w:pPr>
        <w:pStyle w:val="PR3"/>
        <w:numPr>
          <w:ilvl w:val="6"/>
          <w:numId w:val="1"/>
        </w:numPr>
        <w:ind w:hanging="0" w:left="0"/>
        <w:rPr/>
      </w:pPr>
      <w:r>
        <w:rPr/>
        <w:t>Structural Wood Member Adhesive: 140 g/L.</w:t>
      </w:r>
    </w:p>
    <w:p>
      <w:pPr>
        <w:pStyle w:val="PR3"/>
        <w:numPr>
          <w:ilvl w:val="6"/>
          <w:numId w:val="1"/>
        </w:numPr>
        <w:ind w:hanging="0" w:left="0"/>
        <w:rPr/>
      </w:pPr>
      <w:r>
        <w:rPr/>
        <w:t>Single-Ply Roof Membrane Adhesive: 250 g/L.</w:t>
      </w:r>
    </w:p>
    <w:p>
      <w:pPr>
        <w:pStyle w:val="PR3"/>
        <w:numPr>
          <w:ilvl w:val="6"/>
          <w:numId w:val="1"/>
        </w:numPr>
        <w:ind w:hanging="0" w:left="0"/>
        <w:rPr/>
      </w:pPr>
      <w:r>
        <w:rPr/>
        <w:t>Special-Purpose Contact Adhesive (Contact Adhesive That Is Used to Bond Melamine Covered Board, Metal, Unsupported Vinyl, Rubber, or Wood Veneer 1/16 Inch or Less in Thickness to Any Surface): 250 g/L.</w:t>
      </w:r>
    </w:p>
    <w:p>
      <w:pPr>
        <w:pStyle w:val="PR3"/>
        <w:numPr>
          <w:ilvl w:val="6"/>
          <w:numId w:val="1"/>
        </w:numPr>
        <w:ind w:hanging="0" w:left="0"/>
        <w:rPr/>
      </w:pPr>
      <w:r>
        <w:rPr/>
        <w:t>Top and Trim Adhesive: 250 g/L.</w:t>
      </w:r>
    </w:p>
    <w:p>
      <w:pPr>
        <w:pStyle w:val="PR3"/>
        <w:numPr>
          <w:ilvl w:val="6"/>
          <w:numId w:val="1"/>
        </w:numPr>
        <w:ind w:hanging="0" w:left="0"/>
        <w:rPr/>
      </w:pPr>
      <w:r>
        <w:rPr/>
        <w:t>Plastic Cement Welding Compounds: 250 g/L.</w:t>
      </w:r>
    </w:p>
    <w:p>
      <w:pPr>
        <w:pStyle w:val="PR3"/>
        <w:numPr>
          <w:ilvl w:val="6"/>
          <w:numId w:val="1"/>
        </w:numPr>
        <w:ind w:hanging="0" w:left="0"/>
        <w:rPr/>
      </w:pPr>
      <w:r>
        <w:rPr/>
        <w:t>ABS Welding Compounds: 325 g/L.</w:t>
      </w:r>
    </w:p>
    <w:p>
      <w:pPr>
        <w:pStyle w:val="PR3"/>
        <w:numPr>
          <w:ilvl w:val="6"/>
          <w:numId w:val="1"/>
        </w:numPr>
        <w:ind w:hanging="0" w:left="0"/>
        <w:rPr/>
      </w:pPr>
      <w:r>
        <w:rPr/>
        <w:t>CPVC Welding Compounds: 490 g/L.</w:t>
      </w:r>
    </w:p>
    <w:p>
      <w:pPr>
        <w:pStyle w:val="PR3"/>
        <w:numPr>
          <w:ilvl w:val="6"/>
          <w:numId w:val="1"/>
        </w:numPr>
        <w:ind w:hanging="0" w:left="0"/>
        <w:rPr/>
      </w:pPr>
      <w:r>
        <w:rPr/>
        <w:t>PVC Welding Compounds: 510 g/L.</w:t>
      </w:r>
    </w:p>
    <w:p>
      <w:pPr>
        <w:pStyle w:val="PR3"/>
        <w:numPr>
          <w:ilvl w:val="6"/>
          <w:numId w:val="1"/>
        </w:numPr>
        <w:ind w:hanging="0" w:left="0"/>
        <w:rPr/>
      </w:pPr>
      <w:r>
        <w:rPr/>
        <w:t>Adhesive Primer for Plastic: 550 g/L.</w:t>
      </w:r>
    </w:p>
    <w:p>
      <w:pPr>
        <w:pStyle w:val="PR3"/>
        <w:numPr>
          <w:ilvl w:val="6"/>
          <w:numId w:val="1"/>
        </w:numPr>
        <w:ind w:hanging="0" w:left="0"/>
        <w:rPr/>
      </w:pPr>
      <w:r>
        <w:rPr/>
        <w:t>Sheet-Applied Rubber Lining Adhesive: 850 g/L.</w:t>
      </w:r>
    </w:p>
    <w:p>
      <w:pPr>
        <w:pStyle w:val="PR3"/>
        <w:numPr>
          <w:ilvl w:val="6"/>
          <w:numId w:val="1"/>
        </w:numPr>
        <w:ind w:hanging="0" w:left="0"/>
        <w:rPr/>
      </w:pPr>
      <w:r>
        <w:rPr/>
        <w:t>Aerosol Adhesive, General-Purpose Mist Spray: 65 percent by weight.</w:t>
      </w:r>
    </w:p>
    <w:p>
      <w:pPr>
        <w:pStyle w:val="PR3"/>
        <w:numPr>
          <w:ilvl w:val="6"/>
          <w:numId w:val="1"/>
        </w:numPr>
        <w:ind w:hanging="0" w:left="0"/>
        <w:rPr/>
      </w:pPr>
      <w:r>
        <w:rPr/>
        <w:t>Aerosol Adhesive, General-Purpose Web Spray: 55 percent by weight.</w:t>
      </w:r>
    </w:p>
    <w:p>
      <w:pPr>
        <w:pStyle w:val="PR3"/>
        <w:numPr>
          <w:ilvl w:val="6"/>
          <w:numId w:val="1"/>
        </w:numPr>
        <w:ind w:hanging="0" w:left="0"/>
        <w:rPr/>
      </w:pPr>
      <w:r>
        <w:rPr/>
        <w:t>Special-Purpose Aerosol Adhesive (All Types): 70 percent by weight.</w:t>
      </w:r>
    </w:p>
    <w:p>
      <w:pPr>
        <w:pStyle w:val="PR3"/>
        <w:numPr>
          <w:ilvl w:val="6"/>
          <w:numId w:val="1"/>
        </w:numPr>
        <w:ind w:hanging="0" w:left="0"/>
        <w:rPr/>
      </w:pPr>
      <w:r>
        <w:rPr/>
        <w:t>Other Adhesives: 250 g/L.</w:t>
      </w:r>
    </w:p>
    <w:p>
      <w:pPr>
        <w:pStyle w:val="PR3"/>
        <w:numPr>
          <w:ilvl w:val="6"/>
          <w:numId w:val="1"/>
        </w:numPr>
        <w:ind w:hanging="0" w:left="0"/>
        <w:rPr/>
      </w:pPr>
      <w:r>
        <w:rPr/>
        <w:t>Architectural Sealants: 250 g/L.</w:t>
      </w:r>
    </w:p>
    <w:p>
      <w:pPr>
        <w:pStyle w:val="PR3"/>
        <w:numPr>
          <w:ilvl w:val="6"/>
          <w:numId w:val="1"/>
        </w:numPr>
        <w:ind w:hanging="0" w:left="0"/>
        <w:rPr/>
      </w:pPr>
      <w:r>
        <w:rPr/>
        <w:t>Nonmembrane Roof Sealants: 300 g/L.</w:t>
      </w:r>
    </w:p>
    <w:p>
      <w:pPr>
        <w:pStyle w:val="PR3"/>
        <w:numPr>
          <w:ilvl w:val="6"/>
          <w:numId w:val="1"/>
        </w:numPr>
        <w:ind w:hanging="0" w:left="0"/>
        <w:rPr/>
      </w:pPr>
      <w:r>
        <w:rPr/>
        <w:t>Single-Ply Roof Membrane Sealants: 450 g/L.</w:t>
      </w:r>
    </w:p>
    <w:p>
      <w:pPr>
        <w:pStyle w:val="PR3"/>
        <w:numPr>
          <w:ilvl w:val="6"/>
          <w:numId w:val="1"/>
        </w:numPr>
        <w:ind w:hanging="0" w:left="0"/>
        <w:rPr/>
      </w:pPr>
      <w:r>
        <w:rPr/>
        <w:t>HVAC Duct Sealants: 420 g/L.</w:t>
      </w:r>
    </w:p>
    <w:p>
      <w:pPr>
        <w:pStyle w:val="PR3"/>
        <w:numPr>
          <w:ilvl w:val="6"/>
          <w:numId w:val="1"/>
        </w:numPr>
        <w:ind w:hanging="0" w:left="0"/>
        <w:rPr/>
      </w:pPr>
      <w:r>
        <w:rPr/>
        <w:t>Other Sealants: 420 g/L.</w:t>
      </w:r>
    </w:p>
    <w:p>
      <w:pPr>
        <w:pStyle w:val="PR3"/>
        <w:numPr>
          <w:ilvl w:val="6"/>
          <w:numId w:val="1"/>
        </w:numPr>
        <w:ind w:hanging="0" w:left="0"/>
        <w:rPr/>
      </w:pPr>
      <w:r>
        <w:rPr/>
        <w:t>Sealant Primers for Nonporous Substrates: 250 g/L.</w:t>
      </w:r>
    </w:p>
    <w:p>
      <w:pPr>
        <w:pStyle w:val="PR3"/>
        <w:numPr>
          <w:ilvl w:val="6"/>
          <w:numId w:val="1"/>
        </w:numPr>
        <w:ind w:hanging="0" w:left="0"/>
        <w:rPr/>
      </w:pPr>
      <w:r>
        <w:rPr/>
        <w:t>Sealant Primers for Porous Substrates: 775 g/L.</w:t>
      </w:r>
    </w:p>
    <w:p>
      <w:pPr>
        <w:pStyle w:val="PR3"/>
        <w:numPr>
          <w:ilvl w:val="6"/>
          <w:numId w:val="1"/>
        </w:numPr>
        <w:ind w:hanging="0" w:left="0"/>
        <w:rPr/>
      </w:pPr>
      <w:r>
        <w:rPr/>
        <w:t>Modified Bituminous Sealant Primers: 500 g/L.</w:t>
      </w:r>
    </w:p>
    <w:p>
      <w:pPr>
        <w:pStyle w:val="PR3"/>
        <w:numPr>
          <w:ilvl w:val="6"/>
          <w:numId w:val="1"/>
        </w:numPr>
        <w:ind w:hanging="0" w:left="0"/>
        <w:rPr/>
      </w:pPr>
      <w:r>
        <w:rPr/>
        <w:t>Other Sealant Primers: 750 g/L.</w:t>
      </w:r>
    </w:p>
    <w:p>
      <w:pPr>
        <w:pStyle w:val="PR1"/>
        <w:numPr>
          <w:ilvl w:val="4"/>
          <w:numId w:val="1"/>
        </w:numPr>
        <w:ind w:hanging="0" w:left="0"/>
        <w:rPr/>
      </w:pPr>
      <w:r>
        <w:rPr/>
        <w:t>Paints and Coatings: Field-applied paints and coatings that are inside the weatherproofing system shall comply with either of the following:</w:t>
      </w:r>
    </w:p>
    <w:p>
      <w:pPr>
        <w:pStyle w:val="PR2"/>
        <w:numPr>
          <w:ilvl w:val="5"/>
          <w:numId w:val="1"/>
        </w:numPr>
        <w:spacing w:before="240" w:after="0"/>
        <w:ind w:hanging="0" w:left="0"/>
        <w:rPr/>
      </w:pPr>
      <w:r>
        <w:rPr/>
        <w:t>Low-Emitting Materials: VOC emissions shall comply with the requirements of the California Department of Public Health's "Standard Method for the Testing and Evaluation of Volatile Organic Chemical Emissions from Indoor Sources Using Environmental Chambers."</w:t>
      </w:r>
    </w:p>
    <w:p>
      <w:pPr>
        <w:pStyle w:val="PR2"/>
        <w:numPr>
          <w:ilvl w:val="5"/>
          <w:numId w:val="1"/>
        </w:numPr>
        <w:ind w:hanging="0" w:left="0"/>
        <w:rPr/>
      </w:pPr>
      <w:r>
        <w:rPr/>
        <w:t>VOC content shall not exceed limits of authorities having jurisdiction and the following:</w:t>
      </w:r>
    </w:p>
    <w:p>
      <w:pPr>
        <w:pStyle w:val="PR3"/>
        <w:numPr>
          <w:ilvl w:val="6"/>
          <w:numId w:val="1"/>
        </w:numPr>
        <w:spacing w:before="240" w:after="0"/>
        <w:ind w:hanging="0" w:left="0"/>
        <w:rPr/>
      </w:pPr>
      <w:r>
        <w:rPr/>
        <w:t>Flat Coatings: 50 g/L.</w:t>
      </w:r>
    </w:p>
    <w:p>
      <w:pPr>
        <w:pStyle w:val="PR3"/>
        <w:numPr>
          <w:ilvl w:val="6"/>
          <w:numId w:val="1"/>
        </w:numPr>
        <w:ind w:hanging="0" w:left="0"/>
        <w:rPr/>
      </w:pPr>
      <w:r>
        <w:rPr/>
        <w:t>Nonflat Coatings: 100 g/L.</w:t>
      </w:r>
    </w:p>
    <w:p>
      <w:pPr>
        <w:pStyle w:val="PR3"/>
        <w:numPr>
          <w:ilvl w:val="6"/>
          <w:numId w:val="1"/>
        </w:numPr>
        <w:ind w:hanging="0" w:left="0"/>
        <w:rPr/>
      </w:pPr>
      <w:r>
        <w:rPr/>
        <w:t>Primers, Sealers, and Undercoats: 100 g/L.</w:t>
      </w:r>
    </w:p>
    <w:p>
      <w:pPr>
        <w:pStyle w:val="PR3"/>
        <w:numPr>
          <w:ilvl w:val="6"/>
          <w:numId w:val="1"/>
        </w:numPr>
        <w:ind w:hanging="0" w:left="0"/>
        <w:rPr/>
      </w:pPr>
      <w:r>
        <w:rPr/>
        <w:t>Floor Coatings: 100 g/L.</w:t>
      </w:r>
    </w:p>
    <w:p>
      <w:pPr>
        <w:pStyle w:val="PR3"/>
        <w:numPr>
          <w:ilvl w:val="6"/>
          <w:numId w:val="1"/>
        </w:numPr>
        <w:ind w:hanging="0" w:left="0"/>
        <w:rPr/>
      </w:pPr>
      <w:r>
        <w:rPr/>
        <w:t>Shellacs, Clear: 730 g/L.</w:t>
      </w:r>
    </w:p>
    <w:p>
      <w:pPr>
        <w:pStyle w:val="PR3"/>
        <w:numPr>
          <w:ilvl w:val="6"/>
          <w:numId w:val="1"/>
        </w:numPr>
        <w:ind w:hanging="0" w:left="0"/>
        <w:rPr/>
      </w:pPr>
      <w:r>
        <w:rPr/>
        <w:t>Shellacs, Pigmented: 550 g/L.</w:t>
      </w:r>
    </w:p>
    <w:p>
      <w:pPr>
        <w:pStyle w:val="PR3"/>
        <w:numPr>
          <w:ilvl w:val="6"/>
          <w:numId w:val="1"/>
        </w:numPr>
        <w:ind w:hanging="0" w:left="0"/>
        <w:rPr/>
      </w:pPr>
      <w:r>
        <w:rPr/>
        <w:t>Stains: 250 g/L.</w:t>
      </w:r>
    </w:p>
    <w:p>
      <w:pPr>
        <w:pStyle w:val="PR3"/>
        <w:numPr>
          <w:ilvl w:val="6"/>
          <w:numId w:val="1"/>
        </w:numPr>
        <w:ind w:hanging="0" w:left="0"/>
        <w:rPr/>
      </w:pPr>
      <w:r>
        <w:rPr/>
        <w:t>Clear Wood Finishes (Varnishes, Sanding Sealers, and Lacquers): 275 g/L.</w:t>
      </w:r>
    </w:p>
    <w:p>
      <w:pPr>
        <w:pStyle w:val="PR1"/>
        <w:numPr>
          <w:ilvl w:val="4"/>
          <w:numId w:val="1"/>
        </w:numPr>
        <w:ind w:hanging="0" w:left="0"/>
        <w:rPr/>
      </w:pPr>
      <w:r>
        <w:rPr/>
        <w:t>Floor covering materials shall comply with the requirements of the California Department of Public Health's "Standard Method for the Testing and Evaluation of Volatile Organic Chemical Emissions from Indoor Sources Using Environmental Chambers."</w:t>
      </w:r>
    </w:p>
    <w:p>
      <w:pPr>
        <w:pStyle w:val="PR1"/>
        <w:numPr>
          <w:ilvl w:val="4"/>
          <w:numId w:val="1"/>
        </w:numPr>
        <w:ind w:hanging="0" w:left="0"/>
        <w:rPr/>
      </w:pPr>
      <w:r>
        <w:rPr/>
        <w:t>Composite wood products, including particleboard, medium-density fiberboard, straw-based particleboard, panel substrates, and door cores, used inside the weatherproofing system shall be made without urea formaldehyde and shall comply with either of the following:</w:t>
      </w:r>
    </w:p>
    <w:p>
      <w:pPr>
        <w:pStyle w:val="PR2"/>
        <w:numPr>
          <w:ilvl w:val="5"/>
          <w:numId w:val="1"/>
        </w:numPr>
        <w:spacing w:before="240" w:after="0"/>
        <w:ind w:hanging="0" w:left="0"/>
        <w:rPr/>
      </w:pPr>
      <w:r>
        <w:rPr/>
        <w:t>Third-party certification acceptable to the California Air Resources Board indicating compliance with its regulation "Airborne Toxic Control Measure to Reduce Formaldehyde Emissions from Composite Wood Products."</w:t>
      </w:r>
    </w:p>
    <w:p>
      <w:pPr>
        <w:pStyle w:val="PR2"/>
        <w:numPr>
          <w:ilvl w:val="5"/>
          <w:numId w:val="1"/>
        </w:numPr>
        <w:ind w:hanging="0" w:left="0"/>
        <w:rPr/>
      </w:pPr>
      <w:r>
        <w:rPr/>
        <w:t>Requirements of the California Department of Public Health's "Standard Method for the Testing and Evaluation of Volatile Organic Chemical Emissions from Indoor Sources Using Environmental Chambers."</w:t>
      </w:r>
    </w:p>
    <w:p>
      <w:pPr>
        <w:pStyle w:val="PR1"/>
        <w:numPr>
          <w:ilvl w:val="4"/>
          <w:numId w:val="1"/>
        </w:numPr>
        <w:ind w:hanging="0" w:left="0"/>
        <w:rPr/>
      </w:pPr>
      <w:r>
        <w:rPr/>
        <w:t>Ceiling and Wall Systems: Ceiling and wall insulation, acoustic ceiling panels, tackable wall panels, gypsum board, and wall coverings shall comply with the requirements of the California Department of Public Health's "Standard Method for the Testing and Evaluation of Volatile Organic Chemical Emissions from Indoor Sources Using Environmental Chambers."</w:t>
      </w:r>
    </w:p>
    <w:p>
      <w:pPr>
        <w:pStyle w:val="PRT"/>
        <w:numPr>
          <w:ilvl w:val="0"/>
          <w:numId w:val="1"/>
        </w:numPr>
        <w:ind w:hanging="0" w:left="0"/>
        <w:rPr/>
      </w:pPr>
      <w:r>
        <w:rPr/>
        <w:t>EXECUTION</w:t>
      </w:r>
    </w:p>
    <w:p>
      <w:pPr>
        <w:pStyle w:val="ART"/>
        <w:numPr>
          <w:ilvl w:val="3"/>
          <w:numId w:val="1"/>
        </w:numPr>
        <w:ind w:hanging="0" w:left="0"/>
        <w:rPr/>
      </w:pPr>
      <w:r>
        <w:rPr/>
        <w:t>NONSMOKING BUILDING</w:t>
      </w:r>
    </w:p>
    <w:p>
      <w:pPr>
        <w:pStyle w:val="PR1"/>
        <w:numPr>
          <w:ilvl w:val="4"/>
          <w:numId w:val="1"/>
        </w:numPr>
        <w:ind w:hanging="0" w:left="0"/>
        <w:rPr/>
      </w:pPr>
      <w:r>
        <w:rPr/>
        <w:t xml:space="preserve">Smoking is not permitted within the building or within </w:t>
      </w:r>
      <w:r>
        <w:rPr>
          <w:rStyle w:val="IP"/>
        </w:rPr>
        <w:t>25 feet</w:t>
      </w:r>
      <w:r>
        <w:rPr>
          <w:rStyle w:val="SI"/>
        </w:rPr>
        <w:t xml:space="preserve"> (8 m)</w:t>
      </w:r>
      <w:r>
        <w:rPr/>
        <w:t xml:space="preserve"> of entrances, operable windows, or outdoor-air intakes.</w:t>
      </w:r>
    </w:p>
    <w:p>
      <w:pPr>
        <w:pStyle w:val="ART"/>
        <w:numPr>
          <w:ilvl w:val="3"/>
          <w:numId w:val="1"/>
        </w:numPr>
        <w:ind w:hanging="0" w:left="0"/>
        <w:rPr/>
      </w:pPr>
      <w:r>
        <w:rPr/>
        <w:t>CONSTRUCTION WASTE MANAGEMENT</w:t>
      </w:r>
    </w:p>
    <w:p>
      <w:pPr>
        <w:pStyle w:val="PR1"/>
        <w:numPr>
          <w:ilvl w:val="4"/>
          <w:numId w:val="1"/>
        </w:numPr>
        <w:ind w:hanging="0" w:left="0"/>
        <w:rPr/>
      </w:pPr>
      <w:r>
        <w:rPr/>
        <w:t>Comply with Section 017419 "Construction Waste Management and Disposal."</w:t>
      </w:r>
    </w:p>
    <w:p>
      <w:pPr>
        <w:pStyle w:val="ART"/>
        <w:numPr>
          <w:ilvl w:val="3"/>
          <w:numId w:val="1"/>
        </w:numPr>
        <w:ind w:hanging="0" w:left="0"/>
        <w:rPr/>
      </w:pPr>
      <w:r>
        <w:rPr/>
        <w:t>CONSTRUCTION INDOOR-AIR-QUALITY MANAGEMENT</w:t>
      </w:r>
    </w:p>
    <w:p>
      <w:pPr>
        <w:pStyle w:val="PR1"/>
        <w:numPr>
          <w:ilvl w:val="4"/>
          <w:numId w:val="1"/>
        </w:numPr>
        <w:ind w:hanging="0" w:left="0"/>
        <w:rPr/>
      </w:pPr>
      <w:r>
        <w:rPr/>
        <w:t>Comply with ASHREA 62.1, Ch. 7.</w:t>
      </w:r>
    </w:p>
    <w:p>
      <w:pPr>
        <w:pStyle w:val="CMT"/>
        <w:rPr/>
      </w:pPr>
      <w:r>
        <w:rPr/>
        <w:t>Coordinate first paragraph below with Section 015000 "Temporary Facilities and Controls." Identify air handlers and associated return-air inlets authorized by Owner for use during construction period.</w:t>
      </w:r>
    </w:p>
    <w:p>
      <w:pPr>
        <w:pStyle w:val="PR1"/>
        <w:numPr>
          <w:ilvl w:val="4"/>
          <w:numId w:val="1"/>
        </w:numPr>
        <w:ind w:hanging="0" w:left="0"/>
        <w:rPr/>
      </w:pPr>
      <w:r>
        <w:rPr/>
        <w:t>If Owner authorizes use of permanent heating, cooling, and ventilating systems during construction period as specified in Section 015000 "Temporary Facilities and Controls," install filter media having a MERV 8 according to ASHRAE 52.2 at each return-air inlet for the air-handling system used during construction.</w:t>
      </w:r>
    </w:p>
    <w:p>
      <w:pPr>
        <w:pStyle w:val="PR2"/>
        <w:numPr>
          <w:ilvl w:val="5"/>
          <w:numId w:val="1"/>
        </w:numPr>
        <w:spacing w:before="240" w:after="0"/>
        <w:ind w:hanging="0" w:left="0"/>
        <w:rPr/>
      </w:pPr>
      <w:r>
        <w:rPr/>
        <w:t>Replace air filters immediately prior to occupancy.</w:t>
      </w:r>
    </w:p>
    <w:p>
      <w:pPr>
        <w:pStyle w:val="PR1"/>
        <w:numPr>
          <w:ilvl w:val="4"/>
          <w:numId w:val="1"/>
        </w:numPr>
        <w:ind w:hanging="0" w:left="0"/>
        <w:rPr/>
      </w:pPr>
      <w:r>
        <w:rPr/>
        <w:t>Air-Quality Testing: [</w:t>
      </w:r>
      <w:r>
        <w:rPr>
          <w:b/>
        </w:rPr>
        <w:t>Engage</w:t>
      </w:r>
      <w:r>
        <w:rPr/>
        <w:t>] [</w:t>
      </w:r>
      <w:r>
        <w:rPr>
          <w:b/>
        </w:rPr>
        <w:t>Owner will engage</w:t>
      </w:r>
      <w:r>
        <w:rPr/>
        <w:t>] testing agency to perform the following:</w:t>
      </w:r>
    </w:p>
    <w:p>
      <w:pPr>
        <w:pStyle w:val="PR2"/>
        <w:numPr>
          <w:ilvl w:val="5"/>
          <w:numId w:val="1"/>
        </w:numPr>
        <w:spacing w:before="240" w:after="0"/>
        <w:ind w:hanging="0" w:left="0"/>
        <w:rPr/>
      </w:pPr>
      <w:r>
        <w:rPr/>
        <w:t xml:space="preserve">Conduct baseline indoor-air-quality testing, after construction ends and prior to occupancy, using testing protocols consistent with the EPA's "Compendium of Methods for the Determination of Toxic Organic Pollutants in Ambient Air," Sections TO-1, TO-11, and TO-17; and ASTM D5197. The number of sampling points shall not be less than one per </w:t>
      </w:r>
      <w:r>
        <w:rPr>
          <w:rStyle w:val="IP"/>
        </w:rPr>
        <w:t>25,000 sq. ft.</w:t>
      </w:r>
      <w:r>
        <w:rPr>
          <w:rStyle w:val="SI"/>
        </w:rPr>
        <w:t xml:space="preserve"> (2300 sq. m)</w:t>
      </w:r>
      <w:r>
        <w:rPr/>
        <w:t xml:space="preserve"> or for each contiguous floor area.</w:t>
      </w:r>
    </w:p>
    <w:p>
      <w:pPr>
        <w:pStyle w:val="PR2"/>
        <w:numPr>
          <w:ilvl w:val="5"/>
          <w:numId w:val="1"/>
        </w:numPr>
        <w:ind w:hanging="0" w:left="0"/>
        <w:rPr/>
      </w:pPr>
      <w:r>
        <w:rPr/>
        <w:t>Concentrations of the following shall not exceed:</w:t>
      </w:r>
    </w:p>
    <w:p>
      <w:pPr>
        <w:pStyle w:val="PR3"/>
        <w:numPr>
          <w:ilvl w:val="6"/>
          <w:numId w:val="1"/>
        </w:numPr>
        <w:spacing w:before="240" w:after="0"/>
        <w:ind w:hanging="0" w:left="0"/>
        <w:rPr/>
      </w:pPr>
      <w:r>
        <w:rPr/>
        <w:t>Particulates (PM2.5): 35 mcg/cu. m. (24 hours).</w:t>
      </w:r>
    </w:p>
    <w:p>
      <w:pPr>
        <w:pStyle w:val="PR3"/>
        <w:numPr>
          <w:ilvl w:val="6"/>
          <w:numId w:val="1"/>
        </w:numPr>
        <w:ind w:hanging="0" w:left="0"/>
        <w:rPr/>
      </w:pPr>
      <w:r>
        <w:rPr/>
        <w:t>Particulates (PM10): 150 mcg/cu. m. (24 hours).</w:t>
      </w:r>
    </w:p>
    <w:p>
      <w:pPr>
        <w:pStyle w:val="PR3"/>
        <w:numPr>
          <w:ilvl w:val="6"/>
          <w:numId w:val="1"/>
        </w:numPr>
        <w:ind w:hanging="0" w:left="0"/>
        <w:rPr/>
      </w:pPr>
      <w:r>
        <w:rPr/>
        <w:t>Carbon Monoxide: 9 ppm and no greater than 2 ppm above outdoor levels.</w:t>
      </w:r>
    </w:p>
    <w:p>
      <w:pPr>
        <w:pStyle w:val="PR3"/>
        <w:numPr>
          <w:ilvl w:val="6"/>
          <w:numId w:val="1"/>
        </w:numPr>
        <w:ind w:hanging="0" w:left="0"/>
        <w:rPr/>
      </w:pPr>
      <w:r>
        <w:rPr/>
        <w:t>Ozone: 0.075 ppm (8 hours).</w:t>
      </w:r>
    </w:p>
    <w:p>
      <w:pPr>
        <w:pStyle w:val="PR3"/>
        <w:numPr>
          <w:ilvl w:val="6"/>
          <w:numId w:val="1"/>
        </w:numPr>
        <w:ind w:hanging="0" w:left="0"/>
        <w:rPr/>
      </w:pPr>
      <w:r>
        <w:rPr/>
        <w:t>Acetaldhyde: 140 mcg/cu. m.</w:t>
      </w:r>
    </w:p>
    <w:p>
      <w:pPr>
        <w:pStyle w:val="PR3"/>
        <w:numPr>
          <w:ilvl w:val="6"/>
          <w:numId w:val="1"/>
        </w:numPr>
        <w:ind w:hanging="0" w:left="0"/>
        <w:rPr/>
      </w:pPr>
      <w:r>
        <w:rPr/>
        <w:t>Acrylonitrile: 5 mcg/cu. m.</w:t>
      </w:r>
    </w:p>
    <w:p>
      <w:pPr>
        <w:pStyle w:val="PR3"/>
        <w:numPr>
          <w:ilvl w:val="6"/>
          <w:numId w:val="1"/>
        </w:numPr>
        <w:ind w:hanging="0" w:left="0"/>
        <w:rPr/>
      </w:pPr>
      <w:r>
        <w:rPr/>
        <w:t>Benzene: 60 mcg/cu. m.</w:t>
      </w:r>
    </w:p>
    <w:p>
      <w:pPr>
        <w:pStyle w:val="PR3"/>
        <w:numPr>
          <w:ilvl w:val="6"/>
          <w:numId w:val="1"/>
        </w:numPr>
        <w:ind w:hanging="0" w:left="0"/>
        <w:rPr/>
      </w:pPr>
      <w:r>
        <w:rPr/>
        <w:t>1, 3-Butadiene: 20 mcg/cu. m.</w:t>
      </w:r>
    </w:p>
    <w:p>
      <w:pPr>
        <w:pStyle w:val="PR3"/>
        <w:numPr>
          <w:ilvl w:val="6"/>
          <w:numId w:val="1"/>
        </w:numPr>
        <w:ind w:hanging="0" w:left="0"/>
        <w:rPr/>
      </w:pPr>
      <w:r>
        <w:rPr/>
        <w:t>t-Butyl Methyl Ether: 8000 mcg/cu. m.</w:t>
      </w:r>
    </w:p>
    <w:p>
      <w:pPr>
        <w:pStyle w:val="PR3"/>
        <w:numPr>
          <w:ilvl w:val="6"/>
          <w:numId w:val="1"/>
        </w:numPr>
        <w:ind w:hanging="0" w:left="0"/>
        <w:rPr/>
      </w:pPr>
      <w:r>
        <w:rPr/>
        <w:t>Carbon Disulfide: 800 mcg/cu. m.</w:t>
      </w:r>
    </w:p>
    <w:p>
      <w:pPr>
        <w:pStyle w:val="PR3"/>
        <w:numPr>
          <w:ilvl w:val="6"/>
          <w:numId w:val="1"/>
        </w:numPr>
        <w:ind w:hanging="0" w:left="0"/>
        <w:rPr/>
      </w:pPr>
      <w:r>
        <w:rPr/>
        <w:t>Carbon Tetrachloride: 40 mcg/cu. m.</w:t>
      </w:r>
    </w:p>
    <w:p>
      <w:pPr>
        <w:pStyle w:val="PR3"/>
        <w:numPr>
          <w:ilvl w:val="6"/>
          <w:numId w:val="1"/>
        </w:numPr>
        <w:ind w:hanging="0" w:left="0"/>
        <w:rPr/>
      </w:pPr>
      <w:r>
        <w:rPr/>
        <w:t>Chlorobenzene: 1000 mcg/cu. m.</w:t>
      </w:r>
    </w:p>
    <w:p>
      <w:pPr>
        <w:pStyle w:val="PR3"/>
        <w:numPr>
          <w:ilvl w:val="6"/>
          <w:numId w:val="1"/>
        </w:numPr>
        <w:ind w:hanging="0" w:left="0"/>
        <w:rPr/>
      </w:pPr>
      <w:r>
        <w:rPr/>
        <w:t>Chloroform: 300 mcg/cu. m.</w:t>
      </w:r>
    </w:p>
    <w:p>
      <w:pPr>
        <w:pStyle w:val="PR3"/>
        <w:numPr>
          <w:ilvl w:val="6"/>
          <w:numId w:val="1"/>
        </w:numPr>
        <w:ind w:hanging="0" w:left="0"/>
        <w:rPr/>
      </w:pPr>
      <w:r>
        <w:rPr/>
        <w:t>1, 4-Dichlorobenzene: 800 mcg/cu. m.</w:t>
      </w:r>
    </w:p>
    <w:p>
      <w:pPr>
        <w:pStyle w:val="PR3"/>
        <w:numPr>
          <w:ilvl w:val="6"/>
          <w:numId w:val="1"/>
        </w:numPr>
        <w:ind w:hanging="0" w:left="0"/>
        <w:rPr/>
      </w:pPr>
      <w:r>
        <w:rPr/>
        <w:t>Dichloromethene (Methylene Chloride): 400 mcg/cu. m.</w:t>
      </w:r>
    </w:p>
    <w:p>
      <w:pPr>
        <w:pStyle w:val="PR3"/>
        <w:numPr>
          <w:ilvl w:val="6"/>
          <w:numId w:val="1"/>
        </w:numPr>
        <w:ind w:hanging="0" w:left="0"/>
        <w:rPr/>
      </w:pPr>
      <w:r>
        <w:rPr/>
        <w:t>1, 4-Dioxane: 3000 mcg/cu. m.</w:t>
      </w:r>
    </w:p>
    <w:p>
      <w:pPr>
        <w:pStyle w:val="PR3"/>
        <w:numPr>
          <w:ilvl w:val="6"/>
          <w:numId w:val="1"/>
        </w:numPr>
        <w:ind w:hanging="0" w:left="0"/>
        <w:rPr/>
      </w:pPr>
      <w:r>
        <w:rPr/>
        <w:t>Ethybenzene: 2000 mcg/cu. m.</w:t>
      </w:r>
    </w:p>
    <w:p>
      <w:pPr>
        <w:pStyle w:val="PR3"/>
        <w:numPr>
          <w:ilvl w:val="6"/>
          <w:numId w:val="1"/>
        </w:numPr>
        <w:ind w:hanging="0" w:left="0"/>
        <w:rPr/>
      </w:pPr>
      <w:r>
        <w:rPr/>
        <w:t>Ethylene Glycol: 400 mcg/cu. m.</w:t>
      </w:r>
    </w:p>
    <w:p>
      <w:pPr>
        <w:pStyle w:val="PR3"/>
        <w:numPr>
          <w:ilvl w:val="6"/>
          <w:numId w:val="1"/>
        </w:numPr>
        <w:ind w:hanging="0" w:left="0"/>
        <w:rPr/>
      </w:pPr>
      <w:r>
        <w:rPr/>
        <w:t>Formaldehyde: 27 mcg/cu. m.</w:t>
      </w:r>
    </w:p>
    <w:p>
      <w:pPr>
        <w:pStyle w:val="PR3"/>
        <w:numPr>
          <w:ilvl w:val="6"/>
          <w:numId w:val="1"/>
        </w:numPr>
        <w:ind w:hanging="0" w:left="0"/>
        <w:rPr/>
      </w:pPr>
      <w:r>
        <w:rPr/>
        <w:t>n-Hexane: 7000 mcg/cu. m.</w:t>
      </w:r>
    </w:p>
    <w:p>
      <w:pPr>
        <w:pStyle w:val="PR3"/>
        <w:numPr>
          <w:ilvl w:val="6"/>
          <w:numId w:val="1"/>
        </w:numPr>
        <w:ind w:hanging="0" w:left="0"/>
        <w:rPr/>
      </w:pPr>
      <w:r>
        <w:rPr/>
        <w:t>Naphthalene: 9 mcg/cu. m.</w:t>
      </w:r>
    </w:p>
    <w:p>
      <w:pPr>
        <w:pStyle w:val="PR3"/>
        <w:numPr>
          <w:ilvl w:val="6"/>
          <w:numId w:val="1"/>
        </w:numPr>
        <w:ind w:hanging="0" w:left="0"/>
        <w:rPr/>
      </w:pPr>
      <w:r>
        <w:rPr/>
        <w:t>Phenol: 200 mcg/cu. m.</w:t>
      </w:r>
    </w:p>
    <w:p>
      <w:pPr>
        <w:pStyle w:val="PR3"/>
        <w:numPr>
          <w:ilvl w:val="6"/>
          <w:numId w:val="1"/>
        </w:numPr>
        <w:ind w:hanging="0" w:left="0"/>
        <w:rPr/>
      </w:pPr>
      <w:r>
        <w:rPr/>
        <w:t>2-Propanol (Isopropanol): 7000 mcg/cu. m.</w:t>
      </w:r>
    </w:p>
    <w:p>
      <w:pPr>
        <w:pStyle w:val="PR3"/>
        <w:numPr>
          <w:ilvl w:val="6"/>
          <w:numId w:val="1"/>
        </w:numPr>
        <w:ind w:hanging="0" w:left="0"/>
        <w:rPr/>
      </w:pPr>
      <w:r>
        <w:rPr/>
        <w:t>Styrene: 900 mcg/cu. m.</w:t>
      </w:r>
    </w:p>
    <w:p>
      <w:pPr>
        <w:pStyle w:val="PR3"/>
        <w:numPr>
          <w:ilvl w:val="6"/>
          <w:numId w:val="1"/>
        </w:numPr>
        <w:ind w:hanging="0" w:left="0"/>
        <w:rPr/>
      </w:pPr>
      <w:r>
        <w:rPr/>
        <w:t>Tetrachloroethane (Tetrachloroethylene, Parachloroethylene): 35 mcg/cu. m.</w:t>
      </w:r>
    </w:p>
    <w:p>
      <w:pPr>
        <w:pStyle w:val="PR3"/>
        <w:numPr>
          <w:ilvl w:val="6"/>
          <w:numId w:val="1"/>
        </w:numPr>
        <w:ind w:hanging="0" w:left="0"/>
        <w:rPr/>
      </w:pPr>
      <w:r>
        <w:rPr/>
        <w:t>Toluene: 300 mcg/cu. m.</w:t>
      </w:r>
    </w:p>
    <w:p>
      <w:pPr>
        <w:pStyle w:val="PR3"/>
        <w:numPr>
          <w:ilvl w:val="6"/>
          <w:numId w:val="1"/>
        </w:numPr>
        <w:ind w:hanging="0" w:left="0"/>
        <w:rPr/>
      </w:pPr>
      <w:r>
        <w:rPr/>
        <w:t>1, 1, 1-Trichloroethane (Methyl Chloroform): 1000 mcg/cu. m.</w:t>
      </w:r>
    </w:p>
    <w:p>
      <w:pPr>
        <w:pStyle w:val="PR3"/>
        <w:numPr>
          <w:ilvl w:val="6"/>
          <w:numId w:val="1"/>
        </w:numPr>
        <w:ind w:hanging="0" w:left="0"/>
        <w:rPr/>
      </w:pPr>
      <w:r>
        <w:rPr/>
        <w:t>Trichloroethane (Trichloroethylene): 600 mcg/cu. m.</w:t>
      </w:r>
    </w:p>
    <w:p>
      <w:pPr>
        <w:pStyle w:val="PR3"/>
        <w:numPr>
          <w:ilvl w:val="6"/>
          <w:numId w:val="1"/>
        </w:numPr>
        <w:ind w:hanging="0" w:left="0"/>
        <w:rPr/>
      </w:pPr>
      <w:r>
        <w:rPr/>
        <w:t>Xylene Isomers: 700 mcg/cu. m.</w:t>
      </w:r>
    </w:p>
    <w:p>
      <w:pPr>
        <w:pStyle w:val="PR2"/>
        <w:numPr>
          <w:ilvl w:val="5"/>
          <w:numId w:val="1"/>
        </w:numPr>
        <w:spacing w:before="240" w:after="0"/>
        <w:ind w:hanging="0" w:left="0"/>
        <w:rPr/>
      </w:pPr>
      <w:r>
        <w:rPr/>
        <w:t>Where carpets and fabrics with styrene butadiene rubber latex backing are installed, concentrations of the following shall not exceed:</w:t>
      </w:r>
    </w:p>
    <w:p>
      <w:pPr>
        <w:pStyle w:val="PR3"/>
        <w:numPr>
          <w:ilvl w:val="6"/>
          <w:numId w:val="1"/>
        </w:numPr>
        <w:spacing w:before="240" w:after="0"/>
        <w:ind w:hanging="0" w:left="0"/>
        <w:rPr/>
      </w:pPr>
      <w:r>
        <w:rPr/>
        <w:t>Caprolactam: 100 mcg/cu. m.</w:t>
      </w:r>
    </w:p>
    <w:p>
      <w:pPr>
        <w:pStyle w:val="PR3"/>
        <w:numPr>
          <w:ilvl w:val="6"/>
          <w:numId w:val="1"/>
        </w:numPr>
        <w:ind w:hanging="0" w:left="0"/>
        <w:rPr/>
      </w:pPr>
      <w:r>
        <w:rPr/>
        <w:t>2-Ethylhexanoic Acid: 25 mcg/cu. m.</w:t>
      </w:r>
    </w:p>
    <w:p>
      <w:pPr>
        <w:pStyle w:val="PR3"/>
        <w:numPr>
          <w:ilvl w:val="6"/>
          <w:numId w:val="1"/>
        </w:numPr>
        <w:ind w:hanging="0" w:left="0"/>
        <w:rPr/>
      </w:pPr>
      <w:r>
        <w:rPr/>
        <w:t>1-Methyl-2-Pyrrolidinone: 160 mcg/cu. m.</w:t>
      </w:r>
    </w:p>
    <w:p>
      <w:pPr>
        <w:pStyle w:val="PR3"/>
        <w:numPr>
          <w:ilvl w:val="6"/>
          <w:numId w:val="1"/>
        </w:numPr>
        <w:ind w:hanging="0" w:left="0"/>
        <w:rPr/>
      </w:pPr>
      <w:r>
        <w:rPr/>
        <w:t>Nonanal: 13 mcg/cu. m.</w:t>
      </w:r>
    </w:p>
    <w:p>
      <w:pPr>
        <w:pStyle w:val="PR3"/>
        <w:numPr>
          <w:ilvl w:val="6"/>
          <w:numId w:val="1"/>
        </w:numPr>
        <w:ind w:hanging="0" w:left="0"/>
        <w:rPr/>
      </w:pPr>
      <w:r>
        <w:rPr/>
        <w:t>Octanal: 7.2 mcg/cu. m.</w:t>
      </w:r>
    </w:p>
    <w:p>
      <w:pPr>
        <w:pStyle w:val="PR3"/>
        <w:numPr>
          <w:ilvl w:val="6"/>
          <w:numId w:val="1"/>
        </w:numPr>
        <w:ind w:hanging="0" w:left="0"/>
        <w:rPr/>
      </w:pPr>
      <w:r>
        <w:rPr/>
        <w:t>4-Phenylcyclohexene (4-PH): 2.5 mcg/cu. m.</w:t>
      </w:r>
    </w:p>
    <w:p>
      <w:pPr>
        <w:pStyle w:val="CMT"/>
        <w:rPr/>
      </w:pPr>
      <w:r>
        <w:rPr/>
        <w:t>Subparagraph below is not necessarily part of ASHRAE 189.1 and creates requirements that are contingent on field conditions unknown at time of bid and can influence bids. Also, requirements may result in claims for extra payment and time. Revise to suit office practice.</w:t>
      </w:r>
    </w:p>
    <w:p>
      <w:pPr>
        <w:pStyle w:val="PR2"/>
        <w:numPr>
          <w:ilvl w:val="5"/>
          <w:numId w:val="1"/>
        </w:numPr>
        <w:spacing w:before="240" w:after="0"/>
        <w:ind w:hanging="0" w:left="0"/>
        <w:rPr/>
      </w:pPr>
      <w:r>
        <w:rPr/>
        <w:t>For each sampling point where the maximum concentration limits are exceeded, conduct additional flush-out with outside air and retest the specific parameter(s) exceeded to indicate the requirements are achieved. Repeat procedure until all requirements have been met. When retesting noncomplying building areas, take samples from same locations as in the first test.</w:t>
      </w:r>
    </w:p>
    <w:p>
      <w:pPr>
        <w:pStyle w:val="EOS"/>
        <w:rPr/>
      </w:pPr>
      <w:r>
        <w:rPr/>
        <w:t>END OF SECTION 018113.43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SUSTAINABLE DESIGN REQUIREMENTS - ASHRAE 189.1</w:t>
          </w:r>
        </w:p>
      </w:tc>
      <w:tc>
        <w:tcPr>
          <w:tcW w:w="1872" w:type="dxa"/>
          <w:tcBorders/>
        </w:tcPr>
        <w:p>
          <w:pPr>
            <w:pStyle w:val="RJUST"/>
            <w:rPr/>
          </w:pPr>
          <w:r>
            <w:rPr>
              <w:rStyle w:val="NUM"/>
            </w:rPr>
            <w:t>018113.43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1811343"/>
    <w:docVar w:name="MF95" w:val="01368"/>
    <w:docVar w:name="MFOrigin" w:val="MF04"/>
    <w:docVar w:name="SpecType" w:val="MasterSpec"/>
    <w:docVar w:name="Version" w:val="1062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811343&amp;ver=06-01-14&amp;format=FL&amp;sid=10629&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2022-09-26T01:33:00Z</dcterms:created>
  <dc:creator>Deltek, Inc.</dc:creator>
  <dc:description/>
  <cp:keywords>BAS-12345-MS80</cp:keywords>
  <dc:language>zh-CN</dc:language>
  <cp:lastModifiedBy>Janice Nacional</cp:lastModifiedBy>
  <dcterms:modified xsi:type="dcterms:W3CDTF">2022-09-26T01:33:00Z</dcterms:modified>
  <cp:revision>2</cp:revision>
  <dc:subject>SUSTAINABLE DESIGN REQUIREMENTS - ASHRAE 189.1</dc:subject>
  <dc:title>SECTION 018113.43 - SUSTAINABLE DESIGN REQUIREMENTS - ASHRAE 189.1</dc:title>
</cp:coreProperties>
</file>