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018113.53</w:t>
      </w:r>
      <w:r>
        <w:rPr/>
        <w:t xml:space="preserve"> - </w:t>
      </w:r>
      <w:r>
        <w:rPr>
          <w:rStyle w:val="NAM"/>
        </w:rPr>
        <w:t>SUSTAINABLE DESIGN REQUIREMENTS - GREEN GLOBES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Green Globes before revising this Section.</w:t>
      </w:r>
    </w:p>
    <w:p>
      <w:pPr>
        <w:pStyle w:val="CMT"/>
        <w:rPr/>
      </w:pPr>
      <w:r>
        <w:rPr/>
        <w:t>Where practical, terminology used in this Section has been made identical to or at least consistent with terminology used in Green Globes; if questions arise relating to terminology, review Green Globes and the standards referenced by Green Globes for possible explanations.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GBI's "Green Globes for New Construction, Version 1.1," (hereafter, "Green Globes").</w:t>
      </w:r>
    </w:p>
    <w:p>
      <w:pPr>
        <w:pStyle w:val="PR2"/>
        <w:numPr>
          <w:ilvl w:val="5"/>
          <w:numId w:val="1"/>
        </w:numPr>
        <w:spacing w:before="240" w:after="0"/>
        <w:rPr/>
      </w:pPr>
      <w:r>
        <w:rPr/>
        <w:t>Some Green Globes requirements depend on product selections and may not be specifically identified as Green Globes requirements. Compliance with Green Globes requirements may be used as one criterion to evaluate substitution requests and comparable product requests.</w:t>
      </w:r>
    </w:p>
    <w:p>
      <w:pPr>
        <w:pStyle w:val="CMT"/>
        <w:rPr/>
      </w:pPr>
      <w:r>
        <w:rPr/>
        <w:t>If retaining subparagraph below, attach a copy of the Green Globes checklist to the end of this Section as information for Contractor.</w:t>
      </w:r>
    </w:p>
    <w:p>
      <w:pPr>
        <w:pStyle w:val="PR2"/>
        <w:numPr>
          <w:ilvl w:val="5"/>
          <w:numId w:val="1"/>
        </w:numPr>
        <w:rPr/>
      </w:pPr>
      <w:r>
        <w:rPr/>
        <w:t>A copy of Green Globes Project checklist is attached at the end of this Section for information only.</w:t>
      </w:r>
    </w:p>
    <w:p>
      <w:pPr>
        <w:pStyle w:val="PR3"/>
        <w:numPr>
          <w:ilvl w:val="6"/>
          <w:numId w:val="1"/>
        </w:numPr>
        <w:spacing w:before="240" w:after="0"/>
        <w:rPr/>
      </w:pPr>
      <w:r>
        <w:rPr/>
        <w:t>Some Green Globes requirements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that are a part of Green Globes apply to this Section.</w:t>
      </w:r>
    </w:p>
    <w:p>
      <w:pPr>
        <w:pStyle w:val="PR1"/>
        <w:numPr>
          <w:ilvl w:val="4"/>
          <w:numId w:val="1"/>
        </w:numPr>
        <w:rPr/>
      </w:pPr>
      <w:r>
        <w:rPr/>
        <w:t>REL: Recommended exposure limit.</w:t>
      </w:r>
    </w:p>
    <w:p>
      <w:pPr>
        <w:pStyle w:val="ART"/>
        <w:numPr>
          <w:ilvl w:val="3"/>
          <w:numId w:val="1"/>
        </w:numPr>
        <w:ind w:hanging="0" w:left="0"/>
        <w:rPr/>
      </w:pPr>
      <w:r>
        <w:rPr/>
        <w:t>PREINSTALLATION MEETINGS</w:t>
      </w:r>
    </w:p>
    <w:p>
      <w:pPr>
        <w:pStyle w:val="PR1"/>
        <w:numPr>
          <w:ilvl w:val="4"/>
          <w:numId w:val="1"/>
        </w:numPr>
        <w:rPr/>
      </w:pPr>
      <w:r>
        <w:rPr/>
        <w:t>Preinstallation Conference: Conduct conference at [</w:t>
      </w:r>
      <w:r>
        <w:rPr>
          <w:b/>
        </w:rPr>
        <w:t>Project site</w:t>
      </w:r>
      <w:r>
        <w:rPr/>
        <w:t>] &lt;</w:t>
      </w:r>
      <w:r>
        <w:rPr>
          <w:b/>
        </w:rPr>
        <w:t>Insert location</w:t>
      </w:r>
      <w:r>
        <w:rPr/>
        <w:t>&gt;. Review Green Globes requirements and action plans for compliance with requirements.</w:t>
      </w:r>
    </w:p>
    <w:p>
      <w:pPr>
        <w:pStyle w:val="ART"/>
        <w:numPr>
          <w:ilvl w:val="3"/>
          <w:numId w:val="1"/>
        </w:numPr>
        <w:ind w:hanging="0" w:left="0"/>
        <w:rPr/>
      </w:pPr>
      <w:r>
        <w:rPr/>
        <w:t>ADMINISTRATIVE REQUIREMENTS</w:t>
      </w:r>
    </w:p>
    <w:p>
      <w:pPr>
        <w:pStyle w:val="CMT"/>
        <w:rPr/>
      </w:pPr>
      <w:r>
        <w:rPr/>
        <w:t>Retain one of first two paragraphs below. Retain first if Architect or Owner submits Green Globes documentation to Green Building Initiative (GBI)-authorized Assessor; retain second if Contractor submits Green Globes documentation to GBI-authorized Assessor.</w:t>
      </w:r>
    </w:p>
    <w:p>
      <w:pPr>
        <w:pStyle w:val="PR1"/>
        <w:numPr>
          <w:ilvl w:val="4"/>
          <w:numId w:val="1"/>
        </w:numPr>
        <w:rPr/>
      </w:pPr>
      <w:r>
        <w:rPr/>
        <w:t>Respond to questions and requests from Architect about Green Globes requirements that are the responsibility of Contractor, that depend on product selection or product qualities, or that depend on Contractor's procedures. Document responses as informational submittals.</w:t>
      </w:r>
    </w:p>
    <w:p>
      <w:pPr>
        <w:pStyle w:val="PR1"/>
        <w:numPr>
          <w:ilvl w:val="4"/>
          <w:numId w:val="1"/>
        </w:numPr>
        <w:rPr/>
      </w:pPr>
      <w:r>
        <w:rPr/>
        <w:t>Submit documentation to GBI-authorized Assessor and respond to questions and requests from GBI-authorized Assessor about Green Globes credits that are the responsibility of Contractor, that depend on product selection or product qualities, or that depend on Contractor's procedures until GBI-authorized Assessor has made its determination on Project's Green Globes certification application.</w:t>
      </w:r>
    </w:p>
    <w:p>
      <w:pPr>
        <w:pStyle w:val="PR2"/>
        <w:numPr>
          <w:ilvl w:val="5"/>
          <w:numId w:val="1"/>
        </w:numPr>
        <w:spacing w:before="240" w:after="0"/>
        <w:rPr/>
      </w:pPr>
      <w:r>
        <w:rPr/>
        <w:t>Document correspondence with GBI-authorized Assessor as informational submittals.</w:t>
      </w:r>
    </w:p>
    <w:p>
      <w:pPr>
        <w:pStyle w:val="PR1"/>
        <w:numPr>
          <w:ilvl w:val="4"/>
          <w:numId w:val="1"/>
        </w:numPr>
        <w:rPr/>
      </w:pPr>
      <w:r>
        <w:rPr/>
        <w:t>Environmental Management System: Document the following:</w:t>
      </w:r>
    </w:p>
    <w:p>
      <w:pPr>
        <w:pStyle w:val="PR2"/>
        <w:numPr>
          <w:ilvl w:val="5"/>
          <w:numId w:val="1"/>
        </w:numPr>
        <w:spacing w:before="240" w:after="0"/>
        <w:rPr/>
      </w:pPr>
      <w:r>
        <w:rPr/>
        <w:t>General Contractor's environmental policy.</w:t>
      </w:r>
    </w:p>
    <w:p>
      <w:pPr>
        <w:pStyle w:val="PR2"/>
        <w:numPr>
          <w:ilvl w:val="5"/>
          <w:numId w:val="1"/>
        </w:numPr>
        <w:rPr/>
      </w:pPr>
      <w:r>
        <w:rPr/>
        <w:t>Regulatory compliance and training.</w:t>
      </w:r>
    </w:p>
    <w:p>
      <w:pPr>
        <w:pStyle w:val="PR2"/>
        <w:numPr>
          <w:ilvl w:val="5"/>
          <w:numId w:val="1"/>
        </w:numPr>
        <w:rPr/>
      </w:pPr>
      <w:r>
        <w:rPr/>
        <w:t>Environmental risk assessment that shows sensitive environmental areas and ranks potential risks that may arise from the construction.</w:t>
      </w:r>
    </w:p>
    <w:p>
      <w:pPr>
        <w:pStyle w:val="PR2"/>
        <w:numPr>
          <w:ilvl w:val="5"/>
          <w:numId w:val="1"/>
        </w:numPr>
        <w:rPr/>
      </w:pPr>
      <w:r>
        <w:rPr/>
        <w:t>Environmental risk management strategies.</w:t>
      </w:r>
    </w:p>
    <w:p>
      <w:pPr>
        <w:pStyle w:val="PR2"/>
        <w:numPr>
          <w:ilvl w:val="5"/>
          <w:numId w:val="1"/>
        </w:numPr>
        <w:rPr/>
      </w:pPr>
      <w:r>
        <w:rPr/>
        <w:t>Environmental management roles, responsibilities, and reporting structure for the construction phase.</w:t>
      </w:r>
    </w:p>
    <w:p>
      <w:pPr>
        <w:pStyle w:val="PR2"/>
        <w:numPr>
          <w:ilvl w:val="5"/>
          <w:numId w:val="1"/>
        </w:numPr>
        <w:rPr/>
      </w:pPr>
      <w:r>
        <w:rPr/>
        <w:t>Site and work instructions for site personnel outlining environmental procedures during construction.</w:t>
      </w:r>
    </w:p>
    <w:p>
      <w:pPr>
        <w:pStyle w:val="PR2"/>
        <w:numPr>
          <w:ilvl w:val="5"/>
          <w:numId w:val="1"/>
        </w:numPr>
        <w:rPr/>
      </w:pPr>
      <w:r>
        <w:rPr/>
        <w:t>Environmental inspection checklists.</w:t>
      </w:r>
    </w:p>
    <w:p>
      <w:pPr>
        <w:pStyle w:val="PR2"/>
        <w:numPr>
          <w:ilvl w:val="5"/>
          <w:numId w:val="1"/>
        </w:numPr>
        <w:rPr/>
      </w:pPr>
      <w:r>
        <w:rPr/>
        <w:t>Records of compliance.</w:t>
      </w:r>
    </w:p>
    <w:p>
      <w:pPr>
        <w:pStyle w:val="ART"/>
        <w:numPr>
          <w:ilvl w:val="3"/>
          <w:numId w:val="1"/>
        </w:numPr>
        <w:ind w:hanging="0" w:left="0"/>
        <w:rPr/>
      </w:pPr>
      <w:r>
        <w:rPr/>
        <w:t>ACTION SUBMITTALS</w:t>
      </w:r>
    </w:p>
    <w:p>
      <w:pPr>
        <w:pStyle w:val="CMT"/>
        <w:rPr/>
      </w:pPr>
      <w:r>
        <w:rPr/>
        <w:t>Requirements in this article assume that Product Data and cost information are submitted to Architect who then determines if Green Globes requirements have been met. Submittals include documentation needed to verify compliance with Green Globes requirements so that Architect or Owner can be assured that requirements have been met.</w:t>
      </w:r>
    </w:p>
    <w:p>
      <w:pPr>
        <w:pStyle w:val="PR1"/>
        <w:numPr>
          <w:ilvl w:val="4"/>
          <w:numId w:val="1"/>
        </w:numPr>
        <w:rPr/>
      </w:pPr>
      <w:r>
        <w:rPr/>
        <w:t>General: Submit additional sustainable design submittals required by other Specification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an additional copy with other submittal as a record copy of compliance with indicated Green Globes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Green Globes requirements.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Environmental management system documents.</w:t>
      </w:r>
    </w:p>
    <w:p>
      <w:pPr>
        <w:pStyle w:val="PR2"/>
        <w:numPr>
          <w:ilvl w:val="5"/>
          <w:numId w:val="1"/>
        </w:numPr>
        <w:rPr/>
      </w:pPr>
      <w:r>
        <w:rPr/>
        <w:t>Environmental product declarations.</w:t>
      </w:r>
    </w:p>
    <w:p>
      <w:pPr>
        <w:pStyle w:val="PR2"/>
        <w:numPr>
          <w:ilvl w:val="5"/>
          <w:numId w:val="1"/>
        </w:numPr>
        <w:rPr/>
      </w:pPr>
      <w:r>
        <w:rPr/>
        <w:t>Third-party certifications based on multiple attribute standards.</w:t>
      </w:r>
    </w:p>
    <w:p>
      <w:pPr>
        <w:pStyle w:val="PR2"/>
        <w:numPr>
          <w:ilvl w:val="5"/>
          <w:numId w:val="1"/>
        </w:numPr>
        <w:rPr/>
      </w:pPr>
      <w:r>
        <w:rPr/>
        <w:t>Third-party-certified life-cycle product assessments.</w:t>
      </w:r>
    </w:p>
    <w:p>
      <w:pPr>
        <w:pStyle w:val="PR2"/>
        <w:numPr>
          <w:ilvl w:val="5"/>
          <w:numId w:val="1"/>
        </w:numPr>
        <w:rPr/>
      </w:pPr>
      <w:r>
        <w:rPr/>
        <w:t>Documentation complying with Section 017419 "Construction Waste Management and Disposal."</w:t>
      </w:r>
    </w:p>
    <w:p>
      <w:pPr>
        <w:pStyle w:val="PR2"/>
        <w:numPr>
          <w:ilvl w:val="5"/>
          <w:numId w:val="1"/>
        </w:numPr>
        <w:rPr/>
      </w:pPr>
      <w:r>
        <w:rPr/>
        <w:t>Product Data and laboratory test reports for adhesives and sealants indicating VOC content and compliance with requirements for low-emitting materials.</w:t>
      </w:r>
    </w:p>
    <w:p>
      <w:pPr>
        <w:pStyle w:val="PR2"/>
        <w:numPr>
          <w:ilvl w:val="5"/>
          <w:numId w:val="1"/>
        </w:numPr>
        <w:rPr/>
      </w:pPr>
      <w:r>
        <w:rPr/>
        <w:t>Certificates for carpet and undercarpet adhesives indicating compliance with CRI's Green Label Plus testing program.</w:t>
      </w:r>
    </w:p>
    <w:p>
      <w:pPr>
        <w:pStyle w:val="PR2"/>
        <w:numPr>
          <w:ilvl w:val="5"/>
          <w:numId w:val="1"/>
        </w:numPr>
        <w:rPr/>
      </w:pPr>
      <w:r>
        <w:rPr/>
        <w:t>Product Data and laboratory test reports for paints indicating VOC content and compliance with requirements for low-emitting materials.</w:t>
      </w:r>
    </w:p>
    <w:p>
      <w:pPr>
        <w:pStyle w:val="PR2"/>
        <w:numPr>
          <w:ilvl w:val="5"/>
          <w:numId w:val="1"/>
        </w:numPr>
        <w:rPr/>
      </w:pPr>
      <w:r>
        <w:rPr/>
        <w:t>Laboratory test reports for flooring, insulation, acoustical ceilings, and wall coverings, indicating compliance with requirements for low-emitting materials.</w:t>
      </w:r>
    </w:p>
    <w:p>
      <w:pPr>
        <w:pStyle w:val="PR2"/>
        <w:numPr>
          <w:ilvl w:val="5"/>
          <w:numId w:val="1"/>
        </w:numPr>
        <w:rPr/>
      </w:pPr>
      <w:r>
        <w:rPr/>
        <w:t>Construction indoor-air-quality (IAQ) management plan including the following:</w:t>
      </w:r>
    </w:p>
    <w:p>
      <w:pPr>
        <w:pStyle w:val="PR3"/>
        <w:numPr>
          <w:ilvl w:val="6"/>
          <w:numId w:val="1"/>
        </w:numPr>
        <w:spacing w:before="240" w:after="0"/>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each of three different times during the construction period, along with a brief description of the SMACNA approach employed, documenting implementation of IAQ management measures, such as protection of ducts and on-site stored or installed absorptive materials.</w:t>
      </w:r>
    </w:p>
    <w:p>
      <w:pPr>
        <w:pStyle w:val="CMT"/>
        <w:rPr/>
      </w:pPr>
      <w:r>
        <w:rPr/>
        <w:t>Delete two subparagraphs below if using Owner-engaged, IAQ testing.</w:t>
      </w:r>
    </w:p>
    <w:p>
      <w:pPr>
        <w:pStyle w:val="PR2"/>
        <w:numPr>
          <w:ilvl w:val="5"/>
          <w:numId w:val="1"/>
        </w:numPr>
        <w:spacing w:before="240" w:after="0"/>
        <w:rPr/>
      </w:pPr>
      <w:r>
        <w:rPr/>
        <w:t>Building Air Flush-Out: Signed statement describing the building air flush-out procedures including the dates when flush-out was begun and completed and statement that filtration media was replaced after flush-out. Include Product Data for filtration media used during flush-out and during occupancy.</w:t>
      </w:r>
    </w:p>
    <w:p>
      <w:pPr>
        <w:pStyle w:val="CMT"/>
        <w:rPr/>
      </w:pPr>
      <w:r>
        <w:rPr/>
        <w:t>Retain subparagraph below if using Contractor-engaged, IAQ testing.</w:t>
      </w:r>
    </w:p>
    <w:p>
      <w:pPr>
        <w:pStyle w:val="PR2"/>
        <w:numPr>
          <w:ilvl w:val="5"/>
          <w:numId w:val="1"/>
        </w:numPr>
        <w:rPr/>
      </w:pPr>
      <w:r>
        <w:rPr/>
        <w:t>IAQ testing report from testing and inspecting agency indicating results of IAQ testing and documentation that show compliance with IAQ testing procedures and requirements.</w:t>
      </w:r>
    </w:p>
    <w:p>
      <w:pPr>
        <w:pStyle w:val="ART"/>
        <w:numPr>
          <w:ilvl w:val="3"/>
          <w:numId w:val="1"/>
        </w:numPr>
        <w:ind w:hanging="0" w:left="0"/>
        <w:rPr/>
      </w:pPr>
      <w:r>
        <w:rPr/>
        <w:t>INFORMATIONAL SUBMITTALS</w:t>
      </w:r>
    </w:p>
    <w:p>
      <w:pPr>
        <w:pStyle w:val="PR1"/>
        <w:numPr>
          <w:ilvl w:val="4"/>
          <w:numId w:val="1"/>
        </w:numPr>
        <w:rPr/>
      </w:pPr>
      <w:r>
        <w:rPr/>
        <w:t>Qualification Data: For Green Globes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PR2"/>
        <w:numPr>
          <w:ilvl w:val="5"/>
          <w:numId w:val="1"/>
        </w:numPr>
        <w:rPr/>
      </w:pPr>
      <w:r>
        <w:rPr/>
        <w:t>Wood-based construction materials.</w:t>
      </w:r>
    </w:p>
    <w:p>
      <w:pPr>
        <w:pStyle w:val="CMT"/>
        <w:rPr/>
      </w:pPr>
      <w:r>
        <w:rPr/>
        <w:t>"Sustainable Design Action Plans" Paragraph below requires Contractor to make early submittals indicating how certain Green Globes requirements will be met. This action can provide reassurance that Contractor understands the requirements and can help to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environmental product declarations.</w:t>
      </w:r>
    </w:p>
    <w:p>
      <w:pPr>
        <w:pStyle w:val="PR2"/>
        <w:numPr>
          <w:ilvl w:val="5"/>
          <w:numId w:val="1"/>
        </w:numPr>
        <w:rPr/>
      </w:pPr>
      <w:r>
        <w:rPr/>
        <w:t>List of proposed products complying with requirements for multiple attribute standards.</w:t>
      </w:r>
    </w:p>
    <w:p>
      <w:pPr>
        <w:pStyle w:val="PR2"/>
        <w:numPr>
          <w:ilvl w:val="5"/>
          <w:numId w:val="1"/>
        </w:numPr>
        <w:rPr/>
      </w:pPr>
      <w:r>
        <w:rPr/>
        <w:t>List of proposed products complying with requirements for life-cycle product assessments.</w:t>
      </w:r>
    </w:p>
    <w:p>
      <w:pPr>
        <w:pStyle w:val="PR2"/>
        <w:numPr>
          <w:ilvl w:val="5"/>
          <w:numId w:val="1"/>
        </w:numPr>
        <w:rPr/>
      </w:pPr>
      <w:r>
        <w:rPr/>
        <w:t>General Contractor's environmental policy.</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PR1"/>
        <w:numPr>
          <w:ilvl w:val="4"/>
          <w:numId w:val="1"/>
        </w:numPr>
        <w:rPr/>
      </w:pPr>
      <w:r>
        <w:rPr/>
        <w:t>Green Globes Coordinator: Engage an experienced coordinator to coordinate Green Globes requirements. Green Globes coordinator may also serve as waste management coordinator.</w:t>
      </w:r>
    </w:p>
    <w:p>
      <w:pPr>
        <w:pStyle w:val="PR2"/>
        <w:numPr>
          <w:ilvl w:val="5"/>
          <w:numId w:val="1"/>
        </w:numPr>
        <w:spacing w:before="240" w:after="0"/>
        <w:rPr/>
      </w:pPr>
      <w:r>
        <w:rPr/>
        <w:t>Green Globes coordinator to have previously coordinated at least [</w:t>
      </w:r>
      <w:r>
        <w:rPr>
          <w:b/>
        </w:rPr>
        <w:t>one</w:t>
      </w:r>
      <w:r>
        <w:rPr/>
        <w:t>] [</w:t>
      </w:r>
      <w:r>
        <w:rPr>
          <w:b/>
        </w:rPr>
        <w:t>two</w:t>
      </w:r>
      <w:r>
        <w:rPr/>
        <w:t>] &lt;</w:t>
      </w:r>
      <w:r>
        <w:rPr>
          <w:b/>
        </w:rPr>
        <w:t>Insert number</w:t>
      </w:r>
      <w:r>
        <w:rPr/>
        <w:t>&gt; Green Globes project(s).</w:t>
      </w:r>
    </w:p>
    <w:p>
      <w:pPr>
        <w:pStyle w:val="ART"/>
        <w:numPr>
          <w:ilvl w:val="3"/>
          <w:numId w:val="1"/>
        </w:numPr>
        <w:ind w:hanging="0" w:left="0"/>
        <w:rPr/>
      </w:pPr>
      <w:r>
        <w:rPr/>
        <w:t>DELIVERY, STORAGE, AND HANDLING</w:t>
      </w:r>
    </w:p>
    <w:p>
      <w:pPr>
        <w:pStyle w:val="PR1"/>
        <w:numPr>
          <w:ilvl w:val="4"/>
          <w:numId w:val="1"/>
        </w:numPr>
        <w:rPr/>
      </w:pPr>
      <w:r>
        <w:rPr/>
        <w:t>Deliver, store, and handle building materials made of organic material or those that could absorb moisture to prevent deterioration or damage due to moisture, temperature changes, contaminants, or corrosion, and to prevent collecting organic matter such as leaves, soil, or insects.</w:t>
      </w:r>
    </w:p>
    <w:p>
      <w:pPr>
        <w:pStyle w:val="PR1"/>
        <w:numPr>
          <w:ilvl w:val="4"/>
          <w:numId w:val="1"/>
        </w:numPr>
        <w:rPr/>
      </w:pPr>
      <w:r>
        <w:rPr/>
        <w:t>Do not deliver or install materials made of organic material or those that could absorb moisture until painting and similar operations that could damage them have been completed in installation areas.</w:t>
      </w:r>
    </w:p>
    <w:p>
      <w:pPr>
        <w:pStyle w:val="PR1"/>
        <w:numPr>
          <w:ilvl w:val="4"/>
          <w:numId w:val="1"/>
        </w:numPr>
        <w:rPr/>
      </w:pPr>
      <w:r>
        <w:rPr/>
        <w:t>Do not install interior walls, wood floors, ceilings, or HVAC systems until the building envelope is weathertight and has been permitted to dry.</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technical Sections. This will help ensure that requirements are met if costs differ from Architect's estimates.</w:t>
      </w:r>
    </w:p>
    <w:p>
      <w:pPr>
        <w:pStyle w:val="PR1"/>
        <w:numPr>
          <w:ilvl w:val="4"/>
          <w:numId w:val="1"/>
        </w:numPr>
        <w:rPr/>
      </w:pPr>
      <w:r>
        <w:rPr/>
        <w:t>Provide products and procedures necessary to comply with Green Globes requirements referenced in this Section. Although other Sections may specify some requirements that contribute to referenced Green Globes requirements, Contractor will determine additional materials and procedures necessary to comply with Green Globes requirements indicated.</w:t>
      </w:r>
    </w:p>
    <w:p>
      <w:pPr>
        <w:pStyle w:val="PR1"/>
        <w:numPr>
          <w:ilvl w:val="4"/>
          <w:numId w:val="1"/>
        </w:numPr>
        <w:rPr/>
      </w:pPr>
      <w:r>
        <w:rPr/>
        <w:t>At least [</w:t>
      </w:r>
      <w:r>
        <w:rPr>
          <w:b/>
        </w:rPr>
        <w:t>10</w:t>
      </w:r>
      <w:r>
        <w:rPr/>
        <w:t>] [</w:t>
      </w:r>
      <w:r>
        <w:rPr>
          <w:b/>
        </w:rPr>
        <w:t>25</w:t>
      </w:r>
      <w:r>
        <w:rPr/>
        <w:t>] [</w:t>
      </w:r>
      <w:r>
        <w:rPr>
          <w:b/>
        </w:rPr>
        <w:t>40</w:t>
      </w:r>
      <w:r>
        <w:rPr/>
        <w:t>] percent of products to have environmental product declarations that comply with Green Globes requirements.</w:t>
      </w:r>
    </w:p>
    <w:p>
      <w:pPr>
        <w:pStyle w:val="PR1"/>
        <w:numPr>
          <w:ilvl w:val="4"/>
          <w:numId w:val="1"/>
        </w:numPr>
        <w:rPr/>
      </w:pPr>
      <w:r>
        <w:rPr/>
        <w:t>At least [</w:t>
      </w:r>
      <w:r>
        <w:rPr>
          <w:b/>
        </w:rPr>
        <w:t>10</w:t>
      </w:r>
      <w:r>
        <w:rPr/>
        <w:t>] [</w:t>
      </w:r>
      <w:r>
        <w:rPr>
          <w:b/>
        </w:rPr>
        <w:t>25</w:t>
      </w:r>
      <w:r>
        <w:rPr/>
        <w:t>] [</w:t>
      </w:r>
      <w:r>
        <w:rPr>
          <w:b/>
        </w:rPr>
        <w:t>40</w:t>
      </w:r>
      <w:r>
        <w:rPr/>
        <w:t>] percent of products to have third-party certifications that are based on multiple attribute standard(s) that comply with Green Globes requirements.</w:t>
      </w:r>
    </w:p>
    <w:p>
      <w:pPr>
        <w:pStyle w:val="PR1"/>
        <w:numPr>
          <w:ilvl w:val="4"/>
          <w:numId w:val="1"/>
        </w:numPr>
        <w:rPr/>
      </w:pPr>
      <w:r>
        <w:rPr/>
        <w:t>At least [</w:t>
      </w:r>
      <w:r>
        <w:rPr>
          <w:b/>
        </w:rPr>
        <w:t>10</w:t>
      </w:r>
      <w:r>
        <w:rPr/>
        <w:t>] [</w:t>
      </w:r>
      <w:r>
        <w:rPr>
          <w:b/>
        </w:rPr>
        <w:t>25</w:t>
      </w:r>
      <w:r>
        <w:rPr/>
        <w:t>] [</w:t>
      </w:r>
      <w:r>
        <w:rPr>
          <w:b/>
        </w:rPr>
        <w:t>40</w:t>
      </w:r>
      <w:r>
        <w:rPr/>
        <w:t>] percent of products to have third-party life-cycle product assessments that comply with Green Globes requirements.</w:t>
      </w:r>
    </w:p>
    <w:p>
      <w:pPr>
        <w:pStyle w:val="PR1"/>
        <w:numPr>
          <w:ilvl w:val="4"/>
          <w:numId w:val="1"/>
        </w:numPr>
        <w:rPr/>
      </w:pPr>
      <w:r>
        <w:rPr/>
        <w:t>At least [</w:t>
      </w:r>
      <w:r>
        <w:rPr>
          <w:b/>
        </w:rPr>
        <w:t>10</w:t>
      </w:r>
      <w:r>
        <w:rPr/>
        <w:t>] [</w:t>
      </w:r>
      <w:r>
        <w:rPr>
          <w:b/>
        </w:rPr>
        <w:t>25</w:t>
      </w:r>
      <w:r>
        <w:rPr/>
        <w:t>] [</w:t>
      </w:r>
      <w:r>
        <w:rPr>
          <w:b/>
        </w:rPr>
        <w:t>40</w:t>
      </w:r>
      <w:r>
        <w:rPr/>
        <w:t>] percent of products to comply with one of the following:</w:t>
      </w:r>
    </w:p>
    <w:p>
      <w:pPr>
        <w:pStyle w:val="PR2"/>
        <w:numPr>
          <w:ilvl w:val="5"/>
          <w:numId w:val="1"/>
        </w:numPr>
        <w:spacing w:before="240" w:after="0"/>
        <w:rPr/>
      </w:pPr>
      <w:r>
        <w:rPr/>
        <w:t>Products to have environmental product declarations that comply with Green Globes requirements.</w:t>
      </w:r>
    </w:p>
    <w:p>
      <w:pPr>
        <w:pStyle w:val="PR2"/>
        <w:numPr>
          <w:ilvl w:val="5"/>
          <w:numId w:val="1"/>
        </w:numPr>
        <w:rPr/>
      </w:pPr>
      <w:r>
        <w:rPr/>
        <w:t>Products to have third-party certifications that are based on multiple attribute standard(s) that comply with Green Globes requirements.</w:t>
      </w:r>
    </w:p>
    <w:p>
      <w:pPr>
        <w:pStyle w:val="PR2"/>
        <w:numPr>
          <w:ilvl w:val="5"/>
          <w:numId w:val="1"/>
        </w:numPr>
        <w:rPr/>
      </w:pPr>
      <w:r>
        <w:rPr/>
        <w:t>Products to have third-party life-cycle product assessments that comply with Green Globes requirements.</w:t>
      </w:r>
    </w:p>
    <w:p>
      <w:pPr>
        <w:pStyle w:val="ART"/>
        <w:numPr>
          <w:ilvl w:val="3"/>
          <w:numId w:val="1"/>
        </w:numPr>
        <w:ind w:hanging="0" w:left="0"/>
        <w:rPr/>
      </w:pPr>
      <w:r>
        <w:rPr/>
        <w:t>LOW-EMITTING MATERIALS</w:t>
      </w:r>
    </w:p>
    <w:p>
      <w:pPr>
        <w:pStyle w:val="CMT"/>
        <w:rPr/>
      </w:pPr>
      <w:r>
        <w:rPr/>
        <w:t>If retaining this article, coordinate with Sections where relevant products are specified to avoid conflicting requirements in those Sections.</w:t>
      </w:r>
    </w:p>
    <w:p>
      <w:pPr>
        <w:pStyle w:val="PR1"/>
        <w:numPr>
          <w:ilvl w:val="4"/>
          <w:numId w:val="1"/>
        </w:numPr>
        <w:rPr/>
      </w:pPr>
      <w:r>
        <w:rPr/>
        <w:t>Adhesives and Sealants:</w:t>
      </w:r>
    </w:p>
    <w:p>
      <w:pPr>
        <w:pStyle w:val="CMT"/>
        <w:rPr/>
      </w:pPr>
      <w:r>
        <w:rPr/>
        <w:t>Adhesives and sealants are required in many Sections where, without being specifically mentioned, they may be specified only by the requirement to install products according to manufacturer's written instructions. For this reason, it is prudent to retain both subparagraphs below if this requirement is to be met.</w:t>
      </w:r>
    </w:p>
    <w:p>
      <w:pPr>
        <w:pStyle w:val="PR2"/>
        <w:numPr>
          <w:ilvl w:val="5"/>
          <w:numId w:val="1"/>
        </w:numPr>
        <w:spacing w:before="240" w:after="0"/>
        <w:rPr/>
      </w:pPr>
      <w:r>
        <w:rPr/>
        <w:t>For field applications inside the building, adhesives and sealants to comply with the following VOC content limits:</w:t>
      </w:r>
    </w:p>
    <w:p>
      <w:pPr>
        <w:pStyle w:val="CMT"/>
        <w:rPr/>
      </w:pPr>
      <w:r>
        <w:rPr/>
        <w:t>Categories in subparagraphs below are taken from Green Globes rating system and the standards referenced by it; if clarification is required, see those documents.</w:t>
      </w:r>
    </w:p>
    <w:p>
      <w:pPr>
        <w:pStyle w:val="PR3"/>
        <w:numPr>
          <w:ilvl w:val="6"/>
          <w:numId w:val="1"/>
        </w:numPr>
        <w:spacing w:before="240" w:after="0"/>
        <w:rPr/>
      </w:pPr>
      <w:r>
        <w:rPr/>
        <w:t>Wood Glues: 30 g/L.</w:t>
      </w:r>
    </w:p>
    <w:p>
      <w:pPr>
        <w:pStyle w:val="PR3"/>
        <w:numPr>
          <w:ilvl w:val="6"/>
          <w:numId w:val="1"/>
        </w:numPr>
        <w:rPr/>
      </w:pPr>
      <w:r>
        <w:rPr/>
        <w:t>Metal-to-Metal Adhesives: 30 g/L.</w:t>
      </w:r>
    </w:p>
    <w:p>
      <w:pPr>
        <w:pStyle w:val="PR3"/>
        <w:numPr>
          <w:ilvl w:val="6"/>
          <w:numId w:val="1"/>
        </w:numPr>
        <w:rPr/>
      </w:pPr>
      <w:r>
        <w:rPr/>
        <w:t>Adhesives for Porous Materials (except Wood): 50 g/L.</w:t>
      </w:r>
    </w:p>
    <w:p>
      <w:pPr>
        <w:pStyle w:val="PR3"/>
        <w:numPr>
          <w:ilvl w:val="6"/>
          <w:numId w:val="1"/>
        </w:numPr>
        <w:rPr/>
      </w:pPr>
      <w:r>
        <w:rPr/>
        <w:t>Subfloor Adhesives: 50 g/L.</w:t>
      </w:r>
    </w:p>
    <w:p>
      <w:pPr>
        <w:pStyle w:val="PR3"/>
        <w:numPr>
          <w:ilvl w:val="6"/>
          <w:numId w:val="1"/>
        </w:numPr>
        <w:rPr/>
      </w:pPr>
      <w:r>
        <w:rPr/>
        <w:t>Plastic Foam Adhesives: 50 g/L.</w:t>
      </w:r>
    </w:p>
    <w:p>
      <w:pPr>
        <w:pStyle w:val="PR3"/>
        <w:numPr>
          <w:ilvl w:val="6"/>
          <w:numId w:val="1"/>
        </w:numPr>
        <w:rPr/>
      </w:pPr>
      <w:r>
        <w:rPr/>
        <w:t>Carpet Adhesives: 50 g/L.</w:t>
      </w:r>
    </w:p>
    <w:p>
      <w:pPr>
        <w:pStyle w:val="PR3"/>
        <w:numPr>
          <w:ilvl w:val="6"/>
          <w:numId w:val="1"/>
        </w:numPr>
        <w:rPr/>
      </w:pPr>
      <w:r>
        <w:rPr/>
        <w:t>Carpet Pad Adhesives: 50 g/L.</w:t>
      </w:r>
    </w:p>
    <w:p>
      <w:pPr>
        <w:pStyle w:val="PR3"/>
        <w:numPr>
          <w:ilvl w:val="6"/>
          <w:numId w:val="1"/>
        </w:numPr>
        <w:rPr/>
      </w:pPr>
      <w:r>
        <w:rPr/>
        <w:t>VCT and Asphalt Tile Adhesives: 50 g/L.</w:t>
      </w:r>
    </w:p>
    <w:p>
      <w:pPr>
        <w:pStyle w:val="PR3"/>
        <w:numPr>
          <w:ilvl w:val="6"/>
          <w:numId w:val="1"/>
        </w:numPr>
        <w:rPr/>
      </w:pPr>
      <w:r>
        <w:rPr/>
        <w:t>Cove Base Adhesives: 50 g/L.</w:t>
      </w:r>
    </w:p>
    <w:p>
      <w:pPr>
        <w:pStyle w:val="PR3"/>
        <w:numPr>
          <w:ilvl w:val="6"/>
          <w:numId w:val="1"/>
        </w:numPr>
        <w:rPr/>
      </w:pPr>
      <w:r>
        <w:rPr/>
        <w:t>Gypsum Board and Panel Adhesives: 50 g/L.</w:t>
      </w:r>
    </w:p>
    <w:p>
      <w:pPr>
        <w:pStyle w:val="PR3"/>
        <w:numPr>
          <w:ilvl w:val="6"/>
          <w:numId w:val="1"/>
        </w:numPr>
        <w:rPr/>
      </w:pPr>
      <w:r>
        <w:rPr/>
        <w:t>Rubber Floor Adhesives: 60 g/L.</w:t>
      </w:r>
    </w:p>
    <w:p>
      <w:pPr>
        <w:pStyle w:val="PR3"/>
        <w:numPr>
          <w:ilvl w:val="6"/>
          <w:numId w:val="1"/>
        </w:numPr>
        <w:rPr/>
      </w:pPr>
      <w:r>
        <w:rPr/>
        <w:t>Ceramic Tile Adhesives: 65 g/L.</w:t>
      </w:r>
    </w:p>
    <w:p>
      <w:pPr>
        <w:pStyle w:val="PR3"/>
        <w:numPr>
          <w:ilvl w:val="6"/>
          <w:numId w:val="1"/>
        </w:numPr>
        <w:rPr/>
      </w:pPr>
      <w:r>
        <w:rPr/>
        <w:t>Multipurpose Construction Adhesives: 70 g/L.</w:t>
      </w:r>
    </w:p>
    <w:p>
      <w:pPr>
        <w:pStyle w:val="PR3"/>
        <w:numPr>
          <w:ilvl w:val="6"/>
          <w:numId w:val="1"/>
        </w:numPr>
        <w:rPr/>
      </w:pPr>
      <w:r>
        <w:rPr/>
        <w:t>Fiberglass Adhesives: 80 g/L.</w:t>
      </w:r>
    </w:p>
    <w:p>
      <w:pPr>
        <w:pStyle w:val="PR3"/>
        <w:numPr>
          <w:ilvl w:val="6"/>
          <w:numId w:val="1"/>
        </w:numPr>
        <w:rPr/>
      </w:pPr>
      <w:r>
        <w:rPr/>
        <w:t>Contact Adhesive: 80 g/L.</w:t>
      </w:r>
    </w:p>
    <w:p>
      <w:pPr>
        <w:pStyle w:val="PR3"/>
        <w:numPr>
          <w:ilvl w:val="6"/>
          <w:numId w:val="1"/>
        </w:numPr>
        <w:rPr/>
      </w:pPr>
      <w:r>
        <w:rPr/>
        <w:t>Structural Glazing Adhesives: 100 g/L.</w:t>
      </w:r>
    </w:p>
    <w:p>
      <w:pPr>
        <w:pStyle w:val="PR3"/>
        <w:numPr>
          <w:ilvl w:val="6"/>
          <w:numId w:val="1"/>
        </w:numPr>
        <w:rPr/>
      </w:pPr>
      <w:r>
        <w:rPr/>
        <w:t>Wood Flooring Adhesive: 100 g/L.</w:t>
      </w:r>
    </w:p>
    <w:p>
      <w:pPr>
        <w:pStyle w:val="PR3"/>
        <w:numPr>
          <w:ilvl w:val="6"/>
          <w:numId w:val="1"/>
        </w:numPr>
        <w:rPr/>
      </w:pPr>
      <w:r>
        <w:rPr/>
        <w:t>Single-Ply Roof Membrane Adhesive: 250 g/L.</w:t>
      </w:r>
    </w:p>
    <w:p>
      <w:pPr>
        <w:pStyle w:val="PR3"/>
        <w:numPr>
          <w:ilvl w:val="6"/>
          <w:numId w:val="1"/>
        </w:numPr>
        <w:rPr/>
      </w:pPr>
      <w:r>
        <w:rPr/>
        <w:t>Special-Purpose Contact Adhesive (Contact Adhesive That Is Used to Bond Melamine Covered Board, Metal, Unsupported Vinyl, Rubber, or Wood Veneer 1/16 Inch or Less in Thickness to Any Surface): 250 g/L.</w:t>
      </w:r>
    </w:p>
    <w:p>
      <w:pPr>
        <w:pStyle w:val="PR3"/>
        <w:numPr>
          <w:ilvl w:val="6"/>
          <w:numId w:val="1"/>
        </w:numPr>
        <w:rPr/>
      </w:pPr>
      <w:r>
        <w:rPr/>
        <w:t>Plastic Cement Welding Compounds: 250 g/L.</w:t>
      </w:r>
    </w:p>
    <w:p>
      <w:pPr>
        <w:pStyle w:val="PR3"/>
        <w:numPr>
          <w:ilvl w:val="6"/>
          <w:numId w:val="1"/>
        </w:numPr>
        <w:rPr/>
      </w:pPr>
      <w:r>
        <w:rPr/>
        <w:t>ABS Welding Compounds: 325 g/L.</w:t>
      </w:r>
    </w:p>
    <w:p>
      <w:pPr>
        <w:pStyle w:val="PR3"/>
        <w:numPr>
          <w:ilvl w:val="6"/>
          <w:numId w:val="1"/>
        </w:numPr>
        <w:rPr/>
      </w:pPr>
      <w:r>
        <w:rPr/>
        <w:t>CPVC Welding Compounds: 490 g/L.</w:t>
      </w:r>
    </w:p>
    <w:p>
      <w:pPr>
        <w:pStyle w:val="PR3"/>
        <w:numPr>
          <w:ilvl w:val="6"/>
          <w:numId w:val="1"/>
        </w:numPr>
        <w:rPr/>
      </w:pPr>
      <w:r>
        <w:rPr/>
        <w:t>PVC Welding Compounds: 510 g/L.</w:t>
      </w:r>
    </w:p>
    <w:p>
      <w:pPr>
        <w:pStyle w:val="PR3"/>
        <w:numPr>
          <w:ilvl w:val="6"/>
          <w:numId w:val="1"/>
        </w:numPr>
        <w:rPr/>
      </w:pPr>
      <w:r>
        <w:rPr/>
        <w:t>Adhesive Primer for Plastic: 550 g/L.</w:t>
      </w:r>
    </w:p>
    <w:p>
      <w:pPr>
        <w:pStyle w:val="PR3"/>
        <w:numPr>
          <w:ilvl w:val="6"/>
          <w:numId w:val="1"/>
        </w:numPr>
        <w:rPr/>
      </w:pPr>
      <w:r>
        <w:rPr/>
        <w:t>Architectural Sealants: 250 g/L.</w:t>
      </w:r>
    </w:p>
    <w:p>
      <w:pPr>
        <w:pStyle w:val="PR3"/>
        <w:numPr>
          <w:ilvl w:val="6"/>
          <w:numId w:val="1"/>
        </w:numPr>
        <w:rPr/>
      </w:pPr>
      <w:r>
        <w:rPr/>
        <w:t>Nonmembrane Roof Sealants: 300 g/L.</w:t>
      </w:r>
    </w:p>
    <w:p>
      <w:pPr>
        <w:pStyle w:val="PR3"/>
        <w:numPr>
          <w:ilvl w:val="6"/>
          <w:numId w:val="1"/>
        </w:numPr>
        <w:rPr/>
      </w:pPr>
      <w:r>
        <w:rPr/>
        <w:t>Single-Ply Roof Membrane Sealants: 450 g/L.</w:t>
      </w:r>
    </w:p>
    <w:p>
      <w:pPr>
        <w:pStyle w:val="PR3"/>
        <w:numPr>
          <w:ilvl w:val="6"/>
          <w:numId w:val="1"/>
        </w:numPr>
        <w:rPr/>
      </w:pPr>
      <w:r>
        <w:rPr/>
        <w:t>Other Sealants: 420 g/L.</w:t>
      </w:r>
    </w:p>
    <w:p>
      <w:pPr>
        <w:pStyle w:val="PR2"/>
        <w:numPr>
          <w:ilvl w:val="5"/>
          <w:numId w:val="1"/>
        </w:numPr>
        <w:spacing w:before="240" w:after="0"/>
        <w:rPr/>
      </w:pPr>
      <w:r>
        <w:rPr/>
        <w:t>For field applications inside the building, adhesives and sealants may contain no more than half of the chronic REL of VOCs when tested in accordance with the California Department of Public Health's "Standard Method for the Testing and Evaluation of Volatile Organic Chemical Emissions from Indoor Sources Using Environmental Chambers." The building concentration of formaldehyde may not exceed half of the indoor REL or 16.5 mcg/cu. m and that of acetaldehyde may not exceed 9 mcg/cu. m.</w:t>
      </w:r>
    </w:p>
    <w:p>
      <w:pPr>
        <w:pStyle w:val="PR1"/>
        <w:numPr>
          <w:ilvl w:val="4"/>
          <w:numId w:val="1"/>
        </w:numPr>
        <w:rPr/>
      </w:pPr>
      <w:r>
        <w:rPr/>
        <w:t>Carpet and undercarpet adhesives to comply with CRI's Green Label Plus testing program.</w:t>
      </w:r>
    </w:p>
    <w:p>
      <w:pPr>
        <w:pStyle w:val="PR1"/>
        <w:numPr>
          <w:ilvl w:val="4"/>
          <w:numId w:val="1"/>
        </w:numPr>
        <w:rPr/>
      </w:pPr>
      <w:r>
        <w:rPr/>
        <w:t>Paints:</w:t>
      </w:r>
    </w:p>
    <w:p>
      <w:pPr>
        <w:pStyle w:val="PR2"/>
        <w:numPr>
          <w:ilvl w:val="5"/>
          <w:numId w:val="1"/>
        </w:numPr>
        <w:spacing w:before="240" w:after="0"/>
        <w:rPr/>
      </w:pPr>
      <w:r>
        <w:rPr/>
        <w:t>For field applications inside the building, wall paints to comply with the following VOC content limits:</w:t>
      </w:r>
    </w:p>
    <w:p>
      <w:pPr>
        <w:pStyle w:val="PR3"/>
        <w:numPr>
          <w:ilvl w:val="6"/>
          <w:numId w:val="1"/>
        </w:numPr>
        <w:spacing w:before="240" w:after="0"/>
        <w:rPr/>
      </w:pPr>
      <w:r>
        <w:rPr/>
        <w:t>Latex Flat Paints: 50 g/L.</w:t>
      </w:r>
    </w:p>
    <w:p>
      <w:pPr>
        <w:pStyle w:val="PR3"/>
        <w:numPr>
          <w:ilvl w:val="6"/>
          <w:numId w:val="1"/>
        </w:numPr>
        <w:rPr/>
      </w:pPr>
      <w:r>
        <w:rPr/>
        <w:t>Latex Nonflat Paints: 150 g/L.</w:t>
      </w:r>
    </w:p>
    <w:p>
      <w:pPr>
        <w:pStyle w:val="PR2"/>
        <w:numPr>
          <w:ilvl w:val="5"/>
          <w:numId w:val="1"/>
        </w:numPr>
        <w:spacing w:before="240" w:after="0"/>
        <w:rPr/>
      </w:pPr>
      <w:r>
        <w:rPr/>
        <w:t>For field applications inside the building, wall paints may contain no more than half of the chronic REL of VOCs when tested in accordance with the California Department of Public Health's "Standard Method for the Testing and Evaluation of Volatile Organic Chemical Emissions from Indoor Sources Using Environmental Chambers." The building concentration of formaldehyde may not exceed half of the indoor REL or 33 mcg/cu. m and that of acetaldehyde may not exceed 9 mcg/cu. m.</w:t>
      </w:r>
    </w:p>
    <w:p>
      <w:pPr>
        <w:pStyle w:val="PR1"/>
        <w:numPr>
          <w:ilvl w:val="4"/>
          <w:numId w:val="1"/>
        </w:numPr>
        <w:rPr/>
      </w:pPr>
      <w:r>
        <w:rPr/>
        <w:t>Flooring and Other Interior Products: Flooring, floor coverings, insulation, acoustical ceilings, and wall coverings may contain no more than half of the chronic REL of VOCs when tested in accordance with the California Department of Public Health's "Standard Method for the Testing and Evaluation of Volatile Organic Chemical Emissions from Indoor Sources Using Environmental Chambers." The building concentration of formaldehyde may not exceed half of the indoor REL or 33 mcg/cu. m and that of acetaldehyde may not exceed 9 mcg/cu. m.</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feet</w:t>
      </w:r>
      <w:r>
        <w:rPr>
          <w:rStyle w:val="SI"/>
        </w:rPr>
        <w:t xml:space="preserve"> (8 m)</w:t>
      </w:r>
      <w:r>
        <w:rPr/>
        <w:t xml:space="preserve"> of entrances, operable windows, or outdoor-air intakes.</w:t>
      </w:r>
    </w:p>
    <w:p>
      <w:pPr>
        <w:pStyle w:val="ART"/>
        <w:numPr>
          <w:ilvl w:val="3"/>
          <w:numId w:val="1"/>
        </w:numPr>
        <w:ind w:hanging="0" w:left="0"/>
        <w:rPr/>
      </w:pPr>
      <w:r>
        <w:rPr/>
        <w:t>CLEAN DIESEL PRACTICES</w:t>
      </w:r>
    </w:p>
    <w:p>
      <w:pPr>
        <w:pStyle w:val="PR1"/>
        <w:numPr>
          <w:ilvl w:val="4"/>
          <w:numId w:val="1"/>
        </w:numPr>
        <w:rPr/>
      </w:pPr>
      <w:r>
        <w:rPr/>
        <w:t>Comply with Green Globes requirements for clean diesel practices.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INDOOR-AIR-QUALITY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replace filter media for the air-handling system at regular intervals during construction, before building flush-out or IAQ testing, and before occupancy.</w:t>
      </w:r>
    </w:p>
    <w:p>
      <w:pPr>
        <w:pStyle w:val="PR2"/>
        <w:numPr>
          <w:ilvl w:val="5"/>
          <w:numId w:val="1"/>
        </w:numPr>
        <w:rPr/>
      </w:pPr>
      <w:r>
        <w:rPr/>
        <w:t>If parts of the building are occupied during construction, replace filter media for the air-handling system at regular intervals during construction, before building flush-out or IAQ testing, and before final occupancy.</w:t>
      </w:r>
    </w:p>
    <w:p>
      <w:pPr>
        <w:pStyle w:val="ART"/>
        <w:numPr>
          <w:ilvl w:val="3"/>
          <w:numId w:val="1"/>
        </w:numPr>
        <w:ind w:hanging="0" w:left="0"/>
        <w:rPr/>
      </w:pPr>
      <w:r>
        <w:rPr/>
        <w:t>INDOOR-AIR-QUALITY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to be ventilated at a minimum rate of </w:t>
      </w:r>
      <w:r>
        <w:rPr>
          <w:rStyle w:val="IP"/>
        </w:rPr>
        <w:t>0.30 cfm per sq. ft.</w:t>
      </w:r>
      <w:r>
        <w:rPr>
          <w:rStyle w:val="SI"/>
        </w:rPr>
        <w:t xml:space="preserve"> (1.52 L/s per sq. m)</w:t>
      </w:r>
      <w:r>
        <w:rPr/>
        <w:t xml:space="preserve"> of outside air or the design minimum outside air rate, whichever is greater. During each day of the flush-out period, ventilation begins a minimum of three hours prior to occupancy and continues during occupancy. These conditions are to be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w:t>
      </w:r>
    </w:p>
    <w:p>
      <w:pPr>
        <w:pStyle w:val="PR2"/>
        <w:numPr>
          <w:ilvl w:val="5"/>
          <w:numId w:val="1"/>
        </w:numPr>
        <w:spacing w:before="240" w:after="0"/>
        <w:rPr/>
      </w:pPr>
      <w:r>
        <w:rPr/>
        <w:t>Conduct baseline IAQ testing, after construction ends and prior to occupancy, in accordance with the EPA's "Testing for Indoor Air Quality - Section 01 81 09."</w:t>
      </w:r>
    </w:p>
    <w:p>
      <w:pPr>
        <w:pStyle w:val="PR2"/>
        <w:numPr>
          <w:ilvl w:val="5"/>
          <w:numId w:val="1"/>
        </w:numPr>
        <w:rPr/>
      </w:pPr>
      <w:r>
        <w:rPr/>
        <w:t>Complete HVAC testing, adjusting, and balancing before beginning IAQ testing.</w:t>
      </w:r>
    </w:p>
    <w:p>
      <w:pPr>
        <w:pStyle w:val="PR2"/>
        <w:numPr>
          <w:ilvl w:val="5"/>
          <w:numId w:val="1"/>
        </w:numPr>
        <w:rPr/>
      </w:pPr>
      <w:r>
        <w:rPr/>
        <w:t>Indoor air to comply with standards and limits in the EPA's "Testing for Indoor Air Quality - Section 01 81 09."</w:t>
      </w:r>
    </w:p>
    <w:p>
      <w:pPr>
        <w:pStyle w:val="CMT"/>
        <w:rPr/>
      </w:pPr>
      <w:r>
        <w:rPr/>
        <w:t>Three subparagraphs below are part of Green Globes requirements but create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rPr/>
      </w:pPr>
      <w:r>
        <w:rPr/>
        <w:t>For each sampling point where the maximum concentration limits are exceeded, take corrective action until requirements have been met.</w:t>
      </w:r>
    </w:p>
    <w:p>
      <w:pPr>
        <w:pStyle w:val="PR2"/>
        <w:numPr>
          <w:ilvl w:val="5"/>
          <w:numId w:val="1"/>
        </w:numPr>
        <w:rPr/>
      </w:pPr>
      <w:r>
        <w:rPr/>
        <w:t>For each sampling point where the airborne mold and mildew indoor species distribution varies by more than 10 percent from exterior sampling specification, identify the source of mold and/or mildew and remediate with corrective action, then retest until compliant results are attained.</w:t>
      </w:r>
    </w:p>
    <w:p>
      <w:pPr>
        <w:pStyle w:val="PR2"/>
        <w:numPr>
          <w:ilvl w:val="5"/>
          <w:numId w:val="1"/>
        </w:numPr>
        <w:rPr/>
      </w:pPr>
      <w:r>
        <w:rPr/>
        <w:t>If any noncompliant test results occur, provide a written report describing the source(s) of the noncompliant condition(s) and the corrective action(s) implemented.</w:t>
      </w:r>
    </w:p>
    <w:p>
      <w:pPr>
        <w:pStyle w:val="ART"/>
        <w:numPr>
          <w:ilvl w:val="3"/>
          <w:numId w:val="1"/>
        </w:numPr>
        <w:ind w:hanging="0" w:left="0"/>
        <w:rPr/>
      </w:pPr>
      <w:r>
        <w:rPr/>
        <w:t>CLOSEOUT ACTIVITIES</w:t>
      </w:r>
    </w:p>
    <w:p>
      <w:pPr>
        <w:pStyle w:val="PR1"/>
        <w:numPr>
          <w:ilvl w:val="4"/>
          <w:numId w:val="1"/>
        </w:numPr>
        <w:rPr/>
      </w:pPr>
      <w:r>
        <w:rPr/>
        <w:t>Walk-through: Arrange for a walk-through by GBI-authorized Assessor to verify compliance with requirements. Cooperate with GBI-authorized Assessor and provide reasonable auxiliary services as requested. Notify GBI-authorized Assessor sufficiently in advance of operations to permit assignment of personnel. Provide access to the Work and incidental labor and facilities necessary to facilitate inspections.</w:t>
      </w:r>
    </w:p>
    <w:p>
      <w:pPr>
        <w:pStyle w:val="EOS"/>
        <w:rPr/>
      </w:pPr>
      <w:r>
        <w:rPr/>
        <w:t>END OF SECTION 018113.53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GREEN GLOBES</w:t>
          </w:r>
        </w:p>
      </w:tc>
      <w:tc>
        <w:tcPr>
          <w:tcW w:w="1872" w:type="dxa"/>
          <w:tcBorders/>
        </w:tcPr>
        <w:p>
          <w:pPr>
            <w:pStyle w:val="RJUST"/>
            <w:rPr/>
          </w:pPr>
          <w:r>
            <w:rPr>
              <w:rStyle w:val="NUM"/>
            </w:rPr>
            <w:t>018113.53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1811353"/>
    <w:docVar w:name="MF95" w:val="01369"/>
    <w:docVar w:name="MFOrigin" w:val="MF04"/>
    <w:docVar w:name="SpecType" w:val="MasterSpec"/>
    <w:docVar w:name="Version" w:val="166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53&amp;ver=03-01-22&amp;format=FL&amp;sid=1660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SUSTAINABLE DESIGN REQUIREMENTS - GREEN GLOBES</dc:subject>
  <dc:title>SECTION 018113.53 - SUSTAINABLE DESIGN REQUIREMENTS - GREEN GLOBES</dc:title>
</cp:coreProperties>
</file>