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018113.54</w:t>
      </w:r>
      <w:r>
        <w:rPr/>
        <w:t xml:space="preserve"> - </w:t>
      </w:r>
      <w:r>
        <w:rPr>
          <w:rStyle w:val="NAM"/>
        </w:rPr>
        <w:t>SUSTAINABLE DESIGN REQUIREMENTS - GREEN GLOBES 2021</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Green Globes before revising this Section.</w:t>
      </w:r>
    </w:p>
    <w:p>
      <w:pPr>
        <w:pStyle w:val="CMT"/>
        <w:rPr/>
      </w:pPr>
      <w:r>
        <w:rPr/>
        <w:t>Where practical, terminology used in this Section has been made identical to or at least consistent with terminology used in Green Globes; if questions arise relating to terminology, review Green Globes and the standards referenced by Green Globes for possible explanations.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and certification from the GBI's "Green Globes for New Construction 2021," (hereafter, "Green Globes").</w:t>
      </w:r>
    </w:p>
    <w:p>
      <w:pPr>
        <w:pStyle w:val="PR2"/>
        <w:numPr>
          <w:ilvl w:val="5"/>
          <w:numId w:val="1"/>
        </w:numPr>
        <w:spacing w:before="240" w:after="0"/>
        <w:rPr/>
      </w:pPr>
      <w:r>
        <w:rPr/>
        <w:t>Some Green Globes requirements depend on product selections and may not be specifically identified as Green Globes requirements. Compliance with Green Globes requirements may be used as one criterion to evaluate substitution requests and comparable product requests.</w:t>
      </w:r>
    </w:p>
    <w:p>
      <w:pPr>
        <w:pStyle w:val="CMT"/>
        <w:rPr/>
      </w:pPr>
      <w:r>
        <w:rPr/>
        <w:t>If retaining subparagraph below, attach a copy of the Green Globes checklist to end of this Section as information for Contractor.</w:t>
      </w:r>
    </w:p>
    <w:p>
      <w:pPr>
        <w:pStyle w:val="PR2"/>
        <w:numPr>
          <w:ilvl w:val="5"/>
          <w:numId w:val="1"/>
        </w:numPr>
        <w:rPr/>
      </w:pPr>
      <w:r>
        <w:rPr/>
        <w:t>A copy of Green Globes Project checklist is attached at end of this Section for information only.</w:t>
      </w:r>
    </w:p>
    <w:p>
      <w:pPr>
        <w:pStyle w:val="PR3"/>
        <w:numPr>
          <w:ilvl w:val="6"/>
          <w:numId w:val="1"/>
        </w:numPr>
        <w:spacing w:before="240" w:after="0"/>
        <w:rPr/>
      </w:pPr>
      <w:r>
        <w:rPr/>
        <w:t>Some Green Globes requirements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Environmental Product Declaration (EPD): A transparency reporting tool communicating what a product is made of and the environmental impact.</w:t>
      </w:r>
    </w:p>
    <w:p>
      <w:pPr>
        <w:pStyle w:val="PR1"/>
        <w:numPr>
          <w:ilvl w:val="4"/>
          <w:numId w:val="1"/>
        </w:numPr>
        <w:rPr/>
      </w:pPr>
      <w:r>
        <w:rPr/>
        <w:t>REL: Recommended exposure limit.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Green Globes requirements and action plans for compliance with requirements.</w:t>
      </w:r>
    </w:p>
    <w:p>
      <w:pPr>
        <w:pStyle w:val="ART"/>
        <w:numPr>
          <w:ilvl w:val="3"/>
          <w:numId w:val="1"/>
        </w:numPr>
        <w:ind w:hanging="0" w:left="0"/>
        <w:rPr/>
      </w:pPr>
      <w:r>
        <w:rPr/>
        <w:t>ADMINISTRATIVE REQUIREMENTS</w:t>
      </w:r>
    </w:p>
    <w:p>
      <w:pPr>
        <w:pStyle w:val="CMT"/>
        <w:rPr/>
      </w:pPr>
      <w:r>
        <w:rPr/>
        <w:t>Retain one of first two paragraphs below. Retain first if Architect or Owner submits Green Globes documentation to GBI-authorized Green Globes Assessor; retain second if Contractor does.</w:t>
      </w:r>
    </w:p>
    <w:p>
      <w:pPr>
        <w:pStyle w:val="PR1"/>
        <w:numPr>
          <w:ilvl w:val="4"/>
          <w:numId w:val="1"/>
        </w:numPr>
        <w:rPr/>
      </w:pPr>
      <w:r>
        <w:rPr/>
        <w:t>Respond to questions and requests from Architect about Green Globes requirements that are Contractor's responsibility, that depend on product selection or product qualities, or that depend on Contractor's procedures.</w:t>
      </w:r>
    </w:p>
    <w:p>
      <w:pPr>
        <w:pStyle w:val="PR1"/>
        <w:numPr>
          <w:ilvl w:val="4"/>
          <w:numId w:val="1"/>
        </w:numPr>
        <w:rPr/>
      </w:pPr>
      <w:r>
        <w:rPr/>
        <w:t>Submit documentation to Green Globes and respond to questions and requests from Green Globes Assessor about Green Globes credits that are Contractor's responsibility, that depend on product selection or product qualities, or that depend on Contractor's procedures, until Green Globes Assessor has made its determination on Project's Green Globes certification application.</w:t>
      </w:r>
    </w:p>
    <w:p>
      <w:pPr>
        <w:pStyle w:val="PR2"/>
        <w:numPr>
          <w:ilvl w:val="5"/>
          <w:numId w:val="1"/>
        </w:numPr>
        <w:spacing w:before="240" w:after="0"/>
        <w:rPr/>
      </w:pPr>
      <w:r>
        <w:rPr/>
        <w:t>Document correspondence with Green Globes Assessor as informational submittals.</w:t>
      </w:r>
    </w:p>
    <w:p>
      <w:pPr>
        <w:pStyle w:val="PR1"/>
        <w:numPr>
          <w:ilvl w:val="4"/>
          <w:numId w:val="1"/>
        </w:numPr>
        <w:rPr/>
      </w:pPr>
      <w:r>
        <w:rPr/>
        <w:t>Environmental Management System: Document the following:</w:t>
      </w:r>
    </w:p>
    <w:p>
      <w:pPr>
        <w:pStyle w:val="PR2"/>
        <w:numPr>
          <w:ilvl w:val="5"/>
          <w:numId w:val="1"/>
        </w:numPr>
        <w:spacing w:before="240" w:after="0"/>
        <w:rPr/>
      </w:pPr>
      <w:r>
        <w:rPr/>
        <w:t>General Contractor's environmental policy.</w:t>
      </w:r>
    </w:p>
    <w:p>
      <w:pPr>
        <w:pStyle w:val="PR2"/>
        <w:numPr>
          <w:ilvl w:val="5"/>
          <w:numId w:val="1"/>
        </w:numPr>
        <w:rPr/>
      </w:pPr>
      <w:r>
        <w:rPr/>
        <w:t>Regulatory compliance and training.</w:t>
      </w:r>
    </w:p>
    <w:p>
      <w:pPr>
        <w:pStyle w:val="PR2"/>
        <w:numPr>
          <w:ilvl w:val="5"/>
          <w:numId w:val="1"/>
        </w:numPr>
        <w:rPr/>
      </w:pPr>
      <w:r>
        <w:rPr/>
        <w:t>Environmental risk assessment that shows sensitive environmental areas and ranks potential risks that may arise from the construction.</w:t>
      </w:r>
    </w:p>
    <w:p>
      <w:pPr>
        <w:pStyle w:val="PR2"/>
        <w:numPr>
          <w:ilvl w:val="5"/>
          <w:numId w:val="1"/>
        </w:numPr>
        <w:rPr/>
      </w:pPr>
      <w:r>
        <w:rPr/>
        <w:t>Environmental risk management strategies.</w:t>
      </w:r>
    </w:p>
    <w:p>
      <w:pPr>
        <w:pStyle w:val="PR2"/>
        <w:numPr>
          <w:ilvl w:val="5"/>
          <w:numId w:val="1"/>
        </w:numPr>
        <w:rPr/>
      </w:pPr>
      <w:r>
        <w:rPr/>
        <w:t>Environmental management roles, responsibilities, and reporting structure for the construction phase.</w:t>
      </w:r>
    </w:p>
    <w:p>
      <w:pPr>
        <w:pStyle w:val="PR2"/>
        <w:numPr>
          <w:ilvl w:val="5"/>
          <w:numId w:val="1"/>
        </w:numPr>
        <w:rPr/>
      </w:pPr>
      <w:r>
        <w:rPr/>
        <w:t>Site and work instructions for site personnel outlining environmental procedures during construction.</w:t>
      </w:r>
    </w:p>
    <w:p>
      <w:pPr>
        <w:pStyle w:val="PR2"/>
        <w:numPr>
          <w:ilvl w:val="5"/>
          <w:numId w:val="1"/>
        </w:numPr>
        <w:rPr/>
      </w:pPr>
      <w:r>
        <w:rPr/>
        <w:t>Environmental inspection checklists.</w:t>
      </w:r>
    </w:p>
    <w:p>
      <w:pPr>
        <w:pStyle w:val="PR2"/>
        <w:numPr>
          <w:ilvl w:val="5"/>
          <w:numId w:val="1"/>
        </w:numPr>
        <w:rPr/>
      </w:pPr>
      <w:r>
        <w:rPr/>
        <w:t>Records of compliance.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determines if Green Globes requirements have been met. Submittals include documentation needed to verify compliance with Green Globes requirements so that Architect or Owner can be assured that requirements have been met.</w:t>
      </w:r>
    </w:p>
    <w:p>
      <w:pPr>
        <w:pStyle w:val="PR1"/>
        <w:numPr>
          <w:ilvl w:val="4"/>
          <w:numId w:val="1"/>
        </w:numPr>
        <w:rPr/>
      </w:pPr>
      <w:r>
        <w:rPr/>
        <w:t>General: Submit additional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an additional copy with other submittal as a record copy of compliance with indicated Green Globes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Green Globes requirements.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Environmental management system documents.</w:t>
      </w:r>
    </w:p>
    <w:p>
      <w:pPr>
        <w:pStyle w:val="PR2"/>
        <w:numPr>
          <w:ilvl w:val="5"/>
          <w:numId w:val="1"/>
        </w:numPr>
        <w:rPr/>
      </w:pPr>
      <w:r>
        <w:rPr/>
        <w:t>EPDs.</w:t>
      </w:r>
    </w:p>
    <w:p>
      <w:pPr>
        <w:pStyle w:val="PR2"/>
        <w:numPr>
          <w:ilvl w:val="5"/>
          <w:numId w:val="1"/>
        </w:numPr>
        <w:rPr/>
      </w:pPr>
      <w:r>
        <w:rPr/>
        <w:t>Third-party certifications based on multiple attribute standards.</w:t>
      </w:r>
    </w:p>
    <w:p>
      <w:pPr>
        <w:pStyle w:val="PR2"/>
        <w:numPr>
          <w:ilvl w:val="5"/>
          <w:numId w:val="1"/>
        </w:numPr>
        <w:rPr/>
      </w:pPr>
      <w:r>
        <w:rPr/>
        <w:t>Third-party-certified life-cycle product assessments.</w:t>
      </w:r>
    </w:p>
    <w:p>
      <w:pPr>
        <w:pStyle w:val="PR2"/>
        <w:numPr>
          <w:ilvl w:val="5"/>
          <w:numId w:val="1"/>
        </w:numPr>
        <w:rPr/>
      </w:pPr>
      <w:r>
        <w:rPr/>
        <w:t>Documentation complying with Section 017419 "Construction Waste Management and Disposal."</w:t>
      </w:r>
    </w:p>
    <w:p>
      <w:pPr>
        <w:pStyle w:val="PR2"/>
        <w:numPr>
          <w:ilvl w:val="5"/>
          <w:numId w:val="1"/>
        </w:numPr>
        <w:rPr/>
      </w:pPr>
      <w:r>
        <w:rPr/>
        <w:t>Product Data and laboratory test reports for adhesives and sealants indicating VOC content and compliance with requirements for low-emitting materials.</w:t>
      </w:r>
    </w:p>
    <w:p>
      <w:pPr>
        <w:pStyle w:val="PR2"/>
        <w:numPr>
          <w:ilvl w:val="5"/>
          <w:numId w:val="1"/>
        </w:numPr>
        <w:rPr/>
      </w:pPr>
      <w:r>
        <w:rPr/>
        <w:t>Certificates for carpet and undercarpet adhesives indicating compliance with CRI's Green Label Plus testing program.</w:t>
      </w:r>
    </w:p>
    <w:p>
      <w:pPr>
        <w:pStyle w:val="PR2"/>
        <w:numPr>
          <w:ilvl w:val="5"/>
          <w:numId w:val="1"/>
        </w:numPr>
        <w:rPr/>
      </w:pPr>
      <w:r>
        <w:rPr/>
        <w:t>Product Data and laboratory test reports for paints indicating VOC content and compliance with requirements for low-emitting materials.</w:t>
      </w:r>
    </w:p>
    <w:p>
      <w:pPr>
        <w:pStyle w:val="PR2"/>
        <w:numPr>
          <w:ilvl w:val="5"/>
          <w:numId w:val="1"/>
        </w:numPr>
        <w:rPr/>
      </w:pPr>
      <w:r>
        <w:rPr/>
        <w:t>Laboratory test reports for flooring, insulation, acoustical ceilings, and wall coverings, indicating compliance with requirements for low-emitting materials.</w:t>
      </w:r>
    </w:p>
    <w:p>
      <w:pPr>
        <w:pStyle w:val="CMT"/>
        <w:rPr/>
      </w:pPr>
      <w:r>
        <w:rPr/>
        <w:t>Retain subparagraph below if using Contractor-engaged, IAQ testing.</w:t>
      </w:r>
    </w:p>
    <w:p>
      <w:pPr>
        <w:pStyle w:val="PR2"/>
        <w:numPr>
          <w:ilvl w:val="5"/>
          <w:numId w:val="1"/>
        </w:numPr>
        <w:rPr/>
      </w:pPr>
      <w:r>
        <w:rPr/>
        <w:t>Indoor-Air-Quality (IAQ) testing report from testing and inspecting agency indicating results of IAQ testing and documentation that show compliance with IAQ testing procedures and requirements.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PR2"/>
        <w:numPr>
          <w:ilvl w:val="5"/>
          <w:numId w:val="1"/>
        </w:numPr>
        <w:rPr/>
      </w:pPr>
      <w:r>
        <w:rPr/>
        <w:t>Wood-based construction materials.</w:t>
      </w:r>
    </w:p>
    <w:p>
      <w:pPr>
        <w:pStyle w:val="CMT"/>
        <w:rPr/>
      </w:pPr>
      <w:r>
        <w:rPr/>
        <w:t>"Sustainable Design Action Plans" Paragraph below requires Contractor to make early submittals indicating how certain Green Globes requirements will be met. This action can provide reassurance that Contractor understands the Green Globes requirements and can clear up misunderstandings before they become a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EPDs.</w:t>
      </w:r>
    </w:p>
    <w:p>
      <w:pPr>
        <w:pStyle w:val="PR2"/>
        <w:numPr>
          <w:ilvl w:val="5"/>
          <w:numId w:val="1"/>
        </w:numPr>
        <w:rPr/>
      </w:pPr>
      <w:r>
        <w:rPr/>
        <w:t>List of proposed products complying with requirements for multiple attribute standards.</w:t>
      </w:r>
    </w:p>
    <w:p>
      <w:pPr>
        <w:pStyle w:val="PR2"/>
        <w:numPr>
          <w:ilvl w:val="5"/>
          <w:numId w:val="1"/>
        </w:numPr>
        <w:rPr/>
      </w:pPr>
      <w:r>
        <w:rPr/>
        <w:t>List of proposed products complying with requirements for life-cycle product assessments.</w:t>
      </w:r>
    </w:p>
    <w:p>
      <w:pPr>
        <w:pStyle w:val="PR2"/>
        <w:numPr>
          <w:ilvl w:val="5"/>
          <w:numId w:val="1"/>
        </w:numPr>
        <w:rPr/>
      </w:pPr>
      <w:r>
        <w:rPr/>
        <w:t>General Contractor's environmental policy.</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Green Globes coordinator.</w:t>
      </w:r>
    </w:p>
    <w:p>
      <w:pPr>
        <w:pStyle w:val="ART"/>
        <w:numPr>
          <w:ilvl w:val="3"/>
          <w:numId w:val="1"/>
        </w:numPr>
        <w:ind w:hanging="0" w:left="0"/>
        <w:rPr/>
      </w:pPr>
      <w:r>
        <w:rPr/>
        <w:t>QUALITY ASSURANCE</w:t>
      </w:r>
    </w:p>
    <w:p>
      <w:pPr>
        <w:pStyle w:val="PR1"/>
        <w:numPr>
          <w:ilvl w:val="4"/>
          <w:numId w:val="1"/>
        </w:numPr>
        <w:rPr/>
      </w:pPr>
      <w:r>
        <w:rPr/>
        <w:t>Green Globes Coordinator: Engage an experienced coordinator to coordinate Green Globes requirements. Green Globes coordinator may also serve as waste management coordinator.</w:t>
      </w:r>
    </w:p>
    <w:p>
      <w:pPr>
        <w:pStyle w:val="PR2"/>
        <w:numPr>
          <w:ilvl w:val="5"/>
          <w:numId w:val="1"/>
        </w:numPr>
        <w:spacing w:before="240" w:after="0"/>
        <w:rPr/>
      </w:pPr>
      <w:r>
        <w:rPr/>
        <w:t>Green Globes coordinator to have previously coordinated at least [</w:t>
      </w:r>
      <w:r>
        <w:rPr>
          <w:b/>
        </w:rPr>
        <w:t>one</w:t>
      </w:r>
      <w:r>
        <w:rPr/>
        <w:t>] [</w:t>
      </w:r>
      <w:r>
        <w:rPr>
          <w:b/>
        </w:rPr>
        <w:t>two</w:t>
      </w:r>
      <w:r>
        <w:rPr/>
        <w:t>] &lt;</w:t>
      </w:r>
      <w:r>
        <w:rPr>
          <w:b/>
        </w:rPr>
        <w:t>Insert number</w:t>
      </w:r>
      <w:r>
        <w:rPr/>
        <w:t>&gt; Green Globes project(s).</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requirements are met if costs differ from Architect's estimates.</w:t>
      </w:r>
    </w:p>
    <w:p>
      <w:pPr>
        <w:pStyle w:val="PR1"/>
        <w:numPr>
          <w:ilvl w:val="4"/>
          <w:numId w:val="1"/>
        </w:numPr>
        <w:rPr/>
      </w:pPr>
      <w:r>
        <w:rPr/>
        <w:t>Provide products and procedures necessary to comply with Green Globes requirements referenced in this Section. Although other Sections may specify some requirements that contribute to referenced Green Globes requirements, Contractor will determine additional materials and procedures necessary to comply with Green Globes requirements indicated.</w:t>
      </w:r>
    </w:p>
    <w:p>
      <w:pPr>
        <w:pStyle w:val="ART"/>
        <w:numPr>
          <w:ilvl w:val="3"/>
          <w:numId w:val="1"/>
        </w:numPr>
        <w:ind w:hanging="0" w:left="0"/>
        <w:rPr/>
      </w:pPr>
      <w:r>
        <w:rPr/>
        <w:t>LOW-EMITTING MATERIALS</w:t>
      </w:r>
    </w:p>
    <w:p>
      <w:pPr>
        <w:pStyle w:val="CMT"/>
        <w:rPr/>
      </w:pPr>
      <w:r>
        <w:rPr/>
        <w:t>If retaining this article, coordinate with Sections where relevant products are specified to avoid conflicting requirements in those Sections.</w:t>
      </w:r>
    </w:p>
    <w:p>
      <w:pPr>
        <w:pStyle w:val="PR1"/>
        <w:numPr>
          <w:ilvl w:val="4"/>
          <w:numId w:val="1"/>
        </w:numPr>
        <w:rPr/>
      </w:pPr>
      <w:r>
        <w:rPr/>
        <w:t>Adhesives and Sealants:</w:t>
      </w:r>
    </w:p>
    <w:p>
      <w:pPr>
        <w:pStyle w:val="CMT"/>
        <w:rPr/>
      </w:pPr>
      <w:r>
        <w:rPr/>
        <w:t>Adhesives and sealants are required in many Sections where, without being specifically mentioned, they may be specified only by the requirement to install products according to manufacturer's written instructions. For this reason, it is prudent to retain both subparagraphs below if this requirement is to be met.</w:t>
      </w:r>
    </w:p>
    <w:p>
      <w:pPr>
        <w:pStyle w:val="PR2"/>
        <w:numPr>
          <w:ilvl w:val="5"/>
          <w:numId w:val="1"/>
        </w:numPr>
        <w:spacing w:before="240" w:after="0"/>
        <w:rPr/>
      </w:pPr>
      <w:r>
        <w:rPr/>
        <w:t>For field applications inside the building, adhesives and sealants to comply with the following VOC content limits:</w:t>
      </w:r>
    </w:p>
    <w:p>
      <w:pPr>
        <w:pStyle w:val="CMT"/>
        <w:rPr/>
      </w:pPr>
      <w:r>
        <w:rPr/>
        <w:t>Categories in subparagraphs below are taken from Green Globes rating system and the standards referenced by it; if clarification is required, see those documents.</w:t>
      </w:r>
    </w:p>
    <w:p>
      <w:pPr>
        <w:pStyle w:val="PR3"/>
        <w:numPr>
          <w:ilvl w:val="6"/>
          <w:numId w:val="1"/>
        </w:numPr>
        <w:spacing w:before="240" w:after="0"/>
        <w:rPr/>
      </w:pPr>
      <w:r>
        <w:rPr/>
        <w:t>Wood Glues: 30 g/L.</w:t>
      </w:r>
    </w:p>
    <w:p>
      <w:pPr>
        <w:pStyle w:val="PR3"/>
        <w:numPr>
          <w:ilvl w:val="6"/>
          <w:numId w:val="1"/>
        </w:numPr>
        <w:rPr/>
      </w:pPr>
      <w:r>
        <w:rPr/>
        <w:t>Metal-to-Metal Adhesives: 30 g/L.</w:t>
      </w:r>
    </w:p>
    <w:p>
      <w:pPr>
        <w:pStyle w:val="PR3"/>
        <w:numPr>
          <w:ilvl w:val="6"/>
          <w:numId w:val="1"/>
        </w:numPr>
        <w:rPr/>
      </w:pPr>
      <w:r>
        <w:rPr/>
        <w:t>Adhesives for Porous Materials (except Wood): 50 g/L.</w:t>
      </w:r>
    </w:p>
    <w:p>
      <w:pPr>
        <w:pStyle w:val="PR3"/>
        <w:numPr>
          <w:ilvl w:val="6"/>
          <w:numId w:val="1"/>
        </w:numPr>
        <w:rPr/>
      </w:pPr>
      <w:r>
        <w:rPr/>
        <w:t>Subfloor Adhesives: 50 g/L.</w:t>
      </w:r>
    </w:p>
    <w:p>
      <w:pPr>
        <w:pStyle w:val="PR3"/>
        <w:numPr>
          <w:ilvl w:val="6"/>
          <w:numId w:val="1"/>
        </w:numPr>
        <w:rPr/>
      </w:pPr>
      <w:r>
        <w:rPr/>
        <w:t>Plastic Foam Adhesives: 50 g/L.</w:t>
      </w:r>
    </w:p>
    <w:p>
      <w:pPr>
        <w:pStyle w:val="PR3"/>
        <w:numPr>
          <w:ilvl w:val="6"/>
          <w:numId w:val="1"/>
        </w:numPr>
        <w:rPr/>
      </w:pPr>
      <w:r>
        <w:rPr/>
        <w:t>Carpet Adhesives: 50 g/L.</w:t>
      </w:r>
    </w:p>
    <w:p>
      <w:pPr>
        <w:pStyle w:val="PR3"/>
        <w:numPr>
          <w:ilvl w:val="6"/>
          <w:numId w:val="1"/>
        </w:numPr>
        <w:rPr/>
      </w:pPr>
      <w:r>
        <w:rPr/>
        <w:t>Carpet Pad Adhesives: 50 g/L.</w:t>
      </w:r>
    </w:p>
    <w:p>
      <w:pPr>
        <w:pStyle w:val="PR3"/>
        <w:numPr>
          <w:ilvl w:val="6"/>
          <w:numId w:val="1"/>
        </w:numPr>
        <w:rPr/>
      </w:pPr>
      <w:r>
        <w:rPr/>
        <w:t>VCT and Asphalt Tile Adhesives: 50 g/L.</w:t>
      </w:r>
    </w:p>
    <w:p>
      <w:pPr>
        <w:pStyle w:val="PR3"/>
        <w:numPr>
          <w:ilvl w:val="6"/>
          <w:numId w:val="1"/>
        </w:numPr>
        <w:rPr/>
      </w:pPr>
      <w:r>
        <w:rPr/>
        <w:t>Cove Base Adhesives: 50 g/L.</w:t>
      </w:r>
    </w:p>
    <w:p>
      <w:pPr>
        <w:pStyle w:val="PR3"/>
        <w:numPr>
          <w:ilvl w:val="6"/>
          <w:numId w:val="1"/>
        </w:numPr>
        <w:rPr/>
      </w:pPr>
      <w:r>
        <w:rPr/>
        <w:t>Gypsum Board and Panel Adhesives: 50 g/L.</w:t>
      </w:r>
    </w:p>
    <w:p>
      <w:pPr>
        <w:pStyle w:val="PR3"/>
        <w:numPr>
          <w:ilvl w:val="6"/>
          <w:numId w:val="1"/>
        </w:numPr>
        <w:rPr/>
      </w:pPr>
      <w:r>
        <w:rPr/>
        <w:t>Rubber Floor Adhesives: 60 g/L.</w:t>
      </w:r>
    </w:p>
    <w:p>
      <w:pPr>
        <w:pStyle w:val="PR3"/>
        <w:numPr>
          <w:ilvl w:val="6"/>
          <w:numId w:val="1"/>
        </w:numPr>
        <w:rPr/>
      </w:pPr>
      <w:r>
        <w:rPr/>
        <w:t>Ceramic Tile Adhesives: 65 g/L.</w:t>
      </w:r>
    </w:p>
    <w:p>
      <w:pPr>
        <w:pStyle w:val="PR3"/>
        <w:numPr>
          <w:ilvl w:val="6"/>
          <w:numId w:val="1"/>
        </w:numPr>
        <w:rPr/>
      </w:pPr>
      <w:r>
        <w:rPr/>
        <w:t>Multipurpose Construction Adhesives: 70 g/L.</w:t>
      </w:r>
    </w:p>
    <w:p>
      <w:pPr>
        <w:pStyle w:val="PR3"/>
        <w:numPr>
          <w:ilvl w:val="6"/>
          <w:numId w:val="1"/>
        </w:numPr>
        <w:rPr/>
      </w:pPr>
      <w:r>
        <w:rPr/>
        <w:t>Fiberglass Adhesives: 80 g/L.</w:t>
      </w:r>
    </w:p>
    <w:p>
      <w:pPr>
        <w:pStyle w:val="PR3"/>
        <w:numPr>
          <w:ilvl w:val="6"/>
          <w:numId w:val="1"/>
        </w:numPr>
        <w:rPr/>
      </w:pPr>
      <w:r>
        <w:rPr/>
        <w:t>Contact Adhesive: 80 g/L.</w:t>
      </w:r>
    </w:p>
    <w:p>
      <w:pPr>
        <w:pStyle w:val="PR3"/>
        <w:numPr>
          <w:ilvl w:val="6"/>
          <w:numId w:val="1"/>
        </w:numPr>
        <w:rPr/>
      </w:pPr>
      <w:r>
        <w:rPr/>
        <w:t>Structural Glazing Adhesives: 100 g/L.</w:t>
      </w:r>
    </w:p>
    <w:p>
      <w:pPr>
        <w:pStyle w:val="PR3"/>
        <w:numPr>
          <w:ilvl w:val="6"/>
          <w:numId w:val="1"/>
        </w:numPr>
        <w:rPr/>
      </w:pPr>
      <w:r>
        <w:rPr/>
        <w:t>Wood Flooring Adhesive: 100 g/L.</w:t>
      </w:r>
    </w:p>
    <w:p>
      <w:pPr>
        <w:pStyle w:val="PR3"/>
        <w:numPr>
          <w:ilvl w:val="6"/>
          <w:numId w:val="1"/>
        </w:numPr>
        <w:rPr/>
      </w:pPr>
      <w:r>
        <w:rPr/>
        <w:t>Single-Ply Roof Membrane Adhesive: 250 g/L.</w:t>
      </w:r>
    </w:p>
    <w:p>
      <w:pPr>
        <w:pStyle w:val="PR3"/>
        <w:numPr>
          <w:ilvl w:val="6"/>
          <w:numId w:val="1"/>
        </w:numPr>
        <w:rPr/>
      </w:pPr>
      <w:r>
        <w:rPr/>
        <w:t>Special-Purpose Contact Adhesive (Contact Adhesive That Is Used to Bond Melamine Covered Board, Metal, Unsupported Vinyl, Rubber, or Wood Veneer 1/16 Inch or Less in Thickness to Any Surface): 250 g/L.</w:t>
      </w:r>
    </w:p>
    <w:p>
      <w:pPr>
        <w:pStyle w:val="PR3"/>
        <w:numPr>
          <w:ilvl w:val="6"/>
          <w:numId w:val="1"/>
        </w:numPr>
        <w:rPr/>
      </w:pPr>
      <w:r>
        <w:rPr/>
        <w:t>Plastic Cement Welding Compounds: 250 g/L.</w:t>
      </w:r>
    </w:p>
    <w:p>
      <w:pPr>
        <w:pStyle w:val="PR3"/>
        <w:numPr>
          <w:ilvl w:val="6"/>
          <w:numId w:val="1"/>
        </w:numPr>
        <w:rPr/>
      </w:pPr>
      <w:r>
        <w:rPr/>
        <w:t>ABS Welding Compounds: 325 g/L.</w:t>
      </w:r>
    </w:p>
    <w:p>
      <w:pPr>
        <w:pStyle w:val="PR3"/>
        <w:numPr>
          <w:ilvl w:val="6"/>
          <w:numId w:val="1"/>
        </w:numPr>
        <w:rPr/>
      </w:pPr>
      <w:r>
        <w:rPr/>
        <w:t>CPVC Welding Compounds: 490 g/L.</w:t>
      </w:r>
    </w:p>
    <w:p>
      <w:pPr>
        <w:pStyle w:val="PR3"/>
        <w:numPr>
          <w:ilvl w:val="6"/>
          <w:numId w:val="1"/>
        </w:numPr>
        <w:rPr/>
      </w:pPr>
      <w:r>
        <w:rPr/>
        <w:t>PVC Welding Compounds: 510 g/L.</w:t>
      </w:r>
    </w:p>
    <w:p>
      <w:pPr>
        <w:pStyle w:val="PR3"/>
        <w:numPr>
          <w:ilvl w:val="6"/>
          <w:numId w:val="1"/>
        </w:numPr>
        <w:rPr/>
      </w:pPr>
      <w:r>
        <w:rPr/>
        <w:t>Adhesive Primer for Plastic: 550 g/L.</w:t>
      </w:r>
    </w:p>
    <w:p>
      <w:pPr>
        <w:pStyle w:val="PR3"/>
        <w:numPr>
          <w:ilvl w:val="6"/>
          <w:numId w:val="1"/>
        </w:numPr>
        <w:rPr/>
      </w:pPr>
      <w:r>
        <w:rPr/>
        <w:t>Architectural Sealants: 250 g/L.</w:t>
      </w:r>
    </w:p>
    <w:p>
      <w:pPr>
        <w:pStyle w:val="PR3"/>
        <w:numPr>
          <w:ilvl w:val="6"/>
          <w:numId w:val="1"/>
        </w:numPr>
        <w:rPr/>
      </w:pPr>
      <w:r>
        <w:rPr/>
        <w:t>Nonmembrane Roof Sealants: 300 g/L.</w:t>
      </w:r>
    </w:p>
    <w:p>
      <w:pPr>
        <w:pStyle w:val="PR3"/>
        <w:numPr>
          <w:ilvl w:val="6"/>
          <w:numId w:val="1"/>
        </w:numPr>
        <w:rPr/>
      </w:pPr>
      <w:r>
        <w:rPr/>
        <w:t>Single-Ply Roof Membrane Sealants: 450 g/L.</w:t>
      </w:r>
    </w:p>
    <w:p>
      <w:pPr>
        <w:pStyle w:val="PR3"/>
        <w:numPr>
          <w:ilvl w:val="6"/>
          <w:numId w:val="1"/>
        </w:numPr>
        <w:rPr/>
      </w:pPr>
      <w:r>
        <w:rPr/>
        <w:t>Other Sealants: 420 g/L.</w:t>
      </w:r>
    </w:p>
    <w:p>
      <w:pPr>
        <w:pStyle w:val="PR2"/>
        <w:numPr>
          <w:ilvl w:val="5"/>
          <w:numId w:val="1"/>
        </w:numPr>
        <w:spacing w:before="240" w:after="0"/>
        <w:rPr/>
      </w:pPr>
      <w:r>
        <w:rPr/>
        <w:t>For field applications inside the building, adhesives and sealants may contain no more than half of the chronic REL of VOCs when tested in accordance with the California Department of Public Health's "Standard Method for the Testing and Evaluation of Volatile Organic Chemical Emissions from Indoor Sources Using Environmental Chambers." The building concentration of formaldehyde may not exceed half of the indoor REL or 16.5 mcg/cu. m and that of acetaldehyde may not exceed 9 mcg/cu. m.</w:t>
      </w:r>
    </w:p>
    <w:p>
      <w:pPr>
        <w:pStyle w:val="PR1"/>
        <w:numPr>
          <w:ilvl w:val="4"/>
          <w:numId w:val="1"/>
        </w:numPr>
        <w:rPr/>
      </w:pPr>
      <w:r>
        <w:rPr/>
        <w:t>Carpet and undercarpet adhesives to comply with CRI's Green Label Plus testing program.</w:t>
      </w:r>
    </w:p>
    <w:p>
      <w:pPr>
        <w:pStyle w:val="PR1"/>
        <w:numPr>
          <w:ilvl w:val="4"/>
          <w:numId w:val="1"/>
        </w:numPr>
        <w:rPr/>
      </w:pPr>
      <w:r>
        <w:rPr/>
        <w:t>Paints:</w:t>
      </w:r>
    </w:p>
    <w:p>
      <w:pPr>
        <w:pStyle w:val="PR2"/>
        <w:numPr>
          <w:ilvl w:val="5"/>
          <w:numId w:val="1"/>
        </w:numPr>
        <w:spacing w:before="240" w:after="0"/>
        <w:rPr/>
      </w:pPr>
      <w:r>
        <w:rPr/>
        <w:t>For field applications inside the building, wall paints to comply with the following VOC content limits:</w:t>
      </w:r>
    </w:p>
    <w:p>
      <w:pPr>
        <w:pStyle w:val="PR3"/>
        <w:numPr>
          <w:ilvl w:val="6"/>
          <w:numId w:val="1"/>
        </w:numPr>
        <w:spacing w:before="240" w:after="0"/>
        <w:rPr/>
      </w:pPr>
      <w:r>
        <w:rPr/>
        <w:t>Latex Flat Paints: 50 g/L.</w:t>
      </w:r>
    </w:p>
    <w:p>
      <w:pPr>
        <w:pStyle w:val="PR3"/>
        <w:numPr>
          <w:ilvl w:val="6"/>
          <w:numId w:val="1"/>
        </w:numPr>
        <w:rPr/>
      </w:pPr>
      <w:r>
        <w:rPr/>
        <w:t>Latex Nonflat Paints: 150 g/L.</w:t>
      </w:r>
    </w:p>
    <w:p>
      <w:pPr>
        <w:pStyle w:val="PR2"/>
        <w:numPr>
          <w:ilvl w:val="5"/>
          <w:numId w:val="1"/>
        </w:numPr>
        <w:spacing w:before="240" w:after="0"/>
        <w:rPr/>
      </w:pPr>
      <w:r>
        <w:rPr/>
        <w:t>For field applications inside the building, wall paints may contain no more than half of the chronic REL of VOCs when tested in accordance with the California Department of Public Health's "Standard Method for the Testing and Evaluation of Volatile Organic Chemical Emissions from Indoor Sources Using Environmental Chambers." The building concentration of formaldehyde may not exceed half of the indoor REL or 33 mcg/cu. m and that of acetaldehyde may not exceed 9 mcg/cu. m.</w:t>
      </w:r>
    </w:p>
    <w:p>
      <w:pPr>
        <w:pStyle w:val="PR1"/>
        <w:numPr>
          <w:ilvl w:val="4"/>
          <w:numId w:val="1"/>
        </w:numPr>
        <w:rPr/>
      </w:pPr>
      <w:r>
        <w:rPr/>
        <w:t>Flooring and Other Interior Products: Flooring, floor coverings, insulation, acoustical ceilings, and wall coverings may contain no more than half of the chronic REL of VOCs when tested in accordance with the California Department of Public Health's "Standard Method for the Testing and Evaluation of Volatile Organic Chemical Emissions from Indoor Sources Using Environmental Chambers." The building concentration of formaldehyde may not exceed half of the indoor REL or 33 mcg/cu. m and that of acetaldehyde may not exceed 9 mcg/cu. m.</w:t>
      </w:r>
    </w:p>
    <w:p>
      <w:pPr>
        <w:pStyle w:val="PRT"/>
        <w:numPr>
          <w:ilvl w:val="0"/>
          <w:numId w:val="1"/>
        </w:numPr>
        <w:ind w:hanging="0" w:left="0"/>
        <w:rPr/>
      </w:pPr>
      <w:r>
        <w:rPr/>
        <w:t>EXECUTION</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INDOOR-AIR-QUALITY (IAQ) ASSESSMENT</w:t>
      </w:r>
    </w:p>
    <w:p>
      <w:pPr>
        <w:pStyle w:val="PR1"/>
        <w:numPr>
          <w:ilvl w:val="4"/>
          <w:numId w:val="1"/>
        </w:numPr>
        <w:rPr/>
      </w:pPr>
      <w:r>
        <w:rPr/>
        <w:t>Air-Quality Testing: [</w:t>
      </w:r>
      <w:r>
        <w:rPr>
          <w:b/>
        </w:rPr>
        <w:t>Owner will engage</w:t>
      </w:r>
      <w:r>
        <w:rPr/>
        <w:t>] [</w:t>
      </w:r>
      <w:r>
        <w:rPr>
          <w:b/>
        </w:rPr>
        <w:t>Engage</w:t>
      </w:r>
      <w:r>
        <w:rPr/>
        <w:t>] a qualified testing agency to perform the following:</w:t>
      </w:r>
    </w:p>
    <w:p>
      <w:pPr>
        <w:pStyle w:val="PR2"/>
        <w:numPr>
          <w:ilvl w:val="5"/>
          <w:numId w:val="1"/>
        </w:numPr>
        <w:spacing w:before="240" w:after="0"/>
        <w:rPr/>
      </w:pPr>
      <w:r>
        <w:rPr/>
        <w:t>Conduct baseline IAQ testing, after construction ends and prior to occupancy, in accordance with the EPA's "Testing for Indoor Air Quality - Section 01 81 09."</w:t>
      </w:r>
    </w:p>
    <w:p>
      <w:pPr>
        <w:pStyle w:val="PR2"/>
        <w:numPr>
          <w:ilvl w:val="5"/>
          <w:numId w:val="1"/>
        </w:numPr>
        <w:rPr/>
      </w:pPr>
      <w:r>
        <w:rPr/>
        <w:t>Indoor air to comply with standards and limits in the EPA's "Testing for Indoor Air Quality - Section 01 81 09."</w:t>
      </w:r>
    </w:p>
    <w:p>
      <w:pPr>
        <w:pStyle w:val="CMT"/>
        <w:rPr/>
      </w:pPr>
      <w:r>
        <w:rPr/>
        <w:t>Three subparagraphs below are part of Green Globes requirements but create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rPr/>
      </w:pPr>
      <w:r>
        <w:rPr/>
        <w:t>For each sampling point where the maximum concentration limits are exceeded, take corrective action until requirements have been met.</w:t>
      </w:r>
    </w:p>
    <w:p>
      <w:pPr>
        <w:pStyle w:val="PR2"/>
        <w:numPr>
          <w:ilvl w:val="5"/>
          <w:numId w:val="1"/>
        </w:numPr>
        <w:rPr/>
      </w:pPr>
      <w:r>
        <w:rPr/>
        <w:t>For each sampling point where the airborne mold and mildew indoor species distribution varies by more than 10 percent from exterior sampling specification, identify the source of mold and/or mildew and remediate with corrective action, then retest until compliant results are attained.</w:t>
      </w:r>
    </w:p>
    <w:p>
      <w:pPr>
        <w:pStyle w:val="PR2"/>
        <w:numPr>
          <w:ilvl w:val="5"/>
          <w:numId w:val="1"/>
        </w:numPr>
        <w:rPr/>
      </w:pPr>
      <w:r>
        <w:rPr/>
        <w:t>If any noncompliant test results occur, provide a written report describing the source(s) of the noncompliant condition(s) and the corrective action(s) implemented.</w:t>
      </w:r>
    </w:p>
    <w:p>
      <w:pPr>
        <w:pStyle w:val="ART"/>
        <w:numPr>
          <w:ilvl w:val="3"/>
          <w:numId w:val="1"/>
        </w:numPr>
        <w:ind w:hanging="0" w:left="0"/>
        <w:rPr/>
      </w:pPr>
      <w:r>
        <w:rPr/>
        <w:t>CLOSEOUT ACTIVITIES</w:t>
      </w:r>
    </w:p>
    <w:p>
      <w:pPr>
        <w:pStyle w:val="PR1"/>
        <w:numPr>
          <w:ilvl w:val="4"/>
          <w:numId w:val="1"/>
        </w:numPr>
        <w:rPr/>
      </w:pPr>
      <w:r>
        <w:rPr/>
        <w:t>Site Visit: Arrange for a site visit from Green Globes Assessor to verify compliance with requirements. Cooperate with Green Globes Assessor and provide reasonable auxiliary services as requested. Notify Green Globes Assessor sufficiently in advance of operations to permit assignment of personnel. Provide access to the Work and incidental labor and facilities necessary to facilitate inspections.</w:t>
      </w:r>
    </w:p>
    <w:p>
      <w:pPr>
        <w:pStyle w:val="EOS"/>
        <w:rPr/>
      </w:pPr>
      <w:r>
        <w:rPr/>
        <w:t>END OF SECTION 018113.54</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GREEN GLOBES 2021</w:t>
          </w:r>
        </w:p>
      </w:tc>
      <w:tc>
        <w:tcPr>
          <w:tcW w:w="1872" w:type="dxa"/>
          <w:tcBorders/>
        </w:tcPr>
        <w:p>
          <w:pPr>
            <w:pStyle w:val="RJUST"/>
            <w:rPr/>
          </w:pPr>
          <w:r>
            <w:rPr>
              <w:rStyle w:val="NUM"/>
            </w:rPr>
            <w:t>018113.54</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1811354"/>
    <w:docVar w:name="MF95" w:val="01372"/>
    <w:docVar w:name="MFOrigin" w:val="MF04"/>
    <w:docVar w:name="SpecType" w:val="MasterSpec"/>
    <w:docVar w:name="Version" w:val="163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54&amp;ver=03-01-22&amp;format=FL&amp;sid=16307&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2022-09-26T01:33:00Z</dcterms:created>
  <dc:creator>Deltek, Inc.</dc:creator>
  <dc:description/>
  <cp:keywords>BAS-12345-MS80</cp:keywords>
  <dc:language>zh-CN</dc:language>
  <cp:lastModifiedBy>Janice Nacional</cp:lastModifiedBy>
  <dcterms:modified xsi:type="dcterms:W3CDTF">2022-09-26T01:33:00Z</dcterms:modified>
  <cp:revision>2</cp:revision>
  <dc:subject>SUSTAINABLE DESIGN REQUIREMENTS - GREEN GLOBES 2021</dc:subject>
  <dc:title>SECTION 018113.54 - SUSTAINABLE DESIGN REQUIREMENTS - GREEN GLOBES 2021</dc:title>
</cp:coreProperties>
</file>