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018113.71</w:t>
      </w:r>
      <w:r>
        <w:rPr/>
        <w:t xml:space="preserve"> - </w:t>
      </w:r>
      <w:r>
        <w:rPr>
          <w:rStyle w:val="NAM"/>
        </w:rPr>
        <w:t>SUSTAINABLE DESIGN REQUIREMENTS - CALGREEN NON-RESIDENTIAL MANDATORY</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Review the Evaluations and CALGreen before revising this Section.</w:t>
      </w:r>
    </w:p>
    <w:p>
      <w:pPr>
        <w:pStyle w:val="CMT"/>
        <w:rPr/>
      </w:pPr>
      <w:r>
        <w:rPr/>
        <w:t>Where practical, terminology used in this Section has been made identical to or at least consistent with terminology used in CALGreen; if questions arise relating to terminology, review CALGreen and the standards referenced by CALGreen for possible explanations.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General requirements and procedures for compliance with and certification from 24 CCR 11 (hereafter, "CALGreen").</w:t>
      </w:r>
    </w:p>
    <w:p>
      <w:pPr>
        <w:pStyle w:val="PR2"/>
        <w:numPr>
          <w:ilvl w:val="5"/>
          <w:numId w:val="1"/>
        </w:numPr>
        <w:spacing w:before="240" w:after="0"/>
        <w:rPr/>
      </w:pPr>
      <w:r>
        <w:rPr/>
        <w:t>Some CALGreen requirements depend on product selections and may not be specifically identified as CALGreen requirements. Compliance with CALGreen requirements may be used as one criterion to evaluate substitution requests and comparable product requests.</w:t>
      </w:r>
    </w:p>
    <w:p>
      <w:pPr>
        <w:pStyle w:val="CMT"/>
        <w:rPr/>
      </w:pPr>
      <w:r>
        <w:rPr/>
        <w:t>If retaining subparagraph below, attach a copy of the CALGreen checklist to the end of this Section as information for Contractor.</w:t>
      </w:r>
    </w:p>
    <w:p>
      <w:pPr>
        <w:pStyle w:val="PR2"/>
        <w:numPr>
          <w:ilvl w:val="5"/>
          <w:numId w:val="1"/>
        </w:numPr>
        <w:rPr/>
      </w:pPr>
      <w:r>
        <w:rPr/>
        <w:t>Copies of CALGreen project checklists are attached at the end of this Section for information only. The checklists are for Mandatory Measures, with additional available for the voluntary CALGreen Tier 1 and Tier 2 levels of certification.</w:t>
      </w:r>
    </w:p>
    <w:p>
      <w:pPr>
        <w:pStyle w:val="PR3"/>
        <w:numPr>
          <w:ilvl w:val="6"/>
          <w:numId w:val="1"/>
        </w:numPr>
        <w:spacing w:before="240" w:after="0"/>
        <w:rPr/>
      </w:pPr>
      <w:r>
        <w:rPr/>
        <w:t>Some CALGreen requirements depend on Architect's design and other aspects of Project that are not part of the Work of the Contract.</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VOCs: Volatile organic compounds.</w:t>
      </w:r>
    </w:p>
    <w:p>
      <w:pPr>
        <w:pStyle w:val="PR1"/>
        <w:numPr>
          <w:ilvl w:val="4"/>
          <w:numId w:val="1"/>
        </w:numPr>
        <w:rPr/>
      </w:pPr>
      <w:r>
        <w:rPr/>
        <w:t>Composite Wood Products: Hardwood plywood, particleboard, and medium-density fiberboard. Composite wood products do not include hardboard, structural plywood.</w:t>
      </w:r>
    </w:p>
    <w:p>
      <w:pPr>
        <w:pStyle w:val="PR1"/>
        <w:numPr>
          <w:ilvl w:val="4"/>
          <w:numId w:val="1"/>
        </w:numPr>
        <w:rPr/>
      </w:pPr>
      <w:r>
        <w:rPr/>
        <w:t>Recycled Content: Component of a material made of recycled materials. Recycled material can be derived from two sources: pre-consumer, also known as "post-industrial," or "post-consumer." "Post-consumer recycled material" refers to items, such as aluminum cans, that have been in the consumer market. Post-industrial material is waste generated from the original manufacturing process that is used again.</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 Review CALGreen requirements and action plans for compliance with requirements. Also, reference Section 013100 "Project Management and Coordination" for further information.</w:t>
      </w:r>
    </w:p>
    <w:p>
      <w:pPr>
        <w:pStyle w:val="ART"/>
        <w:numPr>
          <w:ilvl w:val="3"/>
          <w:numId w:val="1"/>
        </w:numPr>
        <w:ind w:hanging="0" w:left="0"/>
        <w:rPr/>
      </w:pPr>
      <w:r>
        <w:rPr/>
        <w:t>ADMINISTRATIVE REQUIREMENTS</w:t>
      </w:r>
    </w:p>
    <w:p>
      <w:pPr>
        <w:pStyle w:val="CMT"/>
        <w:rPr/>
      </w:pPr>
      <w:r>
        <w:rPr/>
        <w:t>Retain one of first two paragraphs below. Retain first if Architect or Owner submits CALGreen documentation to enforcing agency; retain second if Contractor submits CALGreen documentation to enforcing agency.</w:t>
      </w:r>
    </w:p>
    <w:p>
      <w:pPr>
        <w:pStyle w:val="PR1"/>
        <w:numPr>
          <w:ilvl w:val="4"/>
          <w:numId w:val="1"/>
        </w:numPr>
        <w:rPr/>
      </w:pPr>
      <w:r>
        <w:rPr/>
        <w:t>Respond to questions and requests from Architect about CALGreen requirements that depend on product selection or product qualities. Document responses as informational submittals.</w:t>
      </w:r>
    </w:p>
    <w:p>
      <w:pPr>
        <w:pStyle w:val="PR1"/>
        <w:numPr>
          <w:ilvl w:val="4"/>
          <w:numId w:val="1"/>
        </w:numPr>
        <w:rPr/>
      </w:pPr>
      <w:r>
        <w:rPr/>
        <w:t>Submit documentation to enforcing agency for credits that are the responsibility of Contractor, that depend on product selection or product qualities, or that depend on Contractor's procedures until enforcing agency has made its determination on Project's CALGreen certification application.</w:t>
      </w:r>
    </w:p>
    <w:p>
      <w:pPr>
        <w:pStyle w:val="PR2"/>
        <w:numPr>
          <w:ilvl w:val="5"/>
          <w:numId w:val="1"/>
        </w:numPr>
        <w:spacing w:before="240" w:after="0"/>
        <w:rPr/>
      </w:pPr>
      <w:r>
        <w:rPr/>
        <w:t>Document correspondence with review team, as assigned by the enforcing agency, as informational submittals.</w:t>
      </w:r>
    </w:p>
    <w:p>
      <w:pPr>
        <w:pStyle w:val="PR1"/>
        <w:numPr>
          <w:ilvl w:val="4"/>
          <w:numId w:val="1"/>
        </w:numPr>
        <w:rPr/>
      </w:pPr>
      <w:r>
        <w:rPr/>
        <w:t>Environmental Management System: Document the following:</w:t>
      </w:r>
    </w:p>
    <w:p>
      <w:pPr>
        <w:pStyle w:val="PR2"/>
        <w:numPr>
          <w:ilvl w:val="5"/>
          <w:numId w:val="1"/>
        </w:numPr>
        <w:spacing w:before="240" w:after="0"/>
        <w:rPr/>
      </w:pPr>
      <w:r>
        <w:rPr/>
        <w:t>Environmental policy.</w:t>
      </w:r>
    </w:p>
    <w:p>
      <w:pPr>
        <w:pStyle w:val="PR2"/>
        <w:numPr>
          <w:ilvl w:val="5"/>
          <w:numId w:val="1"/>
        </w:numPr>
        <w:rPr/>
      </w:pPr>
      <w:r>
        <w:rPr/>
        <w:t>Regulatory compliance and training.</w:t>
      </w:r>
    </w:p>
    <w:p>
      <w:pPr>
        <w:pStyle w:val="PR2"/>
        <w:numPr>
          <w:ilvl w:val="5"/>
          <w:numId w:val="1"/>
        </w:numPr>
        <w:rPr/>
      </w:pPr>
      <w:r>
        <w:rPr/>
        <w:t>Environmental risk assessment that shows sensitive environmental areas and ranks potential risks that may arise from the construction.</w:t>
      </w:r>
    </w:p>
    <w:p>
      <w:pPr>
        <w:pStyle w:val="PR2"/>
        <w:numPr>
          <w:ilvl w:val="5"/>
          <w:numId w:val="1"/>
        </w:numPr>
        <w:rPr/>
      </w:pPr>
      <w:r>
        <w:rPr/>
        <w:t>Environmental risk management strategies.</w:t>
      </w:r>
    </w:p>
    <w:p>
      <w:pPr>
        <w:pStyle w:val="PR2"/>
        <w:numPr>
          <w:ilvl w:val="5"/>
          <w:numId w:val="1"/>
        </w:numPr>
        <w:rPr/>
      </w:pPr>
      <w:r>
        <w:rPr/>
        <w:t>Environmental management roles, responsibilities, and reporting structure for the construction phase.</w:t>
      </w:r>
    </w:p>
    <w:p>
      <w:pPr>
        <w:pStyle w:val="PR2"/>
        <w:numPr>
          <w:ilvl w:val="5"/>
          <w:numId w:val="1"/>
        </w:numPr>
        <w:rPr/>
      </w:pPr>
      <w:r>
        <w:rPr/>
        <w:t>Site and work instructions for site personnel, outlining environmental procedures during construction.</w:t>
      </w:r>
    </w:p>
    <w:p>
      <w:pPr>
        <w:pStyle w:val="PR2"/>
        <w:numPr>
          <w:ilvl w:val="5"/>
          <w:numId w:val="1"/>
        </w:numPr>
        <w:rPr/>
      </w:pPr>
      <w:r>
        <w:rPr/>
        <w:t>Environmental inspection checklists.</w:t>
      </w:r>
    </w:p>
    <w:p>
      <w:pPr>
        <w:pStyle w:val="PR2"/>
        <w:numPr>
          <w:ilvl w:val="5"/>
          <w:numId w:val="1"/>
        </w:numPr>
        <w:rPr/>
      </w:pPr>
      <w:r>
        <w:rPr/>
        <w:t>Records of compliance.</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CMT"/>
        <w:rPr/>
      </w:pPr>
      <w:r>
        <w:rPr/>
        <w:t>Requirements in this article assume that product data and cost information are submitted to Architect, who then determines if CALGreen requirements have been met. Submittals include documentation needed to verify compliance with CALGreen requirements so that Architect or Owner can be assured that requirements have been met.</w:t>
      </w:r>
    </w:p>
    <w:p>
      <w:pPr>
        <w:pStyle w:val="PR1"/>
        <w:numPr>
          <w:ilvl w:val="4"/>
          <w:numId w:val="1"/>
        </w:numPr>
        <w:rPr/>
      </w:pPr>
      <w:r>
        <w:rPr/>
        <w:t>General: Submit additional sustainable design submittals required by other Specification Sections.</w:t>
      </w:r>
    </w:p>
    <w:p>
      <w:pPr>
        <w:pStyle w:val="CMT"/>
        <w:rPr/>
      </w:pPr>
      <w:r>
        <w:rPr/>
        <w:t>Retain first paragraph below if separate sustainable design submittals are required.</w:t>
      </w:r>
    </w:p>
    <w:p>
      <w:pPr>
        <w:pStyle w:val="PR1"/>
        <w:numPr>
          <w:ilvl w:val="4"/>
          <w:numId w:val="1"/>
        </w:numPr>
        <w:rPr/>
      </w:pPr>
      <w:r>
        <w:rPr/>
        <w:t>Sustainable design submittals are in addition to other submittals.</w:t>
      </w:r>
    </w:p>
    <w:p>
      <w:pPr>
        <w:pStyle w:val="PR2"/>
        <w:numPr>
          <w:ilvl w:val="5"/>
          <w:numId w:val="1"/>
        </w:numPr>
        <w:spacing w:before="240" w:after="0"/>
        <w:rPr/>
      </w:pPr>
      <w:r>
        <w:rPr/>
        <w:t>If submitted item is identical to that submitted to comply with other requirements, include an additional copy with other submittal as a record copy of compliance with indicated CALGreen requirements instead of separate sustainable design submittal. Mark additional copy "Sustainable Design Submittal."</w:t>
      </w:r>
    </w:p>
    <w:p>
      <w:pPr>
        <w:pStyle w:val="CMT"/>
        <w:rPr/>
      </w:pPr>
      <w:r>
        <w:rPr/>
        <w:t>Submittals in "Sustainable Design Documentation Submittals" Paragraph below may be necessary to verify compliance with indicated CALGreen requirements. Additional submittals may be required in other Sections.</w:t>
      </w:r>
    </w:p>
    <w:p>
      <w:pPr>
        <w:pStyle w:val="PR1"/>
        <w:numPr>
          <w:ilvl w:val="4"/>
          <w:numId w:val="1"/>
        </w:numPr>
        <w:rPr/>
      </w:pPr>
      <w:r>
        <w:rPr/>
        <w:t>Sustainable Design Documentation Submittals:</w:t>
      </w:r>
    </w:p>
    <w:p>
      <w:pPr>
        <w:pStyle w:val="PR2"/>
        <w:numPr>
          <w:ilvl w:val="5"/>
          <w:numId w:val="1"/>
        </w:numPr>
        <w:spacing w:before="240" w:after="0"/>
        <w:rPr/>
      </w:pPr>
      <w:r>
        <w:rPr/>
        <w:t>Stormwater pollution prevention plan.</w:t>
      </w:r>
    </w:p>
    <w:p>
      <w:pPr>
        <w:pStyle w:val="PR2"/>
        <w:numPr>
          <w:ilvl w:val="5"/>
          <w:numId w:val="1"/>
        </w:numPr>
        <w:rPr/>
      </w:pPr>
      <w:r>
        <w:rPr/>
        <w:t>Product data for irrigation system components, including, but not limited to, the following:</w:t>
      </w:r>
    </w:p>
    <w:p>
      <w:pPr>
        <w:pStyle w:val="PR3"/>
        <w:numPr>
          <w:ilvl w:val="6"/>
          <w:numId w:val="1"/>
        </w:numPr>
        <w:spacing w:before="240" w:after="0"/>
        <w:rPr/>
      </w:pPr>
      <w:r>
        <w:rPr/>
        <w:t>Sprinkler Heads: Indicate degree of head rotation and spray characteristics/pattern.</w:t>
      </w:r>
    </w:p>
    <w:p>
      <w:pPr>
        <w:pStyle w:val="PR3"/>
        <w:numPr>
          <w:ilvl w:val="6"/>
          <w:numId w:val="1"/>
        </w:numPr>
        <w:rPr/>
      </w:pPr>
      <w:r>
        <w:rPr/>
        <w:t>Controllers and sensors.</w:t>
      </w:r>
    </w:p>
    <w:p>
      <w:pPr>
        <w:pStyle w:val="PR2"/>
        <w:numPr>
          <w:ilvl w:val="5"/>
          <w:numId w:val="1"/>
        </w:numPr>
        <w:spacing w:before="240" w:after="0"/>
        <w:rPr/>
      </w:pPr>
      <w:r>
        <w:rPr/>
        <w:t>Product data and schedules for plumbing fixtures and fittings. Include rated capacities and WaterSense certification where applicable.</w:t>
      </w:r>
    </w:p>
    <w:p>
      <w:pPr>
        <w:pStyle w:val="PR2"/>
        <w:numPr>
          <w:ilvl w:val="5"/>
          <w:numId w:val="1"/>
        </w:numPr>
        <w:rPr/>
      </w:pPr>
      <w:r>
        <w:rPr/>
        <w:t>Product data for residential appliances, indicating that products are Energy Star rated.</w:t>
      </w:r>
    </w:p>
    <w:p>
      <w:pPr>
        <w:pStyle w:val="PR2"/>
        <w:numPr>
          <w:ilvl w:val="5"/>
          <w:numId w:val="1"/>
        </w:numPr>
        <w:rPr/>
      </w:pPr>
      <w:r>
        <w:rPr/>
        <w:t>Environmental management system documents.</w:t>
      </w:r>
    </w:p>
    <w:p>
      <w:pPr>
        <w:pStyle w:val="PR2"/>
        <w:numPr>
          <w:ilvl w:val="5"/>
          <w:numId w:val="1"/>
        </w:numPr>
        <w:rPr/>
      </w:pPr>
      <w:r>
        <w:rPr/>
        <w:t>Lighting controls.</w:t>
      </w:r>
    </w:p>
    <w:p>
      <w:pPr>
        <w:pStyle w:val="PR2"/>
        <w:numPr>
          <w:ilvl w:val="5"/>
          <w:numId w:val="1"/>
        </w:numPr>
        <w:rPr/>
      </w:pPr>
      <w:r>
        <w:rPr/>
        <w:t>Environmental product declarations.</w:t>
      </w:r>
    </w:p>
    <w:p>
      <w:pPr>
        <w:pStyle w:val="PR2"/>
        <w:numPr>
          <w:ilvl w:val="5"/>
          <w:numId w:val="1"/>
        </w:numPr>
        <w:rPr/>
      </w:pPr>
      <w:r>
        <w:rPr/>
        <w:t>Third-party certifications based on multiple-attribute standards.</w:t>
      </w:r>
    </w:p>
    <w:p>
      <w:pPr>
        <w:pStyle w:val="PR2"/>
        <w:numPr>
          <w:ilvl w:val="5"/>
          <w:numId w:val="1"/>
        </w:numPr>
        <w:rPr/>
      </w:pPr>
      <w:r>
        <w:rPr/>
        <w:t>Third-party-certified life-cycle product assessments.</w:t>
      </w:r>
    </w:p>
    <w:p>
      <w:pPr>
        <w:pStyle w:val="PR2"/>
        <w:numPr>
          <w:ilvl w:val="5"/>
          <w:numId w:val="1"/>
        </w:numPr>
        <w:rPr/>
      </w:pPr>
      <w:r>
        <w:rPr/>
        <w:t>Product data, manufacturer?s certifications, chain-of-custody certification, or other documentation acceptable to authorities having jurisdiction; for products containing composite wood, agrifiber products, or wood glues, indicate compliance with California Air Resource Board's "Airborne Toxic Control Measure to Reduce Formaldehyde Missions from Composite Wood."</w:t>
      </w:r>
    </w:p>
    <w:p>
      <w:pPr>
        <w:pStyle w:val="PR2"/>
        <w:numPr>
          <w:ilvl w:val="5"/>
          <w:numId w:val="1"/>
        </w:numPr>
        <w:rPr/>
      </w:pPr>
      <w:r>
        <w:rPr/>
        <w:t>Construction waste management plan complying with Section 017419 "Construction Waste Management and Disposal."</w:t>
      </w:r>
    </w:p>
    <w:p>
      <w:pPr>
        <w:pStyle w:val="PR2"/>
        <w:numPr>
          <w:ilvl w:val="5"/>
          <w:numId w:val="1"/>
        </w:numPr>
        <w:rPr/>
      </w:pPr>
      <w:r>
        <w:rPr/>
        <w:t>Product data and laboratory test reports for adhesives and sealants indicating VOC content and compliance with requirements for low-emitting materials.</w:t>
      </w:r>
    </w:p>
    <w:p>
      <w:pPr>
        <w:pStyle w:val="PR2"/>
        <w:numPr>
          <w:ilvl w:val="5"/>
          <w:numId w:val="1"/>
        </w:numPr>
        <w:rPr/>
      </w:pPr>
      <w:r>
        <w:rPr/>
        <w:t>Certificates for carpet and undercarpet adhesives indicating compliance with Carpet and Rug Institute?s Green Label Plus testing program.</w:t>
      </w:r>
    </w:p>
    <w:p>
      <w:pPr>
        <w:pStyle w:val="PR2"/>
        <w:numPr>
          <w:ilvl w:val="5"/>
          <w:numId w:val="1"/>
        </w:numPr>
        <w:rPr/>
      </w:pPr>
      <w:r>
        <w:rPr/>
        <w:t>Product data and laboratory test reports for paints and coatings indicating VOC content and compliance with requirements for low-emitting materials.</w:t>
      </w:r>
    </w:p>
    <w:p>
      <w:pPr>
        <w:pStyle w:val="PR2"/>
        <w:numPr>
          <w:ilvl w:val="5"/>
          <w:numId w:val="1"/>
        </w:numPr>
        <w:rPr/>
      </w:pPr>
      <w:r>
        <w:rPr/>
        <w:t>Laboratory test reports for hard flooring, insulation, acoustical ceilings, and wall coverings, indicating compliance with requirements for low-emitting materials, as defined in "Low-Emitting Materials" Article.</w:t>
      </w:r>
    </w:p>
    <w:p>
      <w:pPr>
        <w:pStyle w:val="CMT"/>
        <w:rPr/>
      </w:pPr>
      <w:r>
        <w:rPr/>
        <w:t>Retain subparagraph below if using Contractor-engaged, indoor air quality (IAQ) testing.</w:t>
      </w:r>
    </w:p>
    <w:p>
      <w:pPr>
        <w:pStyle w:val="PR2"/>
        <w:numPr>
          <w:ilvl w:val="5"/>
          <w:numId w:val="1"/>
        </w:numPr>
        <w:rPr/>
      </w:pPr>
      <w:r>
        <w:rPr/>
        <w:t>IAQ testing report from testing and inspecting agency indicating results of IAQ testing and documentation that show compliance with IAQ testing procedures and requirements.</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Project Materials Cost Data: Submit statement indicating total cost for materials used for the Work. Costs exclude labor, overhead, and profit. Include breakout of costs for the following categories of items:</w:t>
      </w:r>
    </w:p>
    <w:p>
      <w:pPr>
        <w:pStyle w:val="PR2"/>
        <w:numPr>
          <w:ilvl w:val="5"/>
          <w:numId w:val="1"/>
        </w:numPr>
        <w:spacing w:before="240" w:after="0"/>
        <w:rPr/>
      </w:pPr>
      <w:r>
        <w:rPr/>
        <w:t>Plumbing.</w:t>
      </w:r>
    </w:p>
    <w:p>
      <w:pPr>
        <w:pStyle w:val="PR2"/>
        <w:numPr>
          <w:ilvl w:val="5"/>
          <w:numId w:val="1"/>
        </w:numPr>
        <w:rPr/>
      </w:pPr>
      <w:r>
        <w:rPr/>
        <w:t>Mechanical.</w:t>
      </w:r>
    </w:p>
    <w:p>
      <w:pPr>
        <w:pStyle w:val="PR2"/>
        <w:numPr>
          <w:ilvl w:val="5"/>
          <w:numId w:val="1"/>
        </w:numPr>
        <w:rPr/>
      </w:pPr>
      <w:r>
        <w:rPr/>
        <w:t>Electrical.</w:t>
      </w:r>
    </w:p>
    <w:p>
      <w:pPr>
        <w:pStyle w:val="PR2"/>
        <w:numPr>
          <w:ilvl w:val="5"/>
          <w:numId w:val="1"/>
        </w:numPr>
        <w:rPr/>
      </w:pPr>
      <w:r>
        <w:rPr/>
        <w:t>Specialty items, such as elevators and equipment.</w:t>
      </w:r>
    </w:p>
    <w:p>
      <w:pPr>
        <w:pStyle w:val="PR2"/>
        <w:numPr>
          <w:ilvl w:val="5"/>
          <w:numId w:val="1"/>
        </w:numPr>
        <w:rPr/>
      </w:pPr>
      <w:r>
        <w:rPr/>
        <w:t>Wood-based construction materials.</w:t>
      </w:r>
    </w:p>
    <w:p>
      <w:pPr>
        <w:pStyle w:val="CMT"/>
        <w:rPr/>
      </w:pPr>
      <w:r>
        <w:rPr/>
        <w:t>"Sustainable Design Action Plans" Paragraph below requires Contractor to make early submittals indicating how certain CALGreen requirements will be met. This action can provide reassurance that Contractor understands the requirements and can help to clear up misunderstandings before they become a bigger problem.</w:t>
      </w:r>
    </w:p>
    <w:p>
      <w:pPr>
        <w:pStyle w:val="PR1"/>
        <w:numPr>
          <w:ilvl w:val="4"/>
          <w:numId w:val="1"/>
        </w:numPr>
        <w:rPr/>
      </w:pPr>
      <w:r>
        <w:rPr/>
        <w:t>Sustainable Design Action Plans: Submit preliminary submittals within [</w:t>
      </w:r>
      <w:r>
        <w:rPr>
          <w:b/>
        </w:rPr>
        <w:t>seven</w:t>
      </w:r>
      <w:r>
        <w:rPr/>
        <w:t>] [</w:t>
      </w:r>
      <w:r>
        <w:rPr>
          <w:b/>
        </w:rPr>
        <w:t>14</w:t>
      </w:r>
      <w:r>
        <w:rPr/>
        <w:t>] [</w:t>
      </w:r>
      <w:r>
        <w:rPr>
          <w:b/>
        </w:rPr>
        <w:t>30</w:t>
      </w:r>
      <w:r>
        <w:rPr/>
        <w:t>] [</w:t>
      </w:r>
      <w:r>
        <w:rPr>
          <w:b/>
        </w:rPr>
        <w:t>60</w:t>
      </w:r>
      <w:r>
        <w:rPr/>
        <w:t>] &lt;</w:t>
      </w:r>
      <w:r>
        <w:rPr>
          <w:b/>
        </w:rPr>
        <w:t>Insert number</w:t>
      </w:r>
      <w:r>
        <w:rPr/>
        <w:t>&gt; days of date established for [</w:t>
      </w:r>
      <w:r>
        <w:rPr>
          <w:b/>
        </w:rPr>
        <w:t>commencement of the Work</w:t>
      </w:r>
      <w:r>
        <w:rPr/>
        <w:t>] [</w:t>
      </w:r>
      <w:r>
        <w:rPr>
          <w:b/>
        </w:rPr>
        <w:t>the Notice to Proceed</w:t>
      </w:r>
      <w:r>
        <w:rPr/>
        <w:t>] [</w:t>
      </w:r>
      <w:r>
        <w:rPr>
          <w:b/>
        </w:rPr>
        <w:t>the Notice of Award</w:t>
      </w:r>
      <w:r>
        <w:rPr/>
        <w:t>] indicating how the following requirements will be met:</w:t>
      </w:r>
    </w:p>
    <w:p>
      <w:pPr>
        <w:pStyle w:val="PR2"/>
        <w:numPr>
          <w:ilvl w:val="5"/>
          <w:numId w:val="1"/>
        </w:numPr>
        <w:spacing w:before="240" w:after="0"/>
        <w:rPr/>
      </w:pPr>
      <w:r>
        <w:rPr/>
        <w:t>CALGreen checklist for mandatory measures.</w:t>
      </w:r>
    </w:p>
    <w:p>
      <w:pPr>
        <w:pStyle w:val="PR2"/>
        <w:numPr>
          <w:ilvl w:val="5"/>
          <w:numId w:val="1"/>
        </w:numPr>
        <w:rPr/>
      </w:pPr>
      <w:r>
        <w:rPr/>
        <w:t>CALGreen Tier 1 or Tier 2 checklist as required.</w:t>
      </w:r>
    </w:p>
    <w:p>
      <w:pPr>
        <w:pStyle w:val="PR2"/>
        <w:numPr>
          <w:ilvl w:val="5"/>
          <w:numId w:val="1"/>
        </w:numPr>
        <w:rPr/>
      </w:pPr>
      <w:r>
        <w:rPr/>
        <w:t>List of products with environmental product declarations.</w:t>
      </w:r>
    </w:p>
    <w:p>
      <w:pPr>
        <w:pStyle w:val="PR2"/>
        <w:numPr>
          <w:ilvl w:val="5"/>
          <w:numId w:val="1"/>
        </w:numPr>
        <w:rPr/>
      </w:pPr>
      <w:r>
        <w:rPr/>
        <w:t>List of products complying with requirements for multiple-attribute standards.</w:t>
      </w:r>
    </w:p>
    <w:p>
      <w:pPr>
        <w:pStyle w:val="PR2"/>
        <w:numPr>
          <w:ilvl w:val="5"/>
          <w:numId w:val="1"/>
        </w:numPr>
        <w:rPr/>
      </w:pPr>
      <w:r>
        <w:rPr/>
        <w:t>List of products complying with requirements for life-cycle product assessments.</w:t>
      </w:r>
    </w:p>
    <w:p>
      <w:pPr>
        <w:pStyle w:val="PR2"/>
        <w:numPr>
          <w:ilvl w:val="5"/>
          <w:numId w:val="1"/>
        </w:numPr>
        <w:rPr/>
      </w:pPr>
      <w:r>
        <w:rPr/>
        <w:t>Environmental policy.</w:t>
      </w:r>
    </w:p>
    <w:p>
      <w:pPr>
        <w:pStyle w:val="PR2"/>
        <w:numPr>
          <w:ilvl w:val="5"/>
          <w:numId w:val="1"/>
        </w:numPr>
        <w:rPr/>
      </w:pPr>
      <w:r>
        <w:rPr/>
        <w:t>Waste management plan complying with Section 017419 "Construction Waste Management and Disposal."</w:t>
      </w:r>
    </w:p>
    <w:p>
      <w:pPr>
        <w:pStyle w:val="PR2"/>
        <w:numPr>
          <w:ilvl w:val="5"/>
          <w:numId w:val="1"/>
        </w:numPr>
        <w:rPr/>
      </w:pPr>
      <w:r>
        <w:rPr/>
        <w:t>Construction IAQ management plan.</w:t>
      </w:r>
    </w:p>
    <w:p>
      <w:pPr>
        <w:pStyle w:val="PR1"/>
        <w:numPr>
          <w:ilvl w:val="4"/>
          <w:numId w:val="1"/>
        </w:numPr>
        <w:rPr/>
      </w:pPr>
      <w:r>
        <w:rPr/>
        <w:t>Sustainable Design Progress Reports: Concurrent with each Application for Payment, submit reports comparing actual construction and purchasing activities with sustainable design action plans.</w:t>
      </w:r>
    </w:p>
    <w:p>
      <w:pPr>
        <w:pStyle w:val="PRT"/>
        <w:numPr>
          <w:ilvl w:val="0"/>
          <w:numId w:val="1"/>
        </w:numPr>
        <w:ind w:hanging="0" w:left="0"/>
        <w:rPr/>
      </w:pPr>
      <w:r>
        <w:rPr/>
        <w:t>PRODUCTS</w:t>
      </w:r>
    </w:p>
    <w:p>
      <w:pPr>
        <w:pStyle w:val="ART"/>
        <w:numPr>
          <w:ilvl w:val="3"/>
          <w:numId w:val="1"/>
        </w:numPr>
        <w:ind w:hanging="0" w:left="0"/>
        <w:rPr/>
      </w:pPr>
      <w:r>
        <w:rPr/>
        <w:t>MATERIALS</w:t>
      </w:r>
    </w:p>
    <w:p>
      <w:pPr>
        <w:pStyle w:val="CMT"/>
        <w:rPr/>
      </w:pPr>
      <w:r>
        <w:rPr/>
        <w:t>Usually, retain this article when including requirements salvaged and refurbished materials, recycled content, bio-based materials, or certified wood in technical Sections. This will help ensure that requirements are met if costs differ from Architect's estimates.</w:t>
      </w:r>
    </w:p>
    <w:p>
      <w:pPr>
        <w:pStyle w:val="PR1"/>
        <w:numPr>
          <w:ilvl w:val="4"/>
          <w:numId w:val="1"/>
        </w:numPr>
        <w:rPr/>
      </w:pPr>
      <w:r>
        <w:rPr/>
        <w:t>Provide products and procedures necessary to comply with CALGreen requirements referenced in the Evaluations. Although other Sections may specify some requirements that contribute to referenced CALGreen requirements, determine additional materials and procedures necessary to comply with CALGreen requirements indicated.</w:t>
      </w:r>
    </w:p>
    <w:p>
      <w:pPr>
        <w:pStyle w:val="ART"/>
        <w:numPr>
          <w:ilvl w:val="3"/>
          <w:numId w:val="1"/>
        </w:numPr>
        <w:ind w:hanging="0" w:left="0"/>
        <w:rPr/>
      </w:pPr>
      <w:r>
        <w:rPr/>
        <w:t>LOW-EMITTING MATERIALS</w:t>
      </w:r>
    </w:p>
    <w:p>
      <w:pPr>
        <w:pStyle w:val="CMT"/>
        <w:rPr/>
      </w:pPr>
      <w:r>
        <w:rPr/>
        <w:t>If retaining this article, coordinate with Sections where relevant products are specified to avoid conflicting requirements in those Sections.</w:t>
      </w:r>
    </w:p>
    <w:p>
      <w:pPr>
        <w:pStyle w:val="PR1"/>
        <w:numPr>
          <w:ilvl w:val="4"/>
          <w:numId w:val="1"/>
        </w:numPr>
        <w:rPr/>
      </w:pPr>
      <w:r>
        <w:rPr/>
        <w:t>Adhesives and Sealants:</w:t>
      </w:r>
    </w:p>
    <w:p>
      <w:pPr>
        <w:pStyle w:val="CMT"/>
        <w:rPr/>
      </w:pPr>
      <w:r>
        <w:rPr/>
        <w:t>Adhesives and sealants are required in many Sections where, without being specifically mentioned, they may be specified only by the requirement to install products according to manufacturer's written instructions. For this reason, it is prudent to retain both subparagraphs below if this requirement is to be met.</w:t>
      </w:r>
    </w:p>
    <w:p>
      <w:pPr>
        <w:pStyle w:val="PR2"/>
        <w:numPr>
          <w:ilvl w:val="5"/>
          <w:numId w:val="1"/>
        </w:numPr>
        <w:spacing w:before="240" w:after="0"/>
        <w:rPr/>
      </w:pPr>
      <w:r>
        <w:rPr/>
        <w:t>For field applications inside the building, adhesives and sealants shall comply with the following VOC content limits:</w:t>
      </w:r>
    </w:p>
    <w:p>
      <w:pPr>
        <w:pStyle w:val="CMT"/>
        <w:rPr/>
      </w:pPr>
      <w:r>
        <w:rPr/>
        <w:t>Categories in subparagraphs below are taken from CALGreen rating system and the standards referenced by it; if clarification is required, see those documents.</w:t>
      </w:r>
    </w:p>
    <w:p>
      <w:pPr>
        <w:pStyle w:val="PR3"/>
        <w:numPr>
          <w:ilvl w:val="6"/>
          <w:numId w:val="1"/>
        </w:numPr>
        <w:spacing w:before="240" w:after="0"/>
        <w:rPr/>
      </w:pPr>
      <w:r>
        <w:rPr/>
        <w:t>Wood Glues: 30 g/L.</w:t>
      </w:r>
    </w:p>
    <w:p>
      <w:pPr>
        <w:pStyle w:val="PR3"/>
        <w:numPr>
          <w:ilvl w:val="6"/>
          <w:numId w:val="1"/>
        </w:numPr>
        <w:rPr/>
      </w:pPr>
      <w:r>
        <w:rPr/>
        <w:t>Metal-to-Metal Adhesives: 30 g/L.</w:t>
      </w:r>
    </w:p>
    <w:p>
      <w:pPr>
        <w:pStyle w:val="PR3"/>
        <w:numPr>
          <w:ilvl w:val="6"/>
          <w:numId w:val="1"/>
        </w:numPr>
        <w:rPr/>
      </w:pPr>
      <w:r>
        <w:rPr/>
        <w:t>Adhesives for Porous Materials (except Wood): 50 g/L.</w:t>
      </w:r>
    </w:p>
    <w:p>
      <w:pPr>
        <w:pStyle w:val="PR3"/>
        <w:numPr>
          <w:ilvl w:val="6"/>
          <w:numId w:val="1"/>
        </w:numPr>
        <w:rPr/>
      </w:pPr>
      <w:r>
        <w:rPr/>
        <w:t>Subfloor Adhesives: 50 g/L.</w:t>
      </w:r>
    </w:p>
    <w:p>
      <w:pPr>
        <w:pStyle w:val="PR3"/>
        <w:numPr>
          <w:ilvl w:val="6"/>
          <w:numId w:val="1"/>
        </w:numPr>
        <w:rPr/>
      </w:pPr>
      <w:r>
        <w:rPr/>
        <w:t>Plastic Foam Adhesives: 50 g/L.</w:t>
      </w:r>
    </w:p>
    <w:p>
      <w:pPr>
        <w:pStyle w:val="PR3"/>
        <w:numPr>
          <w:ilvl w:val="6"/>
          <w:numId w:val="1"/>
        </w:numPr>
        <w:rPr/>
      </w:pPr>
      <w:r>
        <w:rPr/>
        <w:t>Carpet Adhesives: 50 g/L.</w:t>
      </w:r>
    </w:p>
    <w:p>
      <w:pPr>
        <w:pStyle w:val="PR3"/>
        <w:numPr>
          <w:ilvl w:val="6"/>
          <w:numId w:val="1"/>
        </w:numPr>
        <w:rPr/>
      </w:pPr>
      <w:r>
        <w:rPr/>
        <w:t>Carpet Pad Adhesives: 50 g/L.</w:t>
      </w:r>
    </w:p>
    <w:p>
      <w:pPr>
        <w:pStyle w:val="PR3"/>
        <w:numPr>
          <w:ilvl w:val="6"/>
          <w:numId w:val="1"/>
        </w:numPr>
        <w:rPr/>
      </w:pPr>
      <w:r>
        <w:rPr/>
        <w:t>VCT and Asphalt Tile Adhesives: 50 g/L.</w:t>
      </w:r>
    </w:p>
    <w:p>
      <w:pPr>
        <w:pStyle w:val="PR3"/>
        <w:numPr>
          <w:ilvl w:val="6"/>
          <w:numId w:val="1"/>
        </w:numPr>
        <w:rPr/>
      </w:pPr>
      <w:r>
        <w:rPr/>
        <w:t>Cove Base Adhesives: 50 g/L.</w:t>
      </w:r>
    </w:p>
    <w:p>
      <w:pPr>
        <w:pStyle w:val="PR3"/>
        <w:numPr>
          <w:ilvl w:val="6"/>
          <w:numId w:val="1"/>
        </w:numPr>
        <w:rPr/>
      </w:pPr>
      <w:r>
        <w:rPr/>
        <w:t>Gypsum Board and Panel Adhesives: 50 g/L.</w:t>
      </w:r>
    </w:p>
    <w:p>
      <w:pPr>
        <w:pStyle w:val="PR3"/>
        <w:numPr>
          <w:ilvl w:val="6"/>
          <w:numId w:val="1"/>
        </w:numPr>
        <w:rPr/>
      </w:pPr>
      <w:r>
        <w:rPr/>
        <w:t>Rubber Floor Adhesives: 60 g/L.</w:t>
      </w:r>
    </w:p>
    <w:p>
      <w:pPr>
        <w:pStyle w:val="PR3"/>
        <w:numPr>
          <w:ilvl w:val="6"/>
          <w:numId w:val="1"/>
        </w:numPr>
        <w:rPr/>
      </w:pPr>
      <w:r>
        <w:rPr/>
        <w:t>Ceramic Tile Adhesives: 65 g/L.</w:t>
      </w:r>
    </w:p>
    <w:p>
      <w:pPr>
        <w:pStyle w:val="PR3"/>
        <w:numPr>
          <w:ilvl w:val="6"/>
          <w:numId w:val="1"/>
        </w:numPr>
        <w:rPr/>
      </w:pPr>
      <w:r>
        <w:rPr/>
        <w:t>Multipurpose Construction Adhesives: 70 g/L.</w:t>
      </w:r>
    </w:p>
    <w:p>
      <w:pPr>
        <w:pStyle w:val="PR3"/>
        <w:numPr>
          <w:ilvl w:val="6"/>
          <w:numId w:val="1"/>
        </w:numPr>
        <w:rPr/>
      </w:pPr>
      <w:r>
        <w:rPr/>
        <w:t>Fiberglass Adhesives: 80 g/L.</w:t>
      </w:r>
    </w:p>
    <w:p>
      <w:pPr>
        <w:pStyle w:val="PR3"/>
        <w:numPr>
          <w:ilvl w:val="6"/>
          <w:numId w:val="1"/>
        </w:numPr>
        <w:rPr/>
      </w:pPr>
      <w:r>
        <w:rPr/>
        <w:t>Contact Adhesive: 80 g/L.</w:t>
      </w:r>
    </w:p>
    <w:p>
      <w:pPr>
        <w:pStyle w:val="PR3"/>
        <w:numPr>
          <w:ilvl w:val="6"/>
          <w:numId w:val="1"/>
        </w:numPr>
        <w:rPr/>
      </w:pPr>
      <w:r>
        <w:rPr/>
        <w:t>Structural Glazing Adhesives: 100 g/L.</w:t>
      </w:r>
    </w:p>
    <w:p>
      <w:pPr>
        <w:pStyle w:val="PR3"/>
        <w:numPr>
          <w:ilvl w:val="6"/>
          <w:numId w:val="1"/>
        </w:numPr>
        <w:rPr/>
      </w:pPr>
      <w:r>
        <w:rPr/>
        <w:t>Wood Flooring Adhesive: 100 g/L.</w:t>
      </w:r>
    </w:p>
    <w:p>
      <w:pPr>
        <w:pStyle w:val="PR3"/>
        <w:numPr>
          <w:ilvl w:val="6"/>
          <w:numId w:val="1"/>
        </w:numPr>
        <w:rPr/>
      </w:pPr>
      <w:r>
        <w:rPr/>
        <w:t>Single-Ply Roof Membrane Adhesive: 250 g/L.</w:t>
      </w:r>
    </w:p>
    <w:p>
      <w:pPr>
        <w:pStyle w:val="PR3"/>
        <w:numPr>
          <w:ilvl w:val="6"/>
          <w:numId w:val="1"/>
        </w:numPr>
        <w:rPr/>
      </w:pPr>
      <w:r>
        <w:rPr/>
        <w:t>Special-Purpose Contact Adhesive (Contact Adhesive That Is Used to Bond Melamine Covered Board, Metal, Unsupported Vinyl, Rubber, or Wood Veneer 1/16 Inch or Less in Thickness to Any Surface): 250 g/L.</w:t>
      </w:r>
    </w:p>
    <w:p>
      <w:pPr>
        <w:pStyle w:val="PR3"/>
        <w:numPr>
          <w:ilvl w:val="6"/>
          <w:numId w:val="1"/>
        </w:numPr>
        <w:rPr/>
      </w:pPr>
      <w:r>
        <w:rPr/>
        <w:t>Plastic Cement Welding Compounds: 250 g/L.</w:t>
      </w:r>
    </w:p>
    <w:p>
      <w:pPr>
        <w:pStyle w:val="PR3"/>
        <w:numPr>
          <w:ilvl w:val="6"/>
          <w:numId w:val="1"/>
        </w:numPr>
        <w:rPr/>
      </w:pPr>
      <w:r>
        <w:rPr/>
        <w:t>ABS Welding Compounds: 325 g/L.</w:t>
      </w:r>
    </w:p>
    <w:p>
      <w:pPr>
        <w:pStyle w:val="PR3"/>
        <w:numPr>
          <w:ilvl w:val="6"/>
          <w:numId w:val="1"/>
        </w:numPr>
        <w:rPr/>
      </w:pPr>
      <w:r>
        <w:rPr/>
        <w:t>CPVC Welding Compounds: 490 g/L.</w:t>
      </w:r>
    </w:p>
    <w:p>
      <w:pPr>
        <w:pStyle w:val="PR3"/>
        <w:numPr>
          <w:ilvl w:val="6"/>
          <w:numId w:val="1"/>
        </w:numPr>
        <w:rPr/>
      </w:pPr>
      <w:r>
        <w:rPr/>
        <w:t>PVC Welding Compounds: 510 g/L.</w:t>
      </w:r>
    </w:p>
    <w:p>
      <w:pPr>
        <w:pStyle w:val="PR3"/>
        <w:numPr>
          <w:ilvl w:val="6"/>
          <w:numId w:val="1"/>
        </w:numPr>
        <w:rPr/>
      </w:pPr>
      <w:r>
        <w:rPr/>
        <w:t>Adhesive Primer for Plastic: 550 g/L.</w:t>
      </w:r>
    </w:p>
    <w:p>
      <w:pPr>
        <w:pStyle w:val="PR3"/>
        <w:numPr>
          <w:ilvl w:val="6"/>
          <w:numId w:val="1"/>
        </w:numPr>
        <w:rPr/>
      </w:pPr>
      <w:r>
        <w:rPr/>
        <w:t>Architectural Sealants: 250 g/L.</w:t>
      </w:r>
    </w:p>
    <w:p>
      <w:pPr>
        <w:pStyle w:val="PR3"/>
        <w:numPr>
          <w:ilvl w:val="6"/>
          <w:numId w:val="1"/>
        </w:numPr>
        <w:rPr/>
      </w:pPr>
      <w:r>
        <w:rPr/>
        <w:t>Nonmembrane Roof Sealants: 300 g/L.</w:t>
      </w:r>
    </w:p>
    <w:p>
      <w:pPr>
        <w:pStyle w:val="PR3"/>
        <w:numPr>
          <w:ilvl w:val="6"/>
          <w:numId w:val="1"/>
        </w:numPr>
        <w:rPr/>
      </w:pPr>
      <w:r>
        <w:rPr/>
        <w:t>Single-Ply Roof Membrane Sealants: 450 g/L.</w:t>
      </w:r>
    </w:p>
    <w:p>
      <w:pPr>
        <w:pStyle w:val="PR3"/>
        <w:numPr>
          <w:ilvl w:val="6"/>
          <w:numId w:val="1"/>
        </w:numPr>
        <w:rPr/>
      </w:pPr>
      <w:r>
        <w:rPr/>
        <w:t>Other Sealants: 420 g/L.</w:t>
      </w:r>
    </w:p>
    <w:p>
      <w:pPr>
        <w:pStyle w:val="PR2"/>
        <w:numPr>
          <w:ilvl w:val="5"/>
          <w:numId w:val="1"/>
        </w:numPr>
        <w:spacing w:before="240" w:after="0"/>
        <w:rPr/>
      </w:pPr>
      <w:r>
        <w:rPr/>
        <w:t>For field applications inside the building, adhesives and sealants must comply with the requirements of SCAQMD Rule 1168 or local code when tested in accordance with the California Department of Public Health's "Standard Method for the Testing and Evaluation of Volatile Organic Chemical Emissions from Indoor Sources Using Environmental Chambers."</w:t>
      </w:r>
    </w:p>
    <w:p>
      <w:pPr>
        <w:pStyle w:val="PR1"/>
        <w:numPr>
          <w:ilvl w:val="4"/>
          <w:numId w:val="1"/>
        </w:numPr>
        <w:rPr/>
      </w:pPr>
      <w:r>
        <w:rPr/>
        <w:t>Carpet, cushion, and undercarpet adhesives will comply with CRI's Green Label Plus testing program.</w:t>
      </w:r>
    </w:p>
    <w:p>
      <w:pPr>
        <w:pStyle w:val="PR1"/>
        <w:numPr>
          <w:ilvl w:val="4"/>
          <w:numId w:val="1"/>
        </w:numPr>
        <w:rPr/>
      </w:pPr>
      <w:r>
        <w:rPr/>
        <w:t>Paints: For field applications inside the building, wall paints must comply with local code requirements when tested in accordance with the California Department of Public Health's "Standard Method for the Testing and Evaluation of Volatile Organic Chemical Emissions from Indoor Sources Using Environmental Chambers."</w:t>
      </w:r>
    </w:p>
    <w:p>
      <w:pPr>
        <w:pStyle w:val="PR1"/>
        <w:numPr>
          <w:ilvl w:val="4"/>
          <w:numId w:val="1"/>
        </w:numPr>
        <w:rPr/>
      </w:pPr>
      <w:r>
        <w:rPr/>
        <w:t>Resilient Flooring: Flooring must be certified by the Resilient Floor Covering Institute and/or be compliant when tested in accordance with the California Department of Public Health's "Standard Method for the Testing and Evaluation of Volatile Organic Chemical Emissions from Indoor Sources Using Environmental Chambers." Flooring must also comply with the Collaborative for High Performance Schools (CHPS) requirements.</w:t>
      </w:r>
    </w:p>
    <w:p>
      <w:pPr>
        <w:pStyle w:val="PR1"/>
        <w:numPr>
          <w:ilvl w:val="4"/>
          <w:numId w:val="1"/>
        </w:numPr>
        <w:rPr/>
      </w:pPr>
      <w:r>
        <w:rPr/>
        <w:t>Thermal Insulation: Provide insulation complying with CALGreen Tier 1 or 2 requirements.</w:t>
      </w:r>
    </w:p>
    <w:p>
      <w:pPr>
        <w:pStyle w:val="PR1"/>
        <w:numPr>
          <w:ilvl w:val="4"/>
          <w:numId w:val="1"/>
        </w:numPr>
        <w:rPr/>
      </w:pPr>
      <w:r>
        <w:rPr/>
        <w:t>Ceiling and Wall Panels: Acoustical ceiling and wall-cladding products must comply with the VOC emissions limits defined in the CHPS criteria and be listed in the CHPS Pre-Approved Products database or have a Greenguard Certification Program.</w:t>
      </w:r>
    </w:p>
    <w:p>
      <w:pPr>
        <w:pStyle w:val="PRT"/>
        <w:numPr>
          <w:ilvl w:val="0"/>
          <w:numId w:val="1"/>
        </w:numPr>
        <w:ind w:hanging="0" w:left="0"/>
        <w:rPr/>
      </w:pPr>
      <w:r>
        <w:rPr/>
        <w:t>EXECUTION</w:t>
      </w:r>
    </w:p>
    <w:p>
      <w:pPr>
        <w:pStyle w:val="ART"/>
        <w:numPr>
          <w:ilvl w:val="3"/>
          <w:numId w:val="1"/>
        </w:numPr>
        <w:ind w:hanging="0" w:left="0"/>
        <w:rPr/>
      </w:pPr>
      <w:r>
        <w:rPr/>
        <w:t>CONSTRUCTION WASTE MANAGEMENT</w:t>
      </w:r>
    </w:p>
    <w:p>
      <w:pPr>
        <w:pStyle w:val="PR1"/>
        <w:numPr>
          <w:ilvl w:val="4"/>
          <w:numId w:val="1"/>
        </w:numPr>
        <w:rPr/>
      </w:pPr>
      <w:r>
        <w:rPr/>
        <w:t>CALGreen requires use of a construction waste management plan outlining how waste will be divided on the construction site, as well as how often it will be hauled to a landfill or recycling center and by whom.</w:t>
      </w:r>
    </w:p>
    <w:p>
      <w:pPr>
        <w:pStyle w:val="PR1"/>
        <w:numPr>
          <w:ilvl w:val="4"/>
          <w:numId w:val="1"/>
        </w:numPr>
        <w:rPr/>
      </w:pPr>
      <w:r>
        <w:rPr/>
        <w:t>CALGreen includes a sample plan outlining all specific requirements of the plan.</w:t>
      </w:r>
    </w:p>
    <w:p>
      <w:pPr>
        <w:pStyle w:val="PR1"/>
        <w:numPr>
          <w:ilvl w:val="4"/>
          <w:numId w:val="1"/>
        </w:numPr>
        <w:rPr/>
      </w:pPr>
      <w:r>
        <w:rPr/>
        <w:t>Comply with Section 017419 "Construction Waste Management and Disposal."</w:t>
      </w:r>
    </w:p>
    <w:p>
      <w:pPr>
        <w:pStyle w:val="ART"/>
        <w:numPr>
          <w:ilvl w:val="3"/>
          <w:numId w:val="1"/>
        </w:numPr>
        <w:ind w:hanging="0" w:left="0"/>
        <w:rPr/>
      </w:pPr>
      <w:r>
        <w:rPr/>
        <w:t>COMMISSIONING</w:t>
      </w:r>
    </w:p>
    <w:p>
      <w:pPr>
        <w:pStyle w:val="PR1"/>
        <w:numPr>
          <w:ilvl w:val="4"/>
          <w:numId w:val="1"/>
        </w:numPr>
        <w:rPr/>
      </w:pPr>
      <w:r>
        <w:rPr/>
        <w:t>CALGreen requires commissioning of the building mechanical and electrical systems to ensure proper installation and optimized performance as the building starts to be occupied. It also requires a systematic quality assurance process that spans the entire design and construction process and includes verifying and documenting that building systems and components are planned, designed, installed, tested, operated, and maintained to meet Owner?s project requirements.</w:t>
      </w:r>
    </w:p>
    <w:p>
      <w:pPr>
        <w:pStyle w:val="PR1"/>
        <w:numPr>
          <w:ilvl w:val="4"/>
          <w:numId w:val="1"/>
        </w:numPr>
        <w:rPr/>
      </w:pPr>
      <w:r>
        <w:rPr/>
        <w:t>Comply with Section 019113 "General Commissioning Requirements" and Section 019119.43 "Exterior Enclosure Commissioning."</w:t>
      </w:r>
    </w:p>
    <w:p>
      <w:pPr>
        <w:pStyle w:val="ART"/>
        <w:numPr>
          <w:ilvl w:val="3"/>
          <w:numId w:val="1"/>
        </w:numPr>
        <w:ind w:hanging="0" w:left="0"/>
        <w:rPr/>
      </w:pPr>
      <w:r>
        <w:rPr/>
        <w:t>INDOOR-AIR-QUALITY ASSESSMENT</w:t>
      </w:r>
    </w:p>
    <w:p>
      <w:pPr>
        <w:pStyle w:val="PR1"/>
        <w:numPr>
          <w:ilvl w:val="4"/>
          <w:numId w:val="1"/>
        </w:numPr>
        <w:rPr/>
      </w:pPr>
      <w:r>
        <w:rPr/>
        <w:t>Air-Quality Testing:</w:t>
      </w:r>
    </w:p>
    <w:p>
      <w:pPr>
        <w:pStyle w:val="PR2"/>
        <w:numPr>
          <w:ilvl w:val="5"/>
          <w:numId w:val="1"/>
        </w:numPr>
        <w:spacing w:before="240" w:after="0"/>
        <w:rPr/>
      </w:pPr>
      <w:r>
        <w:rPr/>
        <w:t>Conduct baseline IAQ testing, after substantial completion of construction and prior to occupancy, in accordance with the EPA's "Testing for Indoor Air Quality - Section 01 81 09."</w:t>
      </w:r>
    </w:p>
    <w:p>
      <w:pPr>
        <w:pStyle w:val="PR2"/>
        <w:numPr>
          <w:ilvl w:val="5"/>
          <w:numId w:val="1"/>
        </w:numPr>
        <w:rPr/>
      </w:pPr>
      <w:r>
        <w:rPr/>
        <w:t>Verify compliance with standards and limits in the EPA's "Testing for Indoor Air Quality - Section 01 81 09."</w:t>
      </w:r>
    </w:p>
    <w:p>
      <w:pPr>
        <w:pStyle w:val="PR3"/>
        <w:numPr>
          <w:ilvl w:val="6"/>
          <w:numId w:val="1"/>
        </w:numPr>
        <w:spacing w:before="240" w:after="0"/>
        <w:rPr/>
      </w:pPr>
      <w:r>
        <w:rPr/>
        <w:t>Carbon monoxide maximum is 9 ppm, not to exceed outdoor levels by 2 ppm.</w:t>
      </w:r>
    </w:p>
    <w:p>
      <w:pPr>
        <w:pStyle w:val="PR3"/>
        <w:numPr>
          <w:ilvl w:val="6"/>
          <w:numId w:val="1"/>
        </w:numPr>
        <w:rPr/>
      </w:pPr>
      <w:r>
        <w:rPr/>
        <w:t>Formaldehyde maximum is 27 ppb.</w:t>
      </w:r>
    </w:p>
    <w:p>
      <w:pPr>
        <w:pStyle w:val="PR3"/>
        <w:numPr>
          <w:ilvl w:val="6"/>
          <w:numId w:val="1"/>
        </w:numPr>
        <w:rPr/>
      </w:pPr>
      <w:r>
        <w:rPr/>
        <w:t>Particulates maximum is 50 micrograms per cubic meter.</w:t>
      </w:r>
    </w:p>
    <w:p>
      <w:pPr>
        <w:pStyle w:val="PR3"/>
        <w:numPr>
          <w:ilvl w:val="6"/>
          <w:numId w:val="1"/>
        </w:numPr>
        <w:rPr/>
      </w:pPr>
      <w:r>
        <w:rPr/>
        <w:t>4-Phenylcycohexene maximum is 6.5 micrograms per cubic meter.</w:t>
      </w:r>
    </w:p>
    <w:p>
      <w:pPr>
        <w:pStyle w:val="PR3"/>
        <w:numPr>
          <w:ilvl w:val="6"/>
          <w:numId w:val="1"/>
        </w:numPr>
        <w:rPr/>
      </w:pPr>
      <w:r>
        <w:rPr/>
        <w:t>Total VOC maximum is 300 micrograms per cubic meter.</w:t>
      </w:r>
    </w:p>
    <w:p>
      <w:pPr>
        <w:pStyle w:val="CMT"/>
        <w:rPr/>
      </w:pPr>
      <w:r>
        <w:rPr/>
        <w:t>Subparagraphs below are part of CALGreen requirements but create requirements that are contingent on field conditions that are unknown at time of bid and could influence bids. Also, requirements may result in claims for extra payment and time. Revise to suit office practice.</w:t>
      </w:r>
    </w:p>
    <w:p>
      <w:pPr>
        <w:pStyle w:val="PR2"/>
        <w:numPr>
          <w:ilvl w:val="5"/>
          <w:numId w:val="1"/>
        </w:numPr>
        <w:spacing w:before="240" w:after="0"/>
        <w:rPr/>
      </w:pPr>
      <w:r>
        <w:rPr/>
        <w:t>For each sampling point where the maximum concentration limits are exceeded, take corrective action until air samples indicate compliance.</w:t>
      </w:r>
    </w:p>
    <w:p>
      <w:pPr>
        <w:pStyle w:val="PR2"/>
        <w:numPr>
          <w:ilvl w:val="5"/>
          <w:numId w:val="1"/>
        </w:numPr>
        <w:rPr/>
      </w:pPr>
      <w:r>
        <w:rPr/>
        <w:t>For each sampling point where airborne [</w:t>
      </w:r>
      <w:r>
        <w:rPr>
          <w:b/>
        </w:rPr>
        <w:t>mold</w:t>
      </w:r>
      <w:r>
        <w:rPr/>
        <w:t>] [</w:t>
      </w:r>
      <w:r>
        <w:rPr>
          <w:b/>
        </w:rPr>
        <w:t>and</w:t>
      </w:r>
      <w:r>
        <w:rPr/>
        <w:t>] [</w:t>
      </w:r>
      <w:r>
        <w:rPr>
          <w:b/>
        </w:rPr>
        <w:t>mildew</w:t>
      </w:r>
      <w:r>
        <w:rPr/>
        <w:t>] indoor species distribution varies by more than 10 percent from exterior sampling specification, identify source of [</w:t>
      </w:r>
      <w:r>
        <w:rPr>
          <w:b/>
        </w:rPr>
        <w:t>mold</w:t>
      </w:r>
      <w:r>
        <w:rPr/>
        <w:t>] [</w:t>
      </w:r>
      <w:r>
        <w:rPr>
          <w:b/>
        </w:rPr>
        <w:t>and</w:t>
      </w:r>
      <w:r>
        <w:rPr/>
        <w:t>] [</w:t>
      </w:r>
      <w:r>
        <w:rPr>
          <w:b/>
        </w:rPr>
        <w:t>mildew</w:t>
      </w:r>
      <w:r>
        <w:rPr/>
        <w:t>] and remediate with corrective action, then retest until compliant results are attained.</w:t>
      </w:r>
    </w:p>
    <w:p>
      <w:pPr>
        <w:pStyle w:val="PR2"/>
        <w:numPr>
          <w:ilvl w:val="5"/>
          <w:numId w:val="1"/>
        </w:numPr>
        <w:rPr/>
      </w:pPr>
      <w:r>
        <w:rPr/>
        <w:t>If noncompliant test results occur, provide a written report describing source(s) of noncompliant condition(s) and corrective action(s) implemented.</w:t>
      </w:r>
    </w:p>
    <w:p>
      <w:pPr>
        <w:pStyle w:val="EOS"/>
        <w:rPr/>
      </w:pPr>
      <w:r>
        <w:rPr/>
        <w:t>END OF SECTION 018113.71</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SUSTAINABLE DESIGN REQUIREMENTS - CALGREEN NON-RESIDENTIAL MANDATORY</w:t>
          </w:r>
        </w:p>
      </w:tc>
      <w:tc>
        <w:tcPr>
          <w:tcW w:w="1872" w:type="dxa"/>
          <w:tcBorders/>
        </w:tcPr>
        <w:p>
          <w:pPr>
            <w:pStyle w:val="RJUST"/>
            <w:rPr/>
          </w:pPr>
          <w:r>
            <w:rPr>
              <w:rStyle w:val="NUM"/>
            </w:rPr>
            <w:t>018113.71</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01811371"/>
    <w:docVar w:name="MF95" w:val="01379"/>
    <w:docVar w:name="MFOrigin" w:val="MF04"/>
    <w:docVar w:name="SpecType" w:val="MasterSpec"/>
    <w:docVar w:name="Version" w:val="1637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811371&amp;ver=06-01-22&amp;format=FL&amp;sid=16374&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2022-09-26T01:33:00Z</dcterms:created>
  <dc:creator>Deltek, Inc.</dc:creator>
  <dc:description/>
  <cp:keywords>BAS-12345-MS80</cp:keywords>
  <dc:language>zh-CN</dc:language>
  <cp:lastModifiedBy>Janice Nacional</cp:lastModifiedBy>
  <dcterms:modified xsi:type="dcterms:W3CDTF">2022-09-26T01:33:00Z</dcterms:modified>
  <cp:revision>2</cp:revision>
  <dc:subject>SUSTAINABLE DESIGN REQUIREMENTS - CALGREEN NON-RESIDENTIAL MANDATORY</dc:subject>
  <dc:title>SECTION 018113.71 - SUSTAINABLE DESIGN REQUIREMENTS - CALGREEN NON-RESIDENTIAL MANDATORY</dc:title>
</cp:coreProperties>
</file>