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033543</w:t>
      </w:r>
      <w:r>
        <w:rPr/>
        <w:t xml:space="preserve"> - </w:t>
      </w:r>
      <w:r>
        <w:rPr>
          <w:rStyle w:val="NAM"/>
        </w:rPr>
        <w:t>POLISHED CONCRETE FINISHING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Polished concrete finishing[</w:t>
      </w:r>
      <w:r>
        <w:rPr>
          <w:b/>
        </w:rPr>
        <w:t>, including staining</w:t>
      </w:r>
      <w:r>
        <w:rPr/>
        <w:t>] [</w:t>
      </w:r>
      <w:r>
        <w:rPr>
          <w:b/>
        </w:rPr>
        <w:t>and scoring</w:t>
      </w:r>
      <w:r>
        <w:rPr/>
        <w:t>].</w:t>
      </w:r>
    </w:p>
    <w:p>
      <w:pPr>
        <w:pStyle w:val="PR2"/>
        <w:numPr>
          <w:ilvl w:val="5"/>
          <w:numId w:val="1"/>
        </w:numPr>
        <w:rPr/>
      </w:pPr>
      <w:r>
        <w:rPr/>
        <w:t>Concrete for polished concrete, including concrete materials, mixture design, placement procedures, initial finishing, and curing is specified in Section 033000 "Cast-in-Place Concrete."</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concrete not designated as polished concrete.</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"Design Reference Sample" Paragraph below if design reference sample, chosen by Architect during Contract documentation, is proposed.</w:t>
      </w:r>
    </w:p>
    <w:p>
      <w:pPr>
        <w:pStyle w:val="PR1"/>
        <w:numPr>
          <w:ilvl w:val="4"/>
          <w:numId w:val="1"/>
        </w:numPr>
        <w:rPr/>
      </w:pPr>
      <w:r>
        <w:rPr/>
        <w:t>Design Reference Sample: Sample designated by Architect in the Contract Documents that reflects acceptable surface quality and appearance of polished concrete.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Preinstallation conference helps minimize misunderstandings and reviews Project conditions that might lead to significant problems.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first subparagraph below if warranted by complexity of design mixtures and quality control of concrete materials.</w:t>
      </w:r>
    </w:p>
    <w:p>
      <w:pPr>
        <w:pStyle w:val="PR2"/>
        <w:numPr>
          <w:ilvl w:val="5"/>
          <w:numId w:val="1"/>
        </w:numPr>
        <w:spacing w:before="240" w:after="0"/>
        <w:rPr/>
      </w:pPr>
      <w:r>
        <w:rPr/>
        <w:t>Before submitting design mixtures, review concrete design mixture and examine procedures for ensuring quality of concrete materials. Require representatives of each entity directly concerned with polished concrete to attend, including the following:</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concrete design mixtures.</w:t>
      </w:r>
    </w:p>
    <w:p>
      <w:pPr>
        <w:pStyle w:val="PR3"/>
        <w:numPr>
          <w:ilvl w:val="6"/>
          <w:numId w:val="1"/>
        </w:numPr>
        <w:rPr/>
      </w:pPr>
      <w:r>
        <w:rPr/>
        <w:t>Ready-mix concrete manufacturer.</w:t>
      </w:r>
    </w:p>
    <w:p>
      <w:pPr>
        <w:pStyle w:val="PR3"/>
        <w:numPr>
          <w:ilvl w:val="6"/>
          <w:numId w:val="1"/>
        </w:numPr>
        <w:rPr/>
      </w:pPr>
      <w:r>
        <w:rPr/>
        <w:t>Cast-in-place concrete subcontractor.</w:t>
      </w:r>
    </w:p>
    <w:p>
      <w:pPr>
        <w:pStyle w:val="PR3"/>
        <w:numPr>
          <w:ilvl w:val="6"/>
          <w:numId w:val="1"/>
        </w:numPr>
        <w:rPr/>
      </w:pPr>
      <w:r>
        <w:rPr/>
        <w:t>Polished concrete finishing Subcontractor.</w:t>
      </w:r>
    </w:p>
    <w:p>
      <w:pPr>
        <w:pStyle w:val="PR2"/>
        <w:numPr>
          <w:ilvl w:val="5"/>
          <w:numId w:val="1"/>
        </w:numPr>
        <w:spacing w:before="240" w:after="0"/>
        <w:rPr/>
      </w:pPr>
      <w:r>
        <w:rPr/>
        <w:t>Review [</w:t>
      </w:r>
      <w:r>
        <w:rPr>
          <w:b/>
        </w:rPr>
        <w:t>cold- and hot-weather concreting procedures,</w:t>
      </w:r>
      <w:r>
        <w:rPr/>
        <w:t>] [</w:t>
      </w:r>
      <w:r>
        <w:rPr>
          <w:b/>
        </w:rPr>
        <w:t>curing procedures,</w:t>
      </w:r>
      <w:r>
        <w:rPr/>
        <w:t>] [</w:t>
      </w:r>
      <w:r>
        <w:rPr>
          <w:b/>
        </w:rPr>
        <w:t>construction joints,</w:t>
      </w:r>
      <w:r>
        <w:rPr/>
        <w:t>] [</w:t>
      </w:r>
      <w:r>
        <w:rPr>
          <w:b/>
        </w:rPr>
        <w:t>concrete repair procedures,</w:t>
      </w:r>
      <w:r>
        <w:rPr/>
        <w:t>] [</w:t>
      </w:r>
      <w:r>
        <w:rPr>
          <w:b/>
        </w:rPr>
        <w:t>concrete finishing,</w:t>
      </w:r>
      <w:r>
        <w:rPr/>
        <w:t>] and protection of polished concrete.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stains and liquid floor treatments.&gt;</w:t>
        </w:r>
      </w:hyperlink>
    </w:p>
    <w:p>
      <w:pPr>
        <w:pStyle w:val="PR1"/>
        <w:numPr>
          <w:ilvl w:val="4"/>
          <w:numId w:val="1"/>
        </w:numPr>
        <w:rPr/>
      </w:pPr>
      <w:r>
        <w:rPr/>
        <w:t>Polishing Schedule: Submit plan showing polished concrete surfaces and schedule of polishing operations for each area of polished concrete before start of polishing operations. Include locations of all joints, including construction joints.</w:t>
      </w:r>
    </w:p>
    <w:p>
      <w:pPr>
        <w:pStyle w:val="CMT"/>
        <w:rPr/>
      </w:pPr>
      <w:r>
        <w:rPr/>
        <w:t>Delete "Samples for Initial Selection" Paragraph below if colors and other characteristics are preselected and specified or scheduled.</w:t>
      </w:r>
    </w:p>
    <w:p>
      <w:pPr>
        <w:pStyle w:val="PR1"/>
        <w:numPr>
          <w:ilvl w:val="4"/>
          <w:numId w:val="1"/>
        </w:numPr>
        <w:rPr/>
      </w:pPr>
      <w:r>
        <w:rPr/>
        <w:t>Samples for Initial Selection: For each type of product requiring color selection.</w:t>
      </w:r>
    </w:p>
    <w:p>
      <w:pPr>
        <w:pStyle w:val="CMT"/>
        <w:rPr/>
      </w:pPr>
      <w:r>
        <w:rPr/>
        <w:t>Retain "Samples for Verification" Paragraph below with or without "Samples for Initial Selection" Paragraph above.</w:t>
      </w:r>
    </w:p>
    <w:p>
      <w:pPr>
        <w:pStyle w:val="PR1"/>
        <w:numPr>
          <w:ilvl w:val="4"/>
          <w:numId w:val="1"/>
        </w:numPr>
        <w:rPr/>
      </w:pPr>
      <w:r>
        <w:rPr/>
        <w:t>Samples for Verification: For each type of exposed color.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of the following, signed by manufacturers:</w:t>
      </w:r>
    </w:p>
    <w:p>
      <w:pPr>
        <w:pStyle w:val="PR2"/>
        <w:numPr>
          <w:ilvl w:val="5"/>
          <w:numId w:val="1"/>
        </w:numPr>
        <w:spacing w:before="240" w:after="0"/>
        <w:rPr/>
      </w:pPr>
      <w:r>
        <w:rPr/>
        <w:t>Repair materials.</w:t>
      </w:r>
    </w:p>
    <w:p>
      <w:pPr>
        <w:pStyle w:val="PR2"/>
        <w:numPr>
          <w:ilvl w:val="5"/>
          <w:numId w:val="1"/>
        </w:numPr>
        <w:rPr/>
      </w:pPr>
      <w:r>
        <w:rPr/>
        <w:t>Stain materials.</w:t>
      </w:r>
    </w:p>
    <w:p>
      <w:pPr>
        <w:pStyle w:val="PR2"/>
        <w:numPr>
          <w:ilvl w:val="5"/>
          <w:numId w:val="1"/>
        </w:numPr>
        <w:rPr/>
      </w:pPr>
      <w:r>
        <w:rPr/>
        <w:t>Liquid floor treatments.</w:t>
      </w:r>
    </w:p>
    <w:p>
      <w:pPr>
        <w:pStyle w:val="ART"/>
        <w:numPr>
          <w:ilvl w:val="3"/>
          <w:numId w:val="1"/>
        </w:numPr>
        <w:ind w:hanging="0" w:left="0"/>
        <w:rPr/>
      </w:pPr>
      <w:r>
        <w:rPr/>
        <w:t>QUALITY ASSURANCE</w:t>
      </w:r>
    </w:p>
    <w:p>
      <w:pPr>
        <w:pStyle w:val="CMT"/>
        <w:rPr/>
      </w:pPr>
      <w:r>
        <w:rPr/>
        <w:t>Field sample panels may be used to verify that Contractor can produce polished concrete of required finish, color, and consistency of appearance. On simple projects, field samples may suffice and make mockups unnecessary. For more complex projects, field samples may be needed before producing full-scale mockups.</w:t>
      </w:r>
    </w:p>
    <w:p>
      <w:pPr>
        <w:pStyle w:val="PR1"/>
        <w:numPr>
          <w:ilvl w:val="4"/>
          <w:numId w:val="1"/>
        </w:numPr>
        <w:rPr/>
      </w:pPr>
      <w:r>
        <w:rPr/>
        <w:t xml:space="preserve">Field Sample Panels: After approval of verification sample and before casting concrete, produce field sample panels to demonstrate the approved range of selections made under Sample submittals. Produce a minimum of three sets of full-scale panels, approximately </w:t>
      </w:r>
      <w:r>
        <w:rPr>
          <w:rStyle w:val="IP"/>
        </w:rPr>
        <w:t>48 by 48 inches</w:t>
      </w:r>
      <w:r>
        <w:rPr>
          <w:rStyle w:val="SI"/>
        </w:rPr>
        <w:t xml:space="preserve"> (1200 by 1200 mm)</w:t>
      </w:r>
      <w:r>
        <w:rPr/>
        <w:t xml:space="preserve"> minimum, to demonstrate the expected range of finish, color, and appearance variations.</w:t>
      </w:r>
    </w:p>
    <w:p>
      <w:pPr>
        <w:pStyle w:val="PR2"/>
        <w:numPr>
          <w:ilvl w:val="5"/>
          <w:numId w:val="1"/>
        </w:numPr>
        <w:spacing w:before="240" w:after="0"/>
        <w:rPr/>
      </w:pPr>
      <w:r>
        <w:rPr/>
        <w:t>Locate panels as indicated or, if not indicated, as directed by Architect.</w:t>
      </w:r>
    </w:p>
    <w:p>
      <w:pPr>
        <w:pStyle w:val="PR2"/>
        <w:numPr>
          <w:ilvl w:val="5"/>
          <w:numId w:val="1"/>
        </w:numPr>
        <w:rPr/>
      </w:pPr>
      <w:r>
        <w:rPr/>
        <w:t>Maintain field sample panels during construction in an undisturbed condition as a standard for judging the completed Work.</w:t>
      </w:r>
    </w:p>
    <w:p>
      <w:pPr>
        <w:pStyle w:val="PR2"/>
        <w:numPr>
          <w:ilvl w:val="5"/>
          <w:numId w:val="1"/>
        </w:numPr>
        <w:rPr/>
      </w:pPr>
      <w:r>
        <w:rPr/>
        <w:t>Demolish and remove field sample panels when directed.</w:t>
      </w:r>
    </w:p>
    <w:p>
      <w:pPr>
        <w:pStyle w:val="CMT"/>
        <w:rPr/>
      </w:pPr>
      <w:r>
        <w:rPr/>
        <w:t>Retain "Mockups" Paragraph below unless field sample panels will suffice and added expense of mockups is not required. If retaining, indicate location, size, and other details of mockups on Drawings or by inserts. Revise wording if only one mockup is required.</w:t>
      </w:r>
    </w:p>
    <w:p>
      <w:pPr>
        <w:pStyle w:val="PR1"/>
        <w:numPr>
          <w:ilvl w:val="4"/>
          <w:numId w:val="1"/>
        </w:numPr>
        <w:rPr/>
      </w:pPr>
      <w:r>
        <w:rPr/>
        <w:t>Mockups: Before casting concrete, build mockups to verify selections made under Sample submittals and to demonstrate typical joints, surface finish, tolerances, and standard of workmanship. Build mockups to comply with the following requirements, using materials indicated for the completed Work:</w:t>
      </w:r>
    </w:p>
    <w:p>
      <w:pPr>
        <w:pStyle w:val="PR2"/>
        <w:numPr>
          <w:ilvl w:val="5"/>
          <w:numId w:val="1"/>
        </w:numPr>
        <w:spacing w:before="240" w:after="0"/>
        <w:rPr/>
      </w:pPr>
      <w:r>
        <w:rPr/>
        <w:t>Build mockups in the location and of the size indicated or, if not indicated, as directed by Architect.</w:t>
      </w:r>
    </w:p>
    <w:p>
      <w:pPr>
        <w:pStyle w:val="PR2"/>
        <w:numPr>
          <w:ilvl w:val="5"/>
          <w:numId w:val="1"/>
        </w:numPr>
        <w:rPr/>
      </w:pPr>
      <w:r>
        <w:rPr/>
        <w:t>Demonstrate curing, finishing, and protecting of polished concrete.</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Traffic Control: Maintain access for vehicular and pedestrian traffic as required for other construction activities.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STAIN MATERIALS</w:t>
      </w:r>
    </w:p>
    <w:p>
      <w:pPr>
        <w:pStyle w:val="PR1"/>
        <w:numPr>
          <w:ilvl w:val="4"/>
          <w:numId w:val="1"/>
        </w:numPr>
        <w:rPr/>
      </w:pPr>
      <w:r>
        <w:rPr/>
        <w:t>Reactive Stain: Acidic-based stain with wetting agents and high-grade, UV-stable metallic salts that react with calcium hydroxide in cured concrete to produce permanent, variegated, or translucent color effects.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hyperlink r:id="rId6">
        <w:r>
          <w:rPr>
            <w:rStyle w:val="Hyperlink"/>
          </w:rPr>
          <w:t>&lt;Double click to insert sustainable design text for floor treatment products.&gt;</w:t>
        </w:r>
      </w:hyperlink>
    </w:p>
    <w:p>
      <w:pPr>
        <w:pStyle w:val="PR1"/>
        <w:numPr>
          <w:ilvl w:val="4"/>
          <w:numId w:val="1"/>
        </w:numPr>
        <w:rPr/>
      </w:pPr>
      <w:r>
        <w:rPr/>
        <w:t>Penetrating Stain: Water-based, acrylic latex, penetrating stain with colorfast pigments.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hyperlink r:id="rId8">
        <w:r>
          <w:rPr>
            <w:rStyle w:val="Hyperlink"/>
          </w:rPr>
          <w:t>&lt;Double click to insert sustainable design text for floor treatment products.&gt;</w:t>
        </w:r>
      </w:hyperlink>
    </w:p>
    <w:p>
      <w:pPr>
        <w:pStyle w:val="ART"/>
        <w:numPr>
          <w:ilvl w:val="3"/>
          <w:numId w:val="1"/>
        </w:numPr>
        <w:ind w:hanging="0" w:left="0"/>
        <w:rPr/>
      </w:pPr>
      <w:r>
        <w:rPr/>
        <w:t>LIQUID FLOOR TREATMENTS</w:t>
      </w:r>
    </w:p>
    <w:p>
      <w:pPr>
        <w:pStyle w:val="PR1"/>
        <w:numPr>
          <w:ilvl w:val="4"/>
          <w:numId w:val="1"/>
        </w:numPr>
        <w:rPr/>
      </w:pPr>
      <w:r>
        <w:rPr/>
        <w:t>Penetrating Liquid Floor Treatments for Polished Concrete Finish: Clear, waterborne solution of inorganic silicate or siliconate materials and proprietary components; odorless; that penetrates, hardens, and is suitable for polished concrete surfaces.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hyperlink r:id="rId10">
        <w:r>
          <w:rPr>
            <w:rStyle w:val="Hyperlink"/>
          </w:rPr>
          <w:t>&lt;Double click to insert sustainable design text for floor treatment products.&gt;</w:t>
        </w:r>
      </w:hyperlink>
    </w:p>
    <w:p>
      <w:pPr>
        <w:pStyle w:val="PRT"/>
        <w:numPr>
          <w:ilvl w:val="0"/>
          <w:numId w:val="1"/>
        </w:numPr>
        <w:ind w:hanging="0" w:left="0"/>
        <w:rPr/>
      </w:pPr>
      <w:r>
        <w:rPr/>
        <w:t>EXECUTION</w:t>
      </w:r>
    </w:p>
    <w:p>
      <w:pPr>
        <w:pStyle w:val="ART"/>
        <w:numPr>
          <w:ilvl w:val="3"/>
          <w:numId w:val="1"/>
        </w:numPr>
        <w:ind w:hanging="0" w:left="0"/>
        <w:rPr/>
      </w:pPr>
      <w:r>
        <w:rPr/>
        <w:t>POLISHING</w:t>
      </w:r>
    </w:p>
    <w:p>
      <w:pPr>
        <w:pStyle w:val="PR1"/>
        <w:numPr>
          <w:ilvl w:val="4"/>
          <w:numId w:val="1"/>
        </w:numPr>
        <w:rPr/>
      </w:pPr>
      <w:r>
        <w:rPr/>
        <w:t>Polish: [</w:t>
      </w:r>
      <w:r>
        <w:rPr>
          <w:b/>
        </w:rPr>
        <w:t>Level 1: Matte finish, 100 grit</w:t>
      </w:r>
      <w:r>
        <w:rPr/>
        <w:t>] [</w:t>
      </w:r>
      <w:r>
        <w:rPr>
          <w:b/>
        </w:rPr>
        <w:t>Level 2: Low sheen, 400 grit</w:t>
      </w:r>
      <w:r>
        <w:rPr/>
        <w:t>] [</w:t>
      </w:r>
      <w:r>
        <w:rPr>
          <w:b/>
        </w:rPr>
        <w:t>Level 3: High sheen, 800 grit</w:t>
      </w:r>
      <w:r>
        <w:rPr/>
        <w:t>] [</w:t>
      </w:r>
      <w:r>
        <w:rPr>
          <w:b/>
        </w:rPr>
        <w:t>Level 4: Gloss shine, 3000 grit</w:t>
      </w:r>
      <w:r>
        <w:rPr/>
        <w:t>] [</w:t>
      </w:r>
      <w:r>
        <w:rPr>
          <w:b/>
        </w:rPr>
        <w:t>Match design reference sample</w:t>
      </w:r>
      <w:r>
        <w:rPr/>
        <w:t>].</w:t>
      </w:r>
    </w:p>
    <w:p>
      <w:pPr>
        <w:pStyle w:val="PR1"/>
        <w:numPr>
          <w:ilvl w:val="4"/>
          <w:numId w:val="1"/>
        </w:numPr>
        <w:rPr/>
      </w:pPr>
      <w:r>
        <w:rPr/>
        <w:t>Apply polished concrete finish system to cured and prepared slabs to match accepted mockup.</w:t>
      </w:r>
    </w:p>
    <w:p>
      <w:pPr>
        <w:pStyle w:val="PR2"/>
        <w:numPr>
          <w:ilvl w:val="5"/>
          <w:numId w:val="1"/>
        </w:numPr>
        <w:spacing w:before="240" w:after="0"/>
        <w:rPr/>
      </w:pPr>
      <w:r>
        <w:rPr/>
        <w:t>Machine grind floor surfaces to receive polished finishes level and smooth[</w:t>
      </w:r>
      <w:r>
        <w:rPr>
          <w:b/>
        </w:rPr>
        <w:t> and to depth required to reveal aggregate to match approved mockup</w:t>
      </w:r>
      <w:r>
        <w:rPr/>
        <w:t>].</w:t>
      </w:r>
    </w:p>
    <w:p>
      <w:pPr>
        <w:pStyle w:val="PR2"/>
        <w:numPr>
          <w:ilvl w:val="5"/>
          <w:numId w:val="1"/>
        </w:numPr>
        <w:rPr/>
      </w:pPr>
      <w:r>
        <w:rPr/>
        <w:t>Apply reactive stain for polished concrete in polishing sequence and according to manufacturer's written instructions.</w:t>
      </w:r>
    </w:p>
    <w:p>
      <w:pPr>
        <w:pStyle w:val="PR2"/>
        <w:numPr>
          <w:ilvl w:val="5"/>
          <w:numId w:val="1"/>
        </w:numPr>
        <w:rPr/>
      </w:pPr>
      <w:r>
        <w:rPr/>
        <w:t>Apply penetrating liquid floor treatment for polished concrete in polishing sequence and according to manufacturer's written instructions, allowing recommended drying time between successive coats.</w:t>
      </w:r>
    </w:p>
    <w:p>
      <w:pPr>
        <w:pStyle w:val="PR2"/>
        <w:numPr>
          <w:ilvl w:val="5"/>
          <w:numId w:val="1"/>
        </w:numPr>
        <w:rPr/>
      </w:pPr>
      <w:r>
        <w:rPr/>
        <w:t>Apply penetrating stain for polished concrete in polishing sequence and according to manufacturer's written instructions.</w:t>
      </w:r>
    </w:p>
    <w:p>
      <w:pPr>
        <w:pStyle w:val="PR2"/>
        <w:numPr>
          <w:ilvl w:val="5"/>
          <w:numId w:val="1"/>
        </w:numPr>
        <w:rPr/>
      </w:pPr>
      <w:r>
        <w:rPr/>
        <w:t>Continue polishing with progressively finer-grit diamond polishing pads to gloss level, to match approved mockup.</w:t>
      </w:r>
    </w:p>
    <w:p>
      <w:pPr>
        <w:pStyle w:val="PR2"/>
        <w:numPr>
          <w:ilvl w:val="5"/>
          <w:numId w:val="1"/>
        </w:numPr>
        <w:rPr/>
      </w:pPr>
      <w:r>
        <w:rPr/>
        <w:t>Control and dispose of waste products produced by grinding and polishing operations.</w:t>
      </w:r>
    </w:p>
    <w:p>
      <w:pPr>
        <w:pStyle w:val="PR2"/>
        <w:numPr>
          <w:ilvl w:val="5"/>
          <w:numId w:val="1"/>
        </w:numPr>
        <w:rPr/>
      </w:pPr>
      <w:r>
        <w:rPr/>
        <w:t>Neutralize and clean polished floor surfaces.</w:t>
      </w:r>
    </w:p>
    <w:p>
      <w:pPr>
        <w:pStyle w:val="ART"/>
        <w:numPr>
          <w:ilvl w:val="3"/>
          <w:numId w:val="1"/>
        </w:numPr>
        <w:ind w:hanging="0" w:left="0"/>
        <w:rPr/>
      </w:pPr>
      <w:r>
        <w:rPr/>
        <w:t>STAINING</w:t>
      </w:r>
    </w:p>
    <w:p>
      <w:pPr>
        <w:pStyle w:val="CMT"/>
        <w:rPr/>
      </w:pPr>
      <w:r>
        <w:rPr/>
        <w:t>Retain this article if stained concrete is required.</w:t>
      </w:r>
    </w:p>
    <w:p>
      <w:pPr>
        <w:pStyle w:val="CMT"/>
        <w:rPr/>
      </w:pPr>
      <w:r>
        <w:rPr/>
        <w:t>Concrete must cure prior to application of stain. Some stain colors require longer concrete curing time to meet water-vapor transmission limitations; some colors should not be used for exterior applications. Verify, with stain manufacturer, the minimum age of concrete for colors required and insert in first paragraph below. See the Evaluations.</w:t>
      </w:r>
    </w:p>
    <w:p>
      <w:pPr>
        <w:pStyle w:val="PR1"/>
        <w:numPr>
          <w:ilvl w:val="4"/>
          <w:numId w:val="1"/>
        </w:numPr>
        <w:rPr/>
      </w:pPr>
      <w:r>
        <w:rPr/>
        <w:t>Newly placed concrete to be at least [</w:t>
      </w:r>
      <w:r>
        <w:rPr>
          <w:b/>
        </w:rPr>
        <w:t>14</w:t>
      </w:r>
      <w:r>
        <w:rPr/>
        <w:t>] [</w:t>
      </w:r>
      <w:r>
        <w:rPr>
          <w:b/>
        </w:rPr>
        <w:t>30</w:t>
      </w:r>
      <w:r>
        <w:rPr/>
        <w:t>] &lt;</w:t>
      </w:r>
      <w:r>
        <w:rPr>
          <w:b/>
        </w:rPr>
        <w:t>Insert number</w:t>
      </w:r>
      <w:r>
        <w:rPr/>
        <w:t>&gt; days old before staining.</w:t>
      </w:r>
    </w:p>
    <w:p>
      <w:pPr>
        <w:pStyle w:val="PR1"/>
        <w:numPr>
          <w:ilvl w:val="4"/>
          <w:numId w:val="1"/>
        </w:numPr>
        <w:rPr/>
      </w:pPr>
      <w:r>
        <w:rPr/>
        <w:t>Prepare surfaces according to manufacturer's written instructions and as follows:</w:t>
      </w:r>
    </w:p>
    <w:p>
      <w:pPr>
        <w:pStyle w:val="CMT"/>
        <w:rPr/>
      </w:pPr>
      <w:r>
        <w:rPr/>
        <w:t>First subparagraph below is generally applicable to new concrete with little surface contamination. More aggressive cleaning, consisting of grinding, sanding, or shot blasting, may be required for older concrete with dense, sealed, or highly contaminated surface.</w:t>
      </w:r>
    </w:p>
    <w:p>
      <w:pPr>
        <w:pStyle w:val="PR2"/>
        <w:numPr>
          <w:ilvl w:val="5"/>
          <w:numId w:val="1"/>
        </w:numPr>
        <w:spacing w:before="240" w:after="0"/>
        <w:rPr/>
      </w:pPr>
      <w:r>
        <w:rPr/>
        <w:t>Clean concrete thoroughly by scraping, applying solvents or stripping agents, sweeping and pressure washing, or scrubbing with a rotary floor machine and detergents recommended by stain manufacturer. Rinse until water is clear and allow surface to dry.</w:t>
      </w:r>
    </w:p>
    <w:p>
      <w:pPr>
        <w:pStyle w:val="CMT"/>
        <w:rPr/>
      </w:pPr>
      <w:r>
        <w:rPr/>
        <w:t>Retain first subparagraph below if reactive stains are required.</w:t>
      </w:r>
    </w:p>
    <w:p>
      <w:pPr>
        <w:pStyle w:val="PR3"/>
        <w:numPr>
          <w:ilvl w:val="6"/>
          <w:numId w:val="1"/>
        </w:numPr>
        <w:spacing w:before="240" w:after="0"/>
        <w:rPr/>
      </w:pPr>
      <w:r>
        <w:rPr/>
        <w:t>Do not use acidic solutions to clean surfaces.</w:t>
      </w:r>
    </w:p>
    <w:p>
      <w:pPr>
        <w:pStyle w:val="CMT"/>
        <w:rPr/>
      </w:pPr>
      <w:r>
        <w:rPr/>
        <w:t>Retain one of two options for surface-preparation method in first subparagraph below. Retain first option if penetrating stains are required and acid etching is stain manufacturer's preferred method of profiling concrete surfaces. Retain second option for either reactive or penetrating stain system.</w:t>
      </w:r>
    </w:p>
    <w:p>
      <w:pPr>
        <w:pStyle w:val="PR2"/>
        <w:numPr>
          <w:ilvl w:val="5"/>
          <w:numId w:val="1"/>
        </w:numPr>
        <w:spacing w:before="240" w:after="0"/>
        <w:rPr/>
      </w:pPr>
      <w:r>
        <w:rPr/>
        <w:t>Test surfaces with droplets of water. If water beads and does not penetrate surface, or penetrates only in some areas, profile surfaces by [</w:t>
      </w:r>
      <w:r>
        <w:rPr>
          <w:b/>
        </w:rPr>
        <w:t>acid etching</w:t>
      </w:r>
      <w:r>
        <w:rPr/>
        <w:t>] [</w:t>
      </w:r>
      <w:r>
        <w:rPr>
          <w:b/>
        </w:rPr>
        <w:t>grinding, sanding, or abrasive blasting</w:t>
      </w:r>
      <w:r>
        <w:rPr/>
        <w:t>]. Retest and continue profiling surface until water droplets immediately darken and uniformly penetrate concrete surfaces.</w:t>
      </w:r>
    </w:p>
    <w:p>
      <w:pPr>
        <w:pStyle w:val="CMT"/>
        <w:rPr/>
      </w:pPr>
      <w:r>
        <w:rPr/>
        <w:t>Retain both subparagraphs below if acid etching of concrete surfaces for penetrating stains is required.</w:t>
      </w:r>
    </w:p>
    <w:p>
      <w:pPr>
        <w:pStyle w:val="PR2"/>
        <w:numPr>
          <w:ilvl w:val="5"/>
          <w:numId w:val="1"/>
        </w:numPr>
        <w:rPr/>
      </w:pPr>
      <w:r>
        <w:rPr/>
        <w:t>Apply acidic solution to dampened concrete surfaces, scrubbing with uncolored, acid-resistant nylon-bristle brushes until bubbling stops and concrete surface has texture of 120-grit sandpaper. Do not allow solution to dry on concrete surfaces. Rinse until water is clear. Control, collect, and legally dispose of runoff.</w:t>
      </w:r>
    </w:p>
    <w:p>
      <w:pPr>
        <w:pStyle w:val="CMT"/>
        <w:rPr/>
      </w:pPr>
      <w:r>
        <w:rPr/>
        <w:t>Waterborne stains are pH sensitive. Revise pH value or test method in subparagraph below to suit Project.</w:t>
      </w:r>
    </w:p>
    <w:p>
      <w:pPr>
        <w:pStyle w:val="PR2"/>
        <w:numPr>
          <w:ilvl w:val="5"/>
          <w:numId w:val="1"/>
        </w:numPr>
        <w:rPr/>
      </w:pPr>
      <w:r>
        <w:rPr/>
        <w:t>Neutralize concrete surfaces and rinse until water is clear. Test surface for residue with clean white cloth. Test surface according to ASTM F710 to ensure pH is between [</w:t>
      </w:r>
      <w:r>
        <w:rPr>
          <w:b/>
        </w:rPr>
        <w:t>7 and 8</w:t>
      </w:r>
      <w:r>
        <w:rPr/>
        <w:t>] &lt;</w:t>
      </w:r>
      <w:r>
        <w:rPr>
          <w:b/>
        </w:rPr>
        <w:t>Insert values</w:t>
      </w:r>
      <w:r>
        <w:rPr/>
        <w:t>&gt;.</w:t>
      </w:r>
    </w:p>
    <w:p>
      <w:pPr>
        <w:pStyle w:val="CMT"/>
        <w:rPr/>
      </w:pPr>
      <w:r>
        <w:rPr/>
        <w:t>Retain "Scoring" Paragraph below if scoring patterns in concrete surfaces are required. If unstained joints are required or only one color is used, score joints after staining.</w:t>
      </w:r>
    </w:p>
    <w:p>
      <w:pPr>
        <w:pStyle w:val="PR1"/>
        <w:numPr>
          <w:ilvl w:val="4"/>
          <w:numId w:val="1"/>
        </w:numPr>
        <w:rPr/>
      </w:pPr>
      <w:r>
        <w:rPr/>
        <w:t xml:space="preserve">Scoring: Score decorative jointing in concrete surfaces </w:t>
      </w:r>
      <w:r>
        <w:rPr>
          <w:rStyle w:val="IP"/>
        </w:rPr>
        <w:t>1/16 inch</w:t>
      </w:r>
      <w:r>
        <w:rPr>
          <w:rStyle w:val="SI"/>
        </w:rPr>
        <w:t xml:space="preserve"> (1.6 mm)</w:t>
      </w:r>
      <w:r>
        <w:rPr/>
        <w:t xml:space="preserve"> deep with diamond blades to match pattern indicated. Rinse until water is clear. Score [</w:t>
      </w:r>
      <w:r>
        <w:rPr>
          <w:b/>
        </w:rPr>
        <w:t>after</w:t>
      </w:r>
      <w:r>
        <w:rPr/>
        <w:t>] [</w:t>
      </w:r>
      <w:r>
        <w:rPr>
          <w:b/>
        </w:rPr>
        <w:t>before</w:t>
      </w:r>
      <w:r>
        <w:rPr/>
        <w:t>] staining.</w:t>
      </w:r>
    </w:p>
    <w:p>
      <w:pPr>
        <w:pStyle w:val="PR2"/>
        <w:numPr>
          <w:ilvl w:val="5"/>
          <w:numId w:val="1"/>
        </w:numPr>
        <w:spacing w:before="240" w:after="0"/>
        <w:rPr/>
      </w:pPr>
      <w:r>
        <w:rPr/>
        <w:t>Joint Width: [</w:t>
      </w:r>
      <w:r>
        <w:rPr>
          <w:rStyle w:val="IP"/>
          <w:b/>
        </w:rPr>
        <w:t>3/8 inch</w:t>
      </w:r>
      <w:r>
        <w:rPr>
          <w:rStyle w:val="SI"/>
          <w:b/>
        </w:rPr>
        <w:t xml:space="preserve"> (10 mm)</w:t>
      </w:r>
      <w:r>
        <w:rPr/>
        <w:t>] &lt;</w:t>
      </w:r>
      <w:r>
        <w:rPr>
          <w:b/>
        </w:rPr>
        <w:t>Insert dimension</w:t>
      </w:r>
      <w:r>
        <w:rPr/>
        <w:t>&gt;.</w:t>
      </w:r>
    </w:p>
    <w:p>
      <w:pPr>
        <w:pStyle w:val="CMT"/>
        <w:rPr/>
      </w:pPr>
      <w:r>
        <w:rPr/>
        <w:t>Retain first paragraph below with either reactive or penetrating stain.</w:t>
      </w:r>
    </w:p>
    <w:p>
      <w:pPr>
        <w:pStyle w:val="PR1"/>
        <w:numPr>
          <w:ilvl w:val="4"/>
          <w:numId w:val="1"/>
        </w:numPr>
        <w:rPr/>
      </w:pPr>
      <w:r>
        <w:rPr/>
        <w:t xml:space="preserve">Allow concrete surface to dry before applying stain. Verify readiness of concrete to receive stain according to ASTM D4263 by tightly taping </w:t>
      </w:r>
      <w:r>
        <w:rPr>
          <w:rStyle w:val="IP"/>
        </w:rPr>
        <w:t>18-by-18-inch</w:t>
      </w:r>
      <w:r>
        <w:rPr>
          <w:rStyle w:val="SI"/>
        </w:rPr>
        <w:t xml:space="preserve"> (450-by-450-mm)</w:t>
      </w:r>
      <w:r>
        <w:rPr/>
        <w:t xml:space="preserve">, </w:t>
      </w:r>
      <w:r>
        <w:rPr>
          <w:rStyle w:val="IP"/>
        </w:rPr>
        <w:t>4-mil-</w:t>
      </w:r>
      <w:r>
        <w:rPr>
          <w:rStyle w:val="SI"/>
        </w:rPr>
        <w:t xml:space="preserve"> (0.1-mm-)</w:t>
      </w:r>
      <w:r>
        <w:rPr/>
        <w:t xml:space="preserve"> thick polyethylene sheet to a representative area of concrete surface. Apply stain only if no evidence of moisture has accumulated under sheet after 16 hours.</w:t>
      </w:r>
    </w:p>
    <w:p>
      <w:pPr>
        <w:pStyle w:val="PR1"/>
        <w:numPr>
          <w:ilvl w:val="4"/>
          <w:numId w:val="1"/>
        </w:numPr>
        <w:rPr/>
      </w:pPr>
      <w:r>
        <w:rPr/>
        <w:t>Reactive Stain: Apply reactive stain to concrete surfaces according to manufacturer's written instructions and as follows:</w:t>
      </w:r>
    </w:p>
    <w:p>
      <w:pPr>
        <w:pStyle w:val="PR2"/>
        <w:numPr>
          <w:ilvl w:val="5"/>
          <w:numId w:val="1"/>
        </w:numPr>
        <w:spacing w:before="240" w:after="0"/>
        <w:rPr/>
      </w:pPr>
      <w:r>
        <w:rPr/>
        <w:t>Apply stain by uncolored bristle brush, roller, or high-volume, low-pressure sprayer and immediately scrub into concrete surface with uncolored, acid-resistant nylon-bristle brushes in continuous, circular motion. Do not spread stain after fizzing stops. Allow to dry four hours and repeat application of stain in sufficient quantity to obtain color consistent with approved mockup.</w:t>
      </w:r>
    </w:p>
    <w:p>
      <w:pPr>
        <w:pStyle w:val="PR2"/>
        <w:numPr>
          <w:ilvl w:val="5"/>
          <w:numId w:val="1"/>
        </w:numPr>
        <w:rPr/>
      </w:pPr>
      <w:r>
        <w:rPr/>
        <w:t>Remove stain residue after four hours by wet scrubbing with commercial-grade detergent recommended by stain manufacturer. Rinse until water is clear. Control, collect, and legally dispose of runoff.</w:t>
      </w:r>
    </w:p>
    <w:p>
      <w:pPr>
        <w:pStyle w:val="PR1"/>
        <w:numPr>
          <w:ilvl w:val="4"/>
          <w:numId w:val="1"/>
        </w:numPr>
        <w:rPr/>
      </w:pPr>
      <w:r>
        <w:rPr/>
        <w:t>Penetrating Stain: Apply penetrating stain to concrete surfaces according to manufacturer's written instructions and as follows:</w:t>
      </w:r>
    </w:p>
    <w:p>
      <w:pPr>
        <w:pStyle w:val="PR2"/>
        <w:numPr>
          <w:ilvl w:val="5"/>
          <w:numId w:val="1"/>
        </w:numPr>
        <w:spacing w:before="240" w:after="0"/>
        <w:rPr/>
      </w:pPr>
      <w:r>
        <w:rPr/>
        <w:t>Apply first coat of stain to dry, clean surfaces by airless sprayer or by high-volume, low-pressure sprayer.</w:t>
      </w:r>
    </w:p>
    <w:p>
      <w:pPr>
        <w:pStyle w:val="PR2"/>
        <w:numPr>
          <w:ilvl w:val="5"/>
          <w:numId w:val="1"/>
        </w:numPr>
        <w:rPr/>
      </w:pPr>
      <w:r>
        <w:rPr/>
        <w:t>Allow to dry four hours and repeat application of stain in sufficient quantity to obtain color consistent with approved mockup.</w:t>
      </w:r>
    </w:p>
    <w:p>
      <w:pPr>
        <w:pStyle w:val="PR2"/>
        <w:numPr>
          <w:ilvl w:val="5"/>
          <w:numId w:val="1"/>
        </w:numPr>
        <w:rPr/>
      </w:pPr>
      <w:r>
        <w:rPr/>
        <w:t>Rinse until water is clear. Control, collect, and legally dispose of runoff.</w:t>
      </w:r>
    </w:p>
    <w:p>
      <w:pPr>
        <w:pStyle w:val="EOS"/>
        <w:rPr/>
      </w:pPr>
      <w:r>
        <w:rPr/>
        <w:t>END OF SECTION 033543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POLISHED CONCRETE FINISHING</w:t>
          </w:r>
        </w:p>
      </w:tc>
      <w:tc>
        <w:tcPr>
          <w:tcW w:w="1872" w:type="dxa"/>
          <w:tcBorders/>
        </w:tcPr>
        <w:p>
          <w:pPr>
            <w:pStyle w:val="RJUST"/>
            <w:rPr/>
          </w:pPr>
          <w:r>
            <w:rPr>
              <w:rStyle w:val="NUM"/>
            </w:rPr>
            <w:t>033543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3543"/>
    <w:docVar w:name="MF95" w:val="03365"/>
    <w:docVar w:name="MFOrigin" w:val="MF04"/>
    <w:docVar w:name="SectionID" w:val="7635"/>
    <w:docVar w:name="SpecType" w:val="MasterSpec"/>
    <w:docVar w:name="Version" w:val="1590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3543&amp;ver=03-01-21&amp;format=FL&amp;sid=15902&amp;utm_source=MasterSpec&amp;utm_medium=Word" TargetMode="External"/><Relationship Id="rId3" Type="http://schemas.openxmlformats.org/officeDocument/2006/relationships/hyperlink" Target="http://www.productmasterspec.com/construction_specifications?mf04=033543&amp;update=ms2022_3&amp;utm_source=MasterSpec&amp;utm_medium=Word" TargetMode="External"/><Relationship Id="rId4" Type="http://schemas.openxmlformats.org/officeDocument/2006/relationships/hyperlink" Target="http://www.arcomnet.com/sustainable_design.aspx?topic=122" TargetMode="External"/><Relationship Id="rId5" Type="http://schemas.openxmlformats.org/officeDocument/2006/relationships/hyperlink" Target="http://www.specagent.com/LookUp/?ulid=5204&amp;mf=&amp;src=wd" TargetMode="External"/><Relationship Id="rId6" Type="http://schemas.openxmlformats.org/officeDocument/2006/relationships/hyperlink" Target="http://www.arcomnet.com/sustainable_design.aspx?topic=59" TargetMode="External"/><Relationship Id="rId7" Type="http://schemas.openxmlformats.org/officeDocument/2006/relationships/hyperlink" Target="http://www.specagent.com/LookUp/?ulid=5205&amp;mf=&amp;src=wd" TargetMode="External"/><Relationship Id="rId8" Type="http://schemas.openxmlformats.org/officeDocument/2006/relationships/hyperlink" Target="http://www.arcomnet.com/sustainable_design.aspx?topic=59" TargetMode="External"/><Relationship Id="rId9" Type="http://schemas.openxmlformats.org/officeDocument/2006/relationships/hyperlink" Target="http://www.specagent.com/LookUp/?ulid=11249&amp;mf=&amp;src=wd" TargetMode="External"/><Relationship Id="rId10" Type="http://schemas.openxmlformats.org/officeDocument/2006/relationships/hyperlink" Target="http://www.arcomnet.com/sustainable_design.aspx?topic=59"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POLISHED CONCRETE FINISHING</dc:subject>
  <dc:title>SECTION 033543 - POLISHED CONCRETE FINISHING</dc:title>
</cp:coreProperties>
</file>