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033816</w:t>
      </w:r>
      <w:r>
        <w:rPr/>
        <w:t xml:space="preserve"> - </w:t>
      </w:r>
      <w:r>
        <w:rPr>
          <w:rStyle w:val="NAM"/>
        </w:rPr>
        <w:t>UNBONDED POST-TENSIONED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Post-tensioning tendons and accessories, including pocket formers, bar chairs, slab bolsters, and nonprestressed reinforcement required for installing post-tensioning tendons, including the following:</w:t>
      </w:r>
    </w:p>
    <w:p>
      <w:pPr>
        <w:pStyle w:val="PR3"/>
        <w:numPr>
          <w:ilvl w:val="6"/>
          <w:numId w:val="1"/>
        </w:numPr>
        <w:spacing w:before="240" w:after="0"/>
        <w:rPr/>
      </w:pPr>
      <w:r>
        <w:rPr/>
        <w:t>Support bars.</w:t>
      </w:r>
    </w:p>
    <w:p>
      <w:pPr>
        <w:pStyle w:val="PR3"/>
        <w:numPr>
          <w:ilvl w:val="6"/>
          <w:numId w:val="1"/>
        </w:numPr>
        <w:rPr/>
      </w:pPr>
      <w:r>
        <w:rPr/>
        <w:t>Backup bars and hairpins at anchorages.</w:t>
      </w:r>
    </w:p>
    <w:p>
      <w:pPr>
        <w:pStyle w:val="PR3"/>
        <w:numPr>
          <w:ilvl w:val="6"/>
          <w:numId w:val="1"/>
        </w:numPr>
        <w:rPr/>
      </w:pPr>
      <w:r>
        <w:rPr/>
        <w:t>Hairpins at locations of horizontal curvature.</w:t>
      </w:r>
    </w:p>
    <w:p>
      <w:pPr>
        <w:pStyle w:val="PR3"/>
        <w:numPr>
          <w:ilvl w:val="6"/>
          <w:numId w:val="1"/>
        </w:numPr>
        <w:rPr/>
      </w:pPr>
      <w:r>
        <w:rPr/>
        <w:t>Supplemental reinforcement at blockouts.</w:t>
      </w:r>
    </w:p>
    <w:p>
      <w:pPr>
        <w:pStyle w:val="PR2"/>
        <w:numPr>
          <w:ilvl w:val="5"/>
          <w:numId w:val="1"/>
        </w:numPr>
        <w:spacing w:before="240" w:after="0"/>
        <w:rPr/>
      </w:pPr>
      <w:r>
        <w:rPr/>
        <w:t>Post-tensioning operations, including stressing, recording tendon elongations and gage pressures, and finishing tendons.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031000 "Concrete Forming and Accessories" for concrete formwork and nonprestressed steel reinforcement, except for nonprestressed reinforcement.</w:t>
      </w:r>
    </w:p>
    <w:p>
      <w:pPr>
        <w:pStyle w:val="PR2"/>
        <w:numPr>
          <w:ilvl w:val="5"/>
          <w:numId w:val="1"/>
        </w:numPr>
        <w:rPr/>
      </w:pPr>
      <w:r>
        <w:rPr/>
        <w:t>Section 032000 "Concrete Reinforcing" for nonprestressed steel reinforcement, except for nonprestressed reinforcement required for installing post-tensioning tendons.</w:t>
      </w:r>
    </w:p>
    <w:p>
      <w:pPr>
        <w:pStyle w:val="PR2"/>
        <w:numPr>
          <w:ilvl w:val="5"/>
          <w:numId w:val="1"/>
        </w:numPr>
        <w:rPr/>
      </w:pPr>
      <w:r>
        <w:rPr/>
        <w:t>Section 033000 "Cast-in-Place Concrete" for concrete.</w:t>
      </w:r>
    </w:p>
    <w:p>
      <w:pPr>
        <w:pStyle w:val="ART"/>
        <w:numPr>
          <w:ilvl w:val="3"/>
          <w:numId w:val="1"/>
        </w:numPr>
        <w:ind w:hanging="0" w:left="0"/>
        <w:rPr/>
      </w:pPr>
      <w:r>
        <w:rPr/>
        <w:t>DEFINITIONS</w:t>
      </w:r>
    </w:p>
    <w:p>
      <w:pPr>
        <w:pStyle w:val="CMT"/>
        <w:rPr/>
      </w:pPr>
      <w:r>
        <w:rPr/>
        <w:t>Retain terms that remain after this Section has been edited for a project. See the Evaluations for discussion of terms defined in ACI 423.7.</w:t>
      </w:r>
    </w:p>
    <w:p>
      <w:pPr>
        <w:pStyle w:val="PR1"/>
        <w:numPr>
          <w:ilvl w:val="4"/>
          <w:numId w:val="1"/>
        </w:numPr>
        <w:rPr/>
      </w:pPr>
      <w:r>
        <w:rPr/>
        <w:t>Strand Tail: Excess strand length extending past the anchorage device.</w:t>
      </w:r>
    </w:p>
    <w:p>
      <w:pPr>
        <w:pStyle w:val="PR1"/>
        <w:numPr>
          <w:ilvl w:val="4"/>
          <w:numId w:val="1"/>
        </w:numPr>
        <w:rPr/>
      </w:pPr>
      <w:r>
        <w:rPr/>
        <w:t>Stressing Pocket: Void formed by pocket former at stressing-end anchorage that provides required cover over wedges and strand tail.</w:t>
      </w:r>
    </w:p>
    <w:p>
      <w:pPr>
        <w:pStyle w:val="PR1"/>
        <w:numPr>
          <w:ilvl w:val="4"/>
          <w:numId w:val="1"/>
        </w:numPr>
        <w:rPr/>
      </w:pPr>
      <w:r>
        <w:rPr/>
        <w:t>Wedge Cavity: Cone-shaped hole in anchorage device designed to hold the wedges that anchor the strand.</w:t>
      </w:r>
    </w:p>
    <w:p>
      <w:pPr>
        <w:pStyle w:val="ART"/>
        <w:numPr>
          <w:ilvl w:val="3"/>
          <w:numId w:val="1"/>
        </w:numPr>
        <w:ind w:hanging="0" w:left="0"/>
        <w:rPr/>
      </w:pPr>
      <w:r>
        <w:rPr/>
        <w:t>COORDINATION</w:t>
      </w:r>
    </w:p>
    <w:p>
      <w:pPr>
        <w:pStyle w:val="CMT"/>
        <w:rPr/>
      </w:pPr>
      <w:r>
        <w:rPr/>
        <w:t>Revise "Attachments and Penetrations" Paragraph to suit Project.</w:t>
      </w:r>
    </w:p>
    <w:p>
      <w:pPr>
        <w:pStyle w:val="PR1"/>
        <w:numPr>
          <w:ilvl w:val="4"/>
          <w:numId w:val="1"/>
        </w:numPr>
        <w:rPr/>
      </w:pPr>
      <w:r>
        <w:rPr/>
        <w:t>Attachments and Penetrations:</w:t>
      </w:r>
    </w:p>
    <w:p>
      <w:pPr>
        <w:pStyle w:val="PR2"/>
        <w:numPr>
          <w:ilvl w:val="5"/>
          <w:numId w:val="1"/>
        </w:numPr>
        <w:spacing w:before="240" w:after="0"/>
        <w:rPr/>
      </w:pPr>
      <w:r>
        <w:rPr/>
        <w:t>Attach permanent construction, such as curtain-wall systems, handrails, fire-protection equipment, lights, and security devices to the post-tensioned slab using embedded anchors.</w:t>
      </w:r>
    </w:p>
    <w:p>
      <w:pPr>
        <w:pStyle w:val="PR2"/>
        <w:numPr>
          <w:ilvl w:val="5"/>
          <w:numId w:val="1"/>
        </w:numPr>
        <w:rPr/>
      </w:pPr>
      <w:r>
        <w:rPr/>
        <w:t>Drilled anchors, power-driven fasteners, and core drilling for sleeves or other penetrations are not allowed unless authorized in writing by Architect.</w:t>
      </w:r>
    </w:p>
    <w:p>
      <w:pPr>
        <w:pStyle w:val="PR2"/>
        <w:numPr>
          <w:ilvl w:val="5"/>
          <w:numId w:val="1"/>
        </w:numPr>
        <w:rPr/>
      </w:pPr>
      <w:r>
        <w:rPr/>
        <w:t>Form penetrations within [</w:t>
      </w:r>
      <w:r>
        <w:rPr>
          <w:rStyle w:val="IP"/>
          <w:b/>
        </w:rPr>
        <w:t>18 inches</w:t>
      </w:r>
      <w:r>
        <w:rPr>
          <w:rStyle w:val="SI"/>
          <w:b/>
        </w:rPr>
        <w:t xml:space="preserve"> (460 mm)</w:t>
      </w:r>
      <w:r>
        <w:rPr/>
        <w:t>] &lt;</w:t>
      </w:r>
      <w:r>
        <w:rPr>
          <w:b/>
        </w:rPr>
        <w:t>Insert dimension</w:t>
      </w:r>
      <w:r>
        <w:rPr/>
        <w:t>&gt; of an anchorage with ASTM A53/A53M, Schedule 40 steel pipe.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procedures related to installation and stressing of post-tensioning tendons, including, but not limited to, the following:</w:t>
      </w:r>
    </w:p>
    <w:p>
      <w:pPr>
        <w:pStyle w:val="PR3"/>
        <w:numPr>
          <w:ilvl w:val="6"/>
          <w:numId w:val="1"/>
        </w:numPr>
        <w:spacing w:before="240" w:after="0"/>
        <w:rPr/>
      </w:pPr>
      <w:r>
        <w:rPr/>
        <w:t>Construction schedule and availability of materials, personnel, and equipment needed to make progress and avoid delays.</w:t>
      </w:r>
    </w:p>
    <w:p>
      <w:pPr>
        <w:pStyle w:val="PR3"/>
        <w:numPr>
          <w:ilvl w:val="6"/>
          <w:numId w:val="1"/>
        </w:numPr>
        <w:rPr/>
      </w:pPr>
      <w:r>
        <w:rPr/>
        <w:t>Storage of post-tensioning materials on-site.</w:t>
      </w:r>
    </w:p>
    <w:p>
      <w:pPr>
        <w:pStyle w:val="PR3"/>
        <w:numPr>
          <w:ilvl w:val="6"/>
          <w:numId w:val="1"/>
        </w:numPr>
        <w:rPr/>
      </w:pPr>
      <w:r>
        <w:rPr/>
        <w:t>Structural load limitations.</w:t>
      </w:r>
    </w:p>
    <w:p>
      <w:pPr>
        <w:pStyle w:val="PR3"/>
        <w:numPr>
          <w:ilvl w:val="6"/>
          <w:numId w:val="1"/>
        </w:numPr>
        <w:rPr/>
      </w:pPr>
      <w:r>
        <w:rPr/>
        <w:t>Coordination of post-tensioning installation drawings and nonprestressed reinforcing steel placing drawings.</w:t>
      </w:r>
    </w:p>
    <w:p>
      <w:pPr>
        <w:pStyle w:val="PR3"/>
        <w:numPr>
          <w:ilvl w:val="6"/>
          <w:numId w:val="1"/>
        </w:numPr>
        <w:rPr/>
      </w:pPr>
      <w:r>
        <w:rPr/>
        <w:t>Horizontal and vertical tolerances on tendons and nonprestressed reinforcement placement.</w:t>
      </w:r>
    </w:p>
    <w:p>
      <w:pPr>
        <w:pStyle w:val="PR3"/>
        <w:numPr>
          <w:ilvl w:val="6"/>
          <w:numId w:val="1"/>
        </w:numPr>
        <w:rPr/>
      </w:pPr>
      <w:r>
        <w:rPr/>
        <w:t>Marking and measuring of elongations.</w:t>
      </w:r>
    </w:p>
    <w:p>
      <w:pPr>
        <w:pStyle w:val="PR3"/>
        <w:numPr>
          <w:ilvl w:val="6"/>
          <w:numId w:val="1"/>
        </w:numPr>
        <w:rPr/>
      </w:pPr>
      <w:r>
        <w:rPr/>
        <w:t>Submittal of stressing records and requirements for tendon finishing.</w:t>
      </w:r>
    </w:p>
    <w:p>
      <w:pPr>
        <w:pStyle w:val="PR3"/>
        <w:numPr>
          <w:ilvl w:val="6"/>
          <w:numId w:val="1"/>
        </w:numPr>
        <w:rPr/>
      </w:pPr>
      <w:r>
        <w:rPr/>
        <w:t>Removal of formwork.</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Post-tensioning coating.</w:t>
      </w:r>
    </w:p>
    <w:p>
      <w:pPr>
        <w:pStyle w:val="PR2"/>
        <w:numPr>
          <w:ilvl w:val="5"/>
          <w:numId w:val="1"/>
        </w:numPr>
        <w:rPr/>
      </w:pPr>
      <w:r>
        <w:rPr/>
        <w:t>Tendon sheathing.</w:t>
      </w:r>
    </w:p>
    <w:p>
      <w:pPr>
        <w:pStyle w:val="PR2"/>
        <w:numPr>
          <w:ilvl w:val="5"/>
          <w:numId w:val="1"/>
        </w:numPr>
        <w:rPr/>
      </w:pPr>
      <w:r>
        <w:rPr/>
        <w:t>Anchorage devices.</w:t>
      </w:r>
    </w:p>
    <w:p>
      <w:pPr>
        <w:pStyle w:val="PR2"/>
        <w:numPr>
          <w:ilvl w:val="5"/>
          <w:numId w:val="1"/>
        </w:numPr>
        <w:rPr/>
      </w:pPr>
      <w:r>
        <w:rPr/>
        <w:t>Tendon couplers.</w:t>
      </w:r>
    </w:p>
    <w:p>
      <w:pPr>
        <w:pStyle w:val="PR2"/>
        <w:numPr>
          <w:ilvl w:val="5"/>
          <w:numId w:val="1"/>
        </w:numPr>
        <w:rPr/>
      </w:pPr>
      <w:r>
        <w:rPr/>
        <w:t>Bar and tendon supports.</w:t>
      </w:r>
    </w:p>
    <w:p>
      <w:pPr>
        <w:pStyle w:val="PR2"/>
        <w:numPr>
          <w:ilvl w:val="5"/>
          <w:numId w:val="1"/>
        </w:numPr>
        <w:rPr/>
      </w:pPr>
      <w:r>
        <w:rPr/>
        <w:t>Pocket formers.</w:t>
      </w:r>
    </w:p>
    <w:p>
      <w:pPr>
        <w:pStyle w:val="PR2"/>
        <w:numPr>
          <w:ilvl w:val="5"/>
          <w:numId w:val="1"/>
        </w:numPr>
        <w:rPr/>
      </w:pPr>
      <w:r>
        <w:rPr/>
        <w:t>Sheathing repair tape.</w:t>
      </w:r>
    </w:p>
    <w:p>
      <w:pPr>
        <w:pStyle w:val="PR2"/>
        <w:numPr>
          <w:ilvl w:val="5"/>
          <w:numId w:val="1"/>
        </w:numPr>
        <w:rPr/>
      </w:pPr>
      <w:r>
        <w:rPr/>
        <w:t>Stressing-pocket patching material.</w:t>
      </w:r>
    </w:p>
    <w:p>
      <w:pPr>
        <w:pStyle w:val="CMT"/>
        <w:rPr/>
      </w:pPr>
      <w:r>
        <w:rPr/>
        <w:t>Retain subparagraph below if specifying an encapsulated system for part or all of structure.</w:t>
      </w:r>
    </w:p>
    <w:p>
      <w:pPr>
        <w:pStyle w:val="PR2"/>
        <w:numPr>
          <w:ilvl w:val="5"/>
          <w:numId w:val="1"/>
        </w:numPr>
        <w:rPr/>
      </w:pPr>
      <w:r>
        <w:rPr/>
        <w:t>Encapsulation system.</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1"/>
        <w:numPr>
          <w:ilvl w:val="4"/>
          <w:numId w:val="1"/>
        </w:numPr>
        <w:rPr/>
      </w:pPr>
      <w:r>
        <w:rPr/>
        <w:t>Shop Drawings: Prepared by or under the supervision of a qualified professional engineer, detailing tendon layout, installation procedures, and the following:</w:t>
      </w:r>
    </w:p>
    <w:p>
      <w:pPr>
        <w:pStyle w:val="PR2"/>
        <w:numPr>
          <w:ilvl w:val="5"/>
          <w:numId w:val="1"/>
        </w:numPr>
        <w:spacing w:before="240" w:after="0"/>
        <w:rPr/>
      </w:pPr>
      <w:r>
        <w:rPr/>
        <w:t>Installation drawings, including plans, elevations, sections, and details.</w:t>
      </w:r>
    </w:p>
    <w:p>
      <w:pPr>
        <w:pStyle w:val="PR2"/>
        <w:numPr>
          <w:ilvl w:val="5"/>
          <w:numId w:val="1"/>
        </w:numPr>
        <w:rPr/>
      </w:pPr>
      <w:r>
        <w:rPr/>
        <w:t>Numbers, arrangement, and designation of post-tensioning tendons.</w:t>
      </w:r>
    </w:p>
    <w:p>
      <w:pPr>
        <w:pStyle w:val="PR2"/>
        <w:numPr>
          <w:ilvl w:val="5"/>
          <w:numId w:val="1"/>
        </w:numPr>
        <w:rPr/>
      </w:pPr>
      <w:r>
        <w:rPr/>
        <w:t>Tendon profiles and method of tendon support, including chair heights and locations. Show tendon profiles at sufficient scale to clearly indicate all support points with their associated heights.</w:t>
      </w:r>
    </w:p>
    <w:p>
      <w:pPr>
        <w:pStyle w:val="PR2"/>
        <w:numPr>
          <w:ilvl w:val="5"/>
          <w:numId w:val="1"/>
        </w:numPr>
        <w:rPr/>
      </w:pPr>
      <w:r>
        <w:rPr/>
        <w:t>Details for horizontal curvature around openings and at anchorages.</w:t>
      </w:r>
    </w:p>
    <w:p>
      <w:pPr>
        <w:pStyle w:val="PR2"/>
        <w:numPr>
          <w:ilvl w:val="5"/>
          <w:numId w:val="1"/>
        </w:numPr>
        <w:rPr/>
      </w:pPr>
      <w:r>
        <w:rPr/>
        <w:t>Locations of anchorages and blockouts required for stressing.</w:t>
      </w:r>
    </w:p>
    <w:p>
      <w:pPr>
        <w:pStyle w:val="PR2"/>
        <w:numPr>
          <w:ilvl w:val="5"/>
          <w:numId w:val="1"/>
        </w:numPr>
        <w:rPr/>
      </w:pPr>
      <w:r>
        <w:rPr/>
        <w:t>Anchorage details, including bundled tendon flaring.</w:t>
      </w:r>
    </w:p>
    <w:p>
      <w:pPr>
        <w:pStyle w:val="PR2"/>
        <w:numPr>
          <w:ilvl w:val="5"/>
          <w:numId w:val="1"/>
        </w:numPr>
        <w:rPr/>
      </w:pPr>
      <w:r>
        <w:rPr/>
        <w:t>Tendon clearances around slab openings and penetrations.</w:t>
      </w:r>
    </w:p>
    <w:p>
      <w:pPr>
        <w:pStyle w:val="PR2"/>
        <w:numPr>
          <w:ilvl w:val="5"/>
          <w:numId w:val="1"/>
        </w:numPr>
        <w:rPr/>
      </w:pPr>
      <w:r>
        <w:rPr/>
        <w:t>Construction joint locations and pour sequence.</w:t>
      </w:r>
    </w:p>
    <w:p>
      <w:pPr>
        <w:pStyle w:val="PR2"/>
        <w:numPr>
          <w:ilvl w:val="5"/>
          <w:numId w:val="1"/>
        </w:numPr>
        <w:rPr/>
      </w:pPr>
      <w:r>
        <w:rPr/>
        <w:t>Details for corners and other locations where tendon layouts may conflict with one another or with nonprestressed reinforcing steel.</w:t>
      </w:r>
    </w:p>
    <w:p>
      <w:pPr>
        <w:pStyle w:val="PR2"/>
        <w:numPr>
          <w:ilvl w:val="5"/>
          <w:numId w:val="1"/>
        </w:numPr>
        <w:rPr/>
      </w:pPr>
      <w:r>
        <w:rPr/>
        <w:t>Locations of nonprestressed reinforcement required for installing post-tensioning tendons, including, but not limited to, the following:</w:t>
      </w:r>
    </w:p>
    <w:p>
      <w:pPr>
        <w:pStyle w:val="PR3"/>
        <w:numPr>
          <w:ilvl w:val="6"/>
          <w:numId w:val="1"/>
        </w:numPr>
        <w:spacing w:before="240" w:after="0"/>
        <w:rPr/>
      </w:pPr>
      <w:r>
        <w:rPr/>
        <w:t>Support bars.</w:t>
      </w:r>
    </w:p>
    <w:p>
      <w:pPr>
        <w:pStyle w:val="PR3"/>
        <w:numPr>
          <w:ilvl w:val="6"/>
          <w:numId w:val="1"/>
        </w:numPr>
        <w:rPr/>
      </w:pPr>
      <w:r>
        <w:rPr/>
        <w:t>Backup bars and hairpins at anchorages.</w:t>
      </w:r>
    </w:p>
    <w:p>
      <w:pPr>
        <w:pStyle w:val="PR3"/>
        <w:numPr>
          <w:ilvl w:val="6"/>
          <w:numId w:val="1"/>
        </w:numPr>
        <w:rPr/>
      </w:pPr>
      <w:r>
        <w:rPr/>
        <w:t>Hairpins at locations of horizontal curvature.</w:t>
      </w:r>
    </w:p>
    <w:p>
      <w:pPr>
        <w:pStyle w:val="PR3"/>
        <w:numPr>
          <w:ilvl w:val="6"/>
          <w:numId w:val="1"/>
        </w:numPr>
        <w:rPr/>
      </w:pPr>
      <w:r>
        <w:rPr/>
        <w:t>Supplemental reinforcement at blockouts.</w:t>
      </w:r>
    </w:p>
    <w:p>
      <w:pPr>
        <w:pStyle w:val="PR2"/>
        <w:numPr>
          <w:ilvl w:val="5"/>
          <w:numId w:val="1"/>
        </w:numPr>
        <w:spacing w:before="240" w:after="0"/>
        <w:rPr/>
      </w:pPr>
      <w:r>
        <w:rPr/>
        <w:t>Stressing procedures and jacking force to result in final effective forces used in determining number of tendons required.</w:t>
      </w:r>
    </w:p>
    <w:p>
      <w:pPr>
        <w:pStyle w:val="PR2"/>
        <w:numPr>
          <w:ilvl w:val="5"/>
          <w:numId w:val="1"/>
        </w:numPr>
        <w:rPr/>
      </w:pPr>
      <w:r>
        <w:rPr/>
        <w:t>Calculated elongations for each tendon.</w:t>
      </w:r>
    </w:p>
    <w:p>
      <w:pPr>
        <w:pStyle w:val="PR1"/>
        <w:numPr>
          <w:ilvl w:val="4"/>
          <w:numId w:val="1"/>
        </w:numPr>
        <w:rPr/>
      </w:pPr>
      <w:r>
        <w:rPr/>
        <w:t>Samples: For the following products:</w:t>
      </w:r>
    </w:p>
    <w:p>
      <w:pPr>
        <w:pStyle w:val="PR2"/>
        <w:numPr>
          <w:ilvl w:val="5"/>
          <w:numId w:val="1"/>
        </w:numPr>
        <w:spacing w:before="240" w:after="0"/>
        <w:rPr/>
      </w:pPr>
      <w:r>
        <w:rPr/>
        <w:t xml:space="preserve">Anchorages with </w:t>
      </w:r>
      <w:r>
        <w:rPr>
          <w:rStyle w:val="IP"/>
        </w:rPr>
        <w:t>24 inches</w:t>
      </w:r>
      <w:r>
        <w:rPr>
          <w:rStyle w:val="SI"/>
        </w:rPr>
        <w:t xml:space="preserve"> (610 mm)</w:t>
      </w:r>
      <w:r>
        <w:rPr/>
        <w:t xml:space="preserve"> of coated, sheathed strand.</w:t>
      </w:r>
    </w:p>
    <w:p>
      <w:pPr>
        <w:pStyle w:val="PR2"/>
        <w:numPr>
          <w:ilvl w:val="5"/>
          <w:numId w:val="1"/>
        </w:numPr>
        <w:rPr/>
      </w:pPr>
      <w:r>
        <w:rPr/>
        <w:t xml:space="preserve">Couplers with </w:t>
      </w:r>
      <w:r>
        <w:rPr>
          <w:rStyle w:val="IP"/>
        </w:rPr>
        <w:t>24 inches</w:t>
      </w:r>
      <w:r>
        <w:rPr>
          <w:rStyle w:val="SI"/>
        </w:rPr>
        <w:t xml:space="preserve"> (610 mm)</w:t>
      </w:r>
      <w:r>
        <w:rPr/>
        <w:t xml:space="preserve"> of coated, sheathed strand.</w:t>
      </w:r>
    </w:p>
    <w:p>
      <w:pPr>
        <w:pStyle w:val="CMT"/>
        <w:rPr/>
      </w:pPr>
      <w:r>
        <w:rPr/>
        <w:t>Retain subparagraph below if specifying an encapsulated system.</w:t>
      </w:r>
    </w:p>
    <w:p>
      <w:pPr>
        <w:pStyle w:val="PR2"/>
        <w:numPr>
          <w:ilvl w:val="5"/>
          <w:numId w:val="1"/>
        </w:numPr>
        <w:rPr/>
      </w:pPr>
      <w:r>
        <w:rPr/>
        <w:t>Components of the encapsulation system, unassembled and clearly identified.</w:t>
      </w:r>
    </w:p>
    <w:p>
      <w:pPr>
        <w:pStyle w:val="CMT"/>
        <w:rPr/>
      </w:pPr>
      <w:r>
        <w:rPr/>
        <w:t>Retain "Delegated Design Submittal" Paragraph below if design services have been delegated to Contractor.</w:t>
      </w:r>
    </w:p>
    <w:p>
      <w:pPr>
        <w:pStyle w:val="PR1"/>
        <w:numPr>
          <w:ilvl w:val="4"/>
          <w:numId w:val="1"/>
        </w:numPr>
        <w:rPr/>
      </w:pPr>
      <w:r>
        <w:rPr/>
        <w:t>Delegated Design Submittal: For post-tensioning system.</w:t>
      </w:r>
    </w:p>
    <w:p>
      <w:pPr>
        <w:pStyle w:val="PR2"/>
        <w:numPr>
          <w:ilvl w:val="5"/>
          <w:numId w:val="1"/>
        </w:numPr>
        <w:spacing w:before="240" w:after="0"/>
        <w:rPr/>
      </w:pPr>
      <w:r>
        <w:rPr/>
        <w:t>Include sealed design calculations prepared by a qualified structural engineer indicating method of elongation calculation, including values used for friction coefficients, anchorage seating loss, elastic shortening, creep, relaxation, and shrinkage.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testing agency</w:t>
      </w:r>
      <w:r>
        <w:rPr/>
        <w:t>]. Include resume of individual supervising installation and stressing of post-tensioning tendons.</w:t>
      </w:r>
    </w:p>
    <w:p>
      <w:pPr>
        <w:pStyle w:val="PR1"/>
        <w:numPr>
          <w:ilvl w:val="4"/>
          <w:numId w:val="1"/>
        </w:numPr>
        <w:rPr/>
      </w:pPr>
      <w:r>
        <w:rPr/>
        <w:t>Evaluation Reports: For each type of anchorage device and coupler, from ICC-ES:</w:t>
      </w:r>
    </w:p>
    <w:p>
      <w:pPr>
        <w:pStyle w:val="CMT"/>
        <w:rPr/>
      </w:pPr>
      <w:r>
        <w:rPr/>
        <w:t>Retain "Product Certificates" Paragraph below to require submittal of product certificates from manufacturers if specifying an encapsulated system.</w:t>
      </w:r>
    </w:p>
    <w:p>
      <w:pPr>
        <w:pStyle w:val="PR1"/>
        <w:numPr>
          <w:ilvl w:val="4"/>
          <w:numId w:val="1"/>
        </w:numPr>
        <w:rPr/>
      </w:pPr>
      <w:r>
        <w:rPr/>
        <w:t>Product Certificates: For each type of encapsulation system.</w:t>
      </w:r>
    </w:p>
    <w:p>
      <w:pPr>
        <w:pStyle w:val="PR1"/>
        <w:numPr>
          <w:ilvl w:val="4"/>
          <w:numId w:val="1"/>
        </w:numPr>
        <w:rPr/>
      </w:pPr>
      <w:r>
        <w:rPr/>
        <w:t>Mill Test Reports: Certified mill test reports for prestressing strand used on Project, indicating that strand is low relaxation and including the following:</w:t>
      </w:r>
    </w:p>
    <w:p>
      <w:pPr>
        <w:pStyle w:val="PR2"/>
        <w:numPr>
          <w:ilvl w:val="5"/>
          <w:numId w:val="1"/>
        </w:numPr>
        <w:spacing w:before="240" w:after="0"/>
        <w:rPr/>
      </w:pPr>
      <w:r>
        <w:rPr/>
        <w:t>Coil numbers or identification.</w:t>
      </w:r>
    </w:p>
    <w:p>
      <w:pPr>
        <w:pStyle w:val="CMT"/>
        <w:rPr/>
      </w:pPr>
      <w:r>
        <w:rPr/>
        <w:t>The breaking load (breaking strength) shown on the mill test report is the equivalent tensile strength of the strand. ACI 423.7 refers to this value as the tensile strength of the strand.</w:t>
      </w:r>
    </w:p>
    <w:p>
      <w:pPr>
        <w:pStyle w:val="PR2"/>
        <w:numPr>
          <w:ilvl w:val="5"/>
          <w:numId w:val="1"/>
        </w:numPr>
        <w:rPr/>
      </w:pPr>
      <w:r>
        <w:rPr/>
        <w:t>Breaking load.</w:t>
      </w:r>
    </w:p>
    <w:p>
      <w:pPr>
        <w:pStyle w:val="PR2"/>
        <w:numPr>
          <w:ilvl w:val="5"/>
          <w:numId w:val="1"/>
        </w:numPr>
        <w:rPr/>
      </w:pPr>
      <w:r>
        <w:rPr/>
        <w:t>Load at 1 percent extension.</w:t>
      </w:r>
    </w:p>
    <w:p>
      <w:pPr>
        <w:pStyle w:val="PR2"/>
        <w:numPr>
          <w:ilvl w:val="5"/>
          <w:numId w:val="1"/>
        </w:numPr>
        <w:rPr/>
      </w:pPr>
      <w:r>
        <w:rPr/>
        <w:t>Elongation at failure.</w:t>
      </w:r>
    </w:p>
    <w:p>
      <w:pPr>
        <w:pStyle w:val="PR2"/>
        <w:numPr>
          <w:ilvl w:val="5"/>
          <w:numId w:val="1"/>
        </w:numPr>
        <w:rPr/>
      </w:pPr>
      <w:r>
        <w:rPr/>
        <w:t>Modulus of elasticity.</w:t>
      </w:r>
    </w:p>
    <w:p>
      <w:pPr>
        <w:pStyle w:val="PR2"/>
        <w:numPr>
          <w:ilvl w:val="5"/>
          <w:numId w:val="1"/>
        </w:numPr>
        <w:rPr/>
      </w:pPr>
      <w:r>
        <w:rPr/>
        <w:t>Diameter and net area of strand.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Procedures Statement: Procedures for cutting excess strand tail and patching stressing pocket.</w:t>
      </w:r>
    </w:p>
    <w:p>
      <w:pPr>
        <w:pStyle w:val="PR1"/>
        <w:numPr>
          <w:ilvl w:val="4"/>
          <w:numId w:val="1"/>
        </w:numPr>
        <w:rPr/>
      </w:pPr>
      <w:r>
        <w:rPr/>
        <w:t>Stressing Jack Calibration: Calibration certificates for jacks and gages to be used on Project. Calibrate each jack-and-gage set as a pair.</w:t>
      </w:r>
    </w:p>
    <w:p>
      <w:pPr>
        <w:pStyle w:val="PR1"/>
        <w:numPr>
          <w:ilvl w:val="4"/>
          <w:numId w:val="1"/>
        </w:numPr>
        <w:rPr/>
      </w:pPr>
      <w:r>
        <w:rPr/>
        <w:t>Stressing Records: Submit the same day as stressing operations.</w:t>
      </w:r>
    </w:p>
    <w:p>
      <w:pPr>
        <w:pStyle w:val="ART"/>
        <w:numPr>
          <w:ilvl w:val="3"/>
          <w:numId w:val="1"/>
        </w:numPr>
        <w:ind w:hanging="0" w:left="0"/>
        <w:rPr/>
      </w:pPr>
      <w:r>
        <w:rPr/>
        <w:t>QUALITY ASSURANCE</w:t>
      </w:r>
    </w:p>
    <w:p>
      <w:pPr>
        <w:pStyle w:val="PR1"/>
        <w:numPr>
          <w:ilvl w:val="4"/>
          <w:numId w:val="1"/>
        </w:numPr>
        <w:rPr/>
      </w:pPr>
      <w:r>
        <w:rPr/>
        <w:t>Manufacturer Qualifications: Fabricating plant certified by PTI according to procedures set forth in PTI's "Manual for Certification of Plants Producing Unbonded Single Strand Tendons."</w:t>
      </w:r>
    </w:p>
    <w:p>
      <w:pPr>
        <w:pStyle w:val="PR1"/>
        <w:numPr>
          <w:ilvl w:val="4"/>
          <w:numId w:val="1"/>
        </w:numPr>
        <w:rPr/>
      </w:pPr>
      <w:r>
        <w:rPr/>
        <w:t>Installer Qualifications: A qualified installer whose full-time Project superintendent has successfully completed PTI's Level 1 - Field Fundamentals course or has equivalent verifiable experience and knowledge acceptable to Architect.</w:t>
      </w:r>
    </w:p>
    <w:p>
      <w:pPr>
        <w:pStyle w:val="PR2"/>
        <w:numPr>
          <w:ilvl w:val="5"/>
          <w:numId w:val="1"/>
        </w:numPr>
        <w:spacing w:before="240" w:after="0"/>
        <w:rPr/>
      </w:pPr>
      <w:r>
        <w:rPr/>
        <w:t>Superintendent to be trained by post-tensioning supplier in the operation of stressing equipment to be used on Project.</w:t>
      </w:r>
    </w:p>
    <w:p>
      <w:pPr>
        <w:pStyle w:val="CMT"/>
        <w:rPr/>
      </w:pPr>
      <w:r>
        <w:rPr/>
        <w:t>Retain "Testing Agency Qualifications" Paragraph below if Contractor or manufacturer selects testing agency or if Contractor is required to provide services of a qualified testing agency in "Field Quality Control" Article.</w:t>
      </w:r>
    </w:p>
    <w:p>
      <w:pPr>
        <w:pStyle w:val="PR1"/>
        <w:numPr>
          <w:ilvl w:val="4"/>
          <w:numId w:val="1"/>
        </w:numPr>
        <w:rPr/>
      </w:pPr>
      <w:r>
        <w:rPr/>
        <w:t>Testing Agency Qualifications: Qualified according to ASTM E329 for testing indicated.</w:t>
      </w:r>
    </w:p>
    <w:p>
      <w:pPr>
        <w:pStyle w:val="PR2"/>
        <w:numPr>
          <w:ilvl w:val="5"/>
          <w:numId w:val="1"/>
        </w:numPr>
        <w:spacing w:before="240" w:after="0"/>
        <w:rPr/>
      </w:pPr>
      <w:r>
        <w:rPr/>
        <w:t>Testing Agency Inspector: Personnel performing field inspections and measuring elongations to have successfully completed PTI's Level 1 - Field Fundamentals course or to have equivalent verifiable experience and knowledge acceptable to Architect.</w:t>
      </w:r>
    </w:p>
    <w:p>
      <w:pPr>
        <w:pStyle w:val="ART"/>
        <w:numPr>
          <w:ilvl w:val="3"/>
          <w:numId w:val="1"/>
        </w:numPr>
        <w:ind w:hanging="0" w:left="0"/>
        <w:rPr/>
      </w:pPr>
      <w:r>
        <w:rPr/>
        <w:t>DELIVERY, STORAGE, AND HANDLING</w:t>
      </w:r>
    </w:p>
    <w:p>
      <w:pPr>
        <w:pStyle w:val="PR1"/>
        <w:numPr>
          <w:ilvl w:val="4"/>
          <w:numId w:val="1"/>
        </w:numPr>
        <w:rPr/>
      </w:pPr>
      <w:r>
        <w:rPr/>
        <w:t>Deliver, store, and handle post-tensioning materials according to PTI's "Field Procedures Manual for Unbonded Single Strand Tendons."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post-tensioning materials and equipment from single source.</w:t>
      </w:r>
    </w:p>
    <w:p>
      <w:pPr>
        <w:pStyle w:val="PR2"/>
        <w:numPr>
          <w:ilvl w:val="5"/>
          <w:numId w:val="1"/>
        </w:numPr>
        <w:spacing w:before="240" w:after="0"/>
        <w:rPr/>
      </w:pPr>
      <w:r>
        <w:rPr/>
        <w:t>Stressing jacks not provided by post-tensioning supplier must be calibrated and approved for use on Project by post-tensioning supplier.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post-tensioned reinforcement.</w:t>
      </w:r>
    </w:p>
    <w:p>
      <w:pPr>
        <w:pStyle w:val="PR1"/>
        <w:numPr>
          <w:ilvl w:val="4"/>
          <w:numId w:val="1"/>
        </w:numPr>
        <w:rPr/>
      </w:pPr>
      <w:r>
        <w:rPr/>
        <w:t>Design structure to withstand the loads indicated according to governing codes, within limits and under conditions indicated.</w:t>
      </w:r>
    </w:p>
    <w:p>
      <w:pPr>
        <w:pStyle w:val="CMT"/>
        <w:rPr/>
      </w:pPr>
      <w:r>
        <w:rPr/>
        <w:t>Revise "Average Precompression" Paragraph below if more stringent stress limits are required.</w:t>
      </w:r>
    </w:p>
    <w:p>
      <w:pPr>
        <w:pStyle w:val="PR1"/>
        <w:numPr>
          <w:ilvl w:val="4"/>
          <w:numId w:val="1"/>
        </w:numPr>
        <w:rPr/>
      </w:pPr>
      <w:r>
        <w:rPr/>
        <w:t>Average Precompression:</w:t>
      </w:r>
    </w:p>
    <w:p>
      <w:pPr>
        <w:pStyle w:val="PR2"/>
        <w:numPr>
          <w:ilvl w:val="5"/>
          <w:numId w:val="1"/>
        </w:numPr>
        <w:spacing w:before="240" w:after="0"/>
        <w:rPr/>
      </w:pPr>
      <w:r>
        <w:rPr/>
        <w:t>Minimum Average Slab Precompression: [</w:t>
      </w:r>
      <w:r>
        <w:rPr>
          <w:rStyle w:val="IP"/>
          <w:b/>
        </w:rPr>
        <w:t>125 psi</w:t>
      </w:r>
      <w:r>
        <w:rPr>
          <w:rStyle w:val="SI"/>
          <w:b/>
        </w:rPr>
        <w:t xml:space="preserve"> (0.86 MPa)</w:t>
      </w:r>
      <w:r>
        <w:rPr/>
        <w:t>] [</w:t>
      </w:r>
      <w:r>
        <w:rPr>
          <w:rStyle w:val="IP"/>
          <w:b/>
        </w:rPr>
        <w:t>200 psi</w:t>
      </w:r>
      <w:r>
        <w:rPr>
          <w:rStyle w:val="SI"/>
          <w:b/>
        </w:rPr>
        <w:t xml:space="preserve"> (1.4 MPa)</w:t>
      </w:r>
      <w:r>
        <w:rPr/>
        <w:t>] &lt;</w:t>
      </w:r>
      <w:r>
        <w:rPr>
          <w:b/>
        </w:rPr>
        <w:t>Insert value</w:t>
      </w:r>
      <w:r>
        <w:rPr/>
        <w:t>&gt;.</w:t>
      </w:r>
    </w:p>
    <w:p>
      <w:pPr>
        <w:pStyle w:val="PR2"/>
        <w:numPr>
          <w:ilvl w:val="5"/>
          <w:numId w:val="1"/>
        </w:numPr>
        <w:rPr/>
      </w:pPr>
      <w:r>
        <w:rPr/>
        <w:t>Maximum Average Slab Precompression: [</w:t>
      </w:r>
      <w:r>
        <w:rPr>
          <w:rStyle w:val="IP"/>
          <w:b/>
        </w:rPr>
        <w:t>300 psi</w:t>
      </w:r>
      <w:r>
        <w:rPr>
          <w:rStyle w:val="SI"/>
          <w:b/>
        </w:rPr>
        <w:t xml:space="preserve"> (2.1 MPa)</w:t>
      </w:r>
      <w:r>
        <w:rPr/>
        <w:t>] [</w:t>
      </w:r>
      <w:r>
        <w:rPr>
          <w:rStyle w:val="IP"/>
          <w:b/>
        </w:rPr>
        <w:t>500 psi</w:t>
      </w:r>
      <w:r>
        <w:rPr>
          <w:rStyle w:val="SI"/>
          <w:b/>
        </w:rPr>
        <w:t xml:space="preserve"> (3.4 MPa)</w:t>
      </w:r>
      <w:r>
        <w:rPr/>
        <w:t>] &lt;</w:t>
      </w:r>
      <w:r>
        <w:rPr>
          <w:b/>
        </w:rPr>
        <w:t>Insert value</w:t>
      </w:r>
      <w:r>
        <w:rPr/>
        <w:t>&gt;.</w:t>
      </w:r>
    </w:p>
    <w:p>
      <w:pPr>
        <w:pStyle w:val="CMT"/>
        <w:rPr/>
      </w:pPr>
      <w:r>
        <w:rPr/>
        <w:t>Retain "Minimum Average Precompression in T-, L-, and Rectangular-Beam Cross Sections" Subparagraph below for one-way slab and beam construction.</w:t>
      </w:r>
    </w:p>
    <w:p>
      <w:pPr>
        <w:pStyle w:val="PR2"/>
        <w:numPr>
          <w:ilvl w:val="5"/>
          <w:numId w:val="1"/>
        </w:numPr>
        <w:rPr/>
      </w:pPr>
      <w:r>
        <w:rPr/>
        <w:t>Minimum Average Precompression in T-, L-, and Rectangular-Beam Cross Sections: [</w:t>
      </w:r>
      <w:r>
        <w:rPr>
          <w:rStyle w:val="IP"/>
          <w:b/>
        </w:rPr>
        <w:t>200 psi</w:t>
      </w:r>
      <w:r>
        <w:rPr>
          <w:rStyle w:val="SI"/>
          <w:b/>
        </w:rPr>
        <w:t xml:space="preserve"> (1.4 MPa)</w:t>
      </w:r>
      <w:r>
        <w:rPr/>
        <w:t>] &lt;</w:t>
      </w:r>
      <w:r>
        <w:rPr>
          <w:b/>
        </w:rPr>
        <w:t>Insert value</w:t>
      </w:r>
      <w:r>
        <w:rPr/>
        <w:t>&gt;.</w:t>
      </w:r>
    </w:p>
    <w:p>
      <w:pPr>
        <w:pStyle w:val="CMT"/>
        <w:rPr/>
      </w:pPr>
      <w:r>
        <w:rPr/>
        <w:t>Retain "Minimum Precompression in Slab Section Not Included in T- or L-Beam Section" Subparagraph below if Project is one-way slab and beam design and prestressing tendons are used for temperature and shrinkage stresses.</w:t>
      </w:r>
    </w:p>
    <w:p>
      <w:pPr>
        <w:pStyle w:val="PR2"/>
        <w:numPr>
          <w:ilvl w:val="5"/>
          <w:numId w:val="1"/>
        </w:numPr>
        <w:rPr/>
      </w:pPr>
      <w:r>
        <w:rPr/>
        <w:t>Minimum Precompression in Slab Section Not Included in T- or L-Beam Section: [</w:t>
      </w:r>
      <w:r>
        <w:rPr>
          <w:rStyle w:val="IP"/>
          <w:b/>
        </w:rPr>
        <w:t>100 psi</w:t>
      </w:r>
      <w:r>
        <w:rPr>
          <w:rStyle w:val="SI"/>
          <w:b/>
        </w:rPr>
        <w:t xml:space="preserve"> (0.7 MPa)</w:t>
      </w:r>
      <w:r>
        <w:rPr/>
        <w:t>] &lt;</w:t>
      </w:r>
      <w:r>
        <w:rPr>
          <w:b/>
        </w:rPr>
        <w:t>Insert value</w:t>
      </w:r>
      <w:r>
        <w:rPr/>
        <w:t>&gt;.</w:t>
      </w:r>
    </w:p>
    <w:p>
      <w:pPr>
        <w:pStyle w:val="CMT"/>
        <w:rPr/>
      </w:pPr>
      <w:r>
        <w:rPr/>
        <w:t>Retain "Maximum Precompression in Transfer Girders" Subparagraph below if design includes transfer girders.</w:t>
      </w:r>
    </w:p>
    <w:p>
      <w:pPr>
        <w:pStyle w:val="PR2"/>
        <w:numPr>
          <w:ilvl w:val="5"/>
          <w:numId w:val="1"/>
        </w:numPr>
        <w:rPr/>
      </w:pPr>
      <w:r>
        <w:rPr/>
        <w:t>Maximum Precompression in Transfer Girders: [</w:t>
      </w:r>
      <w:r>
        <w:rPr>
          <w:rStyle w:val="IP"/>
          <w:b/>
        </w:rPr>
        <w:t>1000 psi</w:t>
      </w:r>
      <w:r>
        <w:rPr>
          <w:rStyle w:val="SI"/>
          <w:b/>
        </w:rPr>
        <w:t xml:space="preserve"> (6.9 MPa)</w:t>
      </w:r>
      <w:r>
        <w:rPr/>
        <w:t>] &lt;</w:t>
      </w:r>
      <w:r>
        <w:rPr>
          <w:b/>
        </w:rPr>
        <w:t>Insert value</w:t>
      </w:r>
      <w:r>
        <w:rPr/>
        <w:t>&gt;. Specify stage-stressing sequence to avoid overstress.</w:t>
      </w:r>
    </w:p>
    <w:p>
      <w:pPr>
        <w:pStyle w:val="PR1"/>
        <w:numPr>
          <w:ilvl w:val="4"/>
          <w:numId w:val="1"/>
        </w:numPr>
        <w:rPr/>
      </w:pPr>
      <w:r>
        <w:rPr/>
        <w:t xml:space="preserve">Comply with </w:t>
      </w:r>
      <w:r>
        <w:rPr>
          <w:rStyle w:val="IP"/>
        </w:rPr>
        <w:t>ACI 318</w:t>
      </w:r>
      <w:r>
        <w:rPr>
          <w:rStyle w:val="SI"/>
        </w:rPr>
        <w:t xml:space="preserve"> (ACI 318M)</w:t>
      </w:r>
      <w:r>
        <w:rPr/>
        <w:t xml:space="preserve"> requirements unless more stringent requirements are indicated.</w:t>
      </w:r>
    </w:p>
    <w:p>
      <w:pPr>
        <w:pStyle w:val="PR2"/>
        <w:numPr>
          <w:ilvl w:val="5"/>
          <w:numId w:val="1"/>
        </w:numPr>
        <w:spacing w:before="240" w:after="0"/>
        <w:rPr/>
      </w:pPr>
      <w:r>
        <w:rPr/>
        <w:t>Limits on stresses at transfer of prestress and under service load.</w:t>
      </w:r>
    </w:p>
    <w:p>
      <w:pPr>
        <w:pStyle w:val="PR2"/>
        <w:numPr>
          <w:ilvl w:val="5"/>
          <w:numId w:val="1"/>
        </w:numPr>
        <w:rPr/>
      </w:pPr>
      <w:r>
        <w:rPr/>
        <w:t>Minimum bonded reinforcement.</w:t>
      </w:r>
    </w:p>
    <w:p>
      <w:pPr>
        <w:pStyle w:val="PR2"/>
        <w:numPr>
          <w:ilvl w:val="5"/>
          <w:numId w:val="1"/>
        </w:numPr>
        <w:rPr/>
      </w:pPr>
      <w:r>
        <w:rPr/>
        <w:t>Concrete cover over reinforcement.</w:t>
      </w:r>
    </w:p>
    <w:p>
      <w:pPr>
        <w:pStyle w:val="PR1"/>
        <w:numPr>
          <w:ilvl w:val="4"/>
          <w:numId w:val="1"/>
        </w:numPr>
        <w:rPr/>
      </w:pPr>
      <w:r>
        <w:rPr/>
        <w:t>Fire Resistance:</w:t>
      </w:r>
    </w:p>
    <w:p>
      <w:pPr>
        <w:pStyle w:val="PR2"/>
        <w:numPr>
          <w:ilvl w:val="5"/>
          <w:numId w:val="1"/>
        </w:numPr>
        <w:spacing w:before="240" w:after="0"/>
        <w:rPr/>
      </w:pPr>
      <w:r>
        <w:rPr/>
        <w:t>Design members such that thickness and concrete cover over reinforcement comply with the following:</w:t>
      </w:r>
    </w:p>
    <w:p>
      <w:pPr>
        <w:pStyle w:val="CMT"/>
        <w:rPr/>
      </w:pPr>
      <w:r>
        <w:rPr/>
        <w:t>Retain one of first two subparagraphs below.</w:t>
      </w:r>
    </w:p>
    <w:p>
      <w:pPr>
        <w:pStyle w:val="PR3"/>
        <w:numPr>
          <w:ilvl w:val="6"/>
          <w:numId w:val="1"/>
        </w:numPr>
        <w:spacing w:before="240" w:after="0"/>
        <w:rPr/>
      </w:pPr>
      <w:r>
        <w:rPr/>
        <w:t>Fire-resistance requirements of authorities having jurisdiction.</w:t>
      </w:r>
    </w:p>
    <w:p>
      <w:pPr>
        <w:pStyle w:val="PR3"/>
        <w:numPr>
          <w:ilvl w:val="6"/>
          <w:numId w:val="1"/>
        </w:numPr>
        <w:rPr/>
      </w:pPr>
      <w:r>
        <w:rPr/>
        <w:t>The following fire-resistance requirements:</w:t>
      </w:r>
    </w:p>
    <w:p>
      <w:pPr>
        <w:pStyle w:val="CMT"/>
        <w:rPr/>
      </w:pPr>
      <w:r>
        <w:rPr/>
        <w:t>Revise "Slabs" and "Beam" subparagraphs below to identify fire-resistance requirements of slab or beam post-tensioned elements.</w:t>
      </w:r>
    </w:p>
    <w:p>
      <w:pPr>
        <w:pStyle w:val="PR4"/>
        <w:numPr>
          <w:ilvl w:val="7"/>
          <w:numId w:val="1"/>
        </w:numPr>
        <w:spacing w:before="240" w:after="0"/>
        <w:rPr/>
      </w:pPr>
      <w:r>
        <w:rPr/>
        <w:t>Slabs: [</w:t>
      </w:r>
      <w:r>
        <w:rPr>
          <w:b/>
        </w:rPr>
        <w:t>Two</w:t>
      </w:r>
      <w:r>
        <w:rPr/>
        <w:t>] &lt;</w:t>
      </w:r>
      <w:r>
        <w:rPr>
          <w:b/>
        </w:rPr>
        <w:t>Insert number</w:t>
      </w:r>
      <w:r>
        <w:rPr/>
        <w:t>&gt; hours.</w:t>
      </w:r>
    </w:p>
    <w:p>
      <w:pPr>
        <w:pStyle w:val="PR4"/>
        <w:numPr>
          <w:ilvl w:val="7"/>
          <w:numId w:val="1"/>
        </w:numPr>
        <w:rPr/>
      </w:pPr>
      <w:r>
        <w:rPr/>
        <w:t>Beam: [</w:t>
      </w:r>
      <w:r>
        <w:rPr>
          <w:b/>
        </w:rPr>
        <w:t>Two</w:t>
      </w:r>
      <w:r>
        <w:rPr/>
        <w:t>] &lt;</w:t>
      </w:r>
      <w:r>
        <w:rPr>
          <w:b/>
        </w:rPr>
        <w:t>Insert number</w:t>
      </w:r>
      <w:r>
        <w:rPr/>
        <w:t>&gt; hours.</w:t>
      </w:r>
    </w:p>
    <w:p>
      <w:pPr>
        <w:pStyle w:val="PR1"/>
        <w:numPr>
          <w:ilvl w:val="4"/>
          <w:numId w:val="1"/>
        </w:numPr>
        <w:rPr/>
      </w:pPr>
      <w:r>
        <w:rPr/>
        <w:t>Deflection Limits, Including Creep and Shrinkage Effects, as Follows:</w:t>
      </w:r>
    </w:p>
    <w:p>
      <w:pPr>
        <w:pStyle w:val="PR2"/>
        <w:numPr>
          <w:ilvl w:val="5"/>
          <w:numId w:val="1"/>
        </w:numPr>
        <w:spacing w:before="240" w:after="0"/>
        <w:rPr/>
      </w:pPr>
      <w:r>
        <w:rPr/>
        <w:t>Total Dead Load: [</w:t>
      </w:r>
      <w:r>
        <w:rPr>
          <w:b/>
        </w:rPr>
        <w:t>L/600</w:t>
      </w:r>
      <w:r>
        <w:rPr/>
        <w:t>] &lt;</w:t>
      </w:r>
      <w:r>
        <w:rPr>
          <w:b/>
        </w:rPr>
        <w:t>Insert value</w:t>
      </w:r>
      <w:r>
        <w:rPr/>
        <w:t>&gt;.</w:t>
      </w:r>
    </w:p>
    <w:p>
      <w:pPr>
        <w:pStyle w:val="PR2"/>
        <w:numPr>
          <w:ilvl w:val="5"/>
          <w:numId w:val="1"/>
        </w:numPr>
        <w:rPr/>
      </w:pPr>
      <w:r>
        <w:rPr/>
        <w:t>Total Dead Plus Live Load: [</w:t>
      </w:r>
      <w:r>
        <w:rPr>
          <w:b/>
        </w:rPr>
        <w:t>L/360</w:t>
      </w:r>
      <w:r>
        <w:rPr/>
        <w:t>] &lt;</w:t>
      </w:r>
      <w:r>
        <w:rPr>
          <w:b/>
        </w:rPr>
        <w:t>Insert value</w:t>
      </w:r>
      <w:r>
        <w:rPr/>
        <w:t>&gt;.</w:t>
      </w:r>
    </w:p>
    <w:p>
      <w:pPr>
        <w:pStyle w:val="PR1"/>
        <w:numPr>
          <w:ilvl w:val="4"/>
          <w:numId w:val="1"/>
        </w:numPr>
        <w:rPr/>
      </w:pPr>
      <w:r>
        <w:rPr/>
        <w:t>Closure Strips: Locate closure strips at midspan and adjust tendon forces and profiles accordingly. Calculate moments in spans with closure strips assuming a continuous slab. Provide only nonprestressed reinforcement within closure strips. Design reinforcement in closure strip to carry ultimate moment at midspan.</w:t>
      </w:r>
    </w:p>
    <w:p>
      <w:pPr>
        <w:pStyle w:val="ART"/>
        <w:numPr>
          <w:ilvl w:val="3"/>
          <w:numId w:val="1"/>
        </w:numPr>
        <w:ind w:hanging="0" w:left="0"/>
        <w:rPr/>
      </w:pPr>
      <w:r>
        <w:rPr/>
        <w:t>PRESTRESSING TENDONS</w:t>
      </w:r>
    </w:p>
    <w:p>
      <w:pPr>
        <w:pStyle w:val="PR1"/>
        <w:numPr>
          <w:ilvl w:val="4"/>
          <w:numId w:val="1"/>
        </w:numPr>
        <w:rPr/>
      </w:pPr>
      <w:r>
        <w:rPr/>
        <w:t>ACI Publications: Comply with ACI 423.7 unless otherwise indicated.</w:t>
      </w:r>
    </w:p>
    <w:p>
      <w:pPr>
        <w:pStyle w:val="PR1"/>
        <w:numPr>
          <w:ilvl w:val="4"/>
          <w:numId w:val="1"/>
        </w:numPr>
        <w:rPr/>
      </w:pPr>
      <w:r>
        <w:rPr/>
        <w:t xml:space="preserve">Prestressing Strand: ASTM A416/A416M, </w:t>
      </w:r>
      <w:r>
        <w:rPr>
          <w:rStyle w:val="IP"/>
        </w:rPr>
        <w:t>Grade 270</w:t>
      </w:r>
      <w:r>
        <w:rPr>
          <w:rStyle w:val="SI"/>
        </w:rPr>
        <w:t xml:space="preserve"> (Grade 1860)</w:t>
      </w:r>
      <w:r>
        <w:rPr/>
        <w:t>, uncoated, seven-wire, low-relaxation, [</w:t>
      </w:r>
      <w:r>
        <w:rPr>
          <w:rStyle w:val="IP"/>
          <w:b/>
        </w:rPr>
        <w:t>0.5-inch-</w:t>
      </w:r>
      <w:r>
        <w:rPr>
          <w:rStyle w:val="SI"/>
          <w:b/>
        </w:rPr>
        <w:t xml:space="preserve"> (12.7-mm-)</w:t>
      </w:r>
      <w:r>
        <w:rPr/>
        <w:t>] [</w:t>
      </w:r>
      <w:r>
        <w:rPr>
          <w:rStyle w:val="IP"/>
          <w:b/>
        </w:rPr>
        <w:t>0.6-inch-</w:t>
      </w:r>
      <w:r>
        <w:rPr>
          <w:rStyle w:val="SI"/>
          <w:b/>
        </w:rPr>
        <w:t xml:space="preserve"> (15.2-mm-)</w:t>
      </w:r>
      <w:r>
        <w:rPr/>
        <w:t>] &lt;</w:t>
      </w:r>
      <w:r>
        <w:rPr>
          <w:b/>
        </w:rPr>
        <w:t>Insert dimension</w:t>
      </w:r>
      <w:r>
        <w:rPr/>
        <w:t>&gt; diameter strand.</w:t>
      </w:r>
    </w:p>
    <w:p>
      <w:pPr>
        <w:pStyle w:val="PR1"/>
        <w:numPr>
          <w:ilvl w:val="4"/>
          <w:numId w:val="1"/>
        </w:numPr>
        <w:rPr/>
      </w:pPr>
      <w:r>
        <w:rPr/>
        <w:t>Post-Tensioning Coating: Compound with friction-reducing, moisture-displacing, and corrosion-inhibiting properties; chemically stable and nonreactive with prestressing strand, nonprestressed reinforcement, sheathing material, and concrete.</w:t>
      </w:r>
    </w:p>
    <w:p>
      <w:pPr>
        <w:pStyle w:val="PR2"/>
        <w:numPr>
          <w:ilvl w:val="5"/>
          <w:numId w:val="1"/>
        </w:numPr>
        <w:spacing w:before="240" w:after="0"/>
        <w:rPr/>
      </w:pPr>
      <w:r>
        <w:rPr/>
        <w:t>Minimum Coating Weight: [</w:t>
      </w:r>
      <w:r>
        <w:rPr>
          <w:rStyle w:val="IP"/>
          <w:b/>
        </w:rPr>
        <w:t>2.5 lb</w:t>
      </w:r>
      <w:r>
        <w:rPr>
          <w:rStyle w:val="SI"/>
          <w:b/>
        </w:rPr>
        <w:t xml:space="preserve"> (1.14 kg)</w:t>
      </w:r>
      <w:r>
        <w:rPr>
          <w:b/>
        </w:rPr>
        <w:t xml:space="preserve"> for </w:t>
      </w:r>
      <w:r>
        <w:rPr>
          <w:rStyle w:val="IP"/>
          <w:b/>
        </w:rPr>
        <w:t>0.5-inch-</w:t>
      </w:r>
      <w:r>
        <w:rPr>
          <w:rStyle w:val="SI"/>
          <w:b/>
        </w:rPr>
        <w:t xml:space="preserve"> (12.7-mm-)</w:t>
      </w:r>
      <w:r>
        <w:rPr/>
        <w:t>] [</w:t>
      </w:r>
      <w:r>
        <w:rPr>
          <w:rStyle w:val="IP"/>
          <w:b/>
        </w:rPr>
        <w:t>3 lb</w:t>
      </w:r>
      <w:r>
        <w:rPr>
          <w:rStyle w:val="SI"/>
          <w:b/>
        </w:rPr>
        <w:t xml:space="preserve"> (1.36 kg)</w:t>
      </w:r>
      <w:r>
        <w:rPr>
          <w:b/>
        </w:rPr>
        <w:t xml:space="preserve"> for </w:t>
      </w:r>
      <w:r>
        <w:rPr>
          <w:rStyle w:val="IP"/>
          <w:b/>
        </w:rPr>
        <w:t>0.6-inch-</w:t>
      </w:r>
      <w:r>
        <w:rPr>
          <w:rStyle w:val="SI"/>
          <w:b/>
        </w:rPr>
        <w:t xml:space="preserve"> (15.2-mm-)</w:t>
      </w:r>
      <w:r>
        <w:rPr/>
        <w:t>] &lt;</w:t>
      </w:r>
      <w:r>
        <w:rPr>
          <w:b/>
        </w:rPr>
        <w:t>Insert dimension</w:t>
      </w:r>
      <w:r>
        <w:rPr/>
        <w:t xml:space="preserve">&gt; diameter strand per </w:t>
      </w:r>
      <w:r>
        <w:rPr>
          <w:rStyle w:val="IP"/>
        </w:rPr>
        <w:t>100 feet</w:t>
      </w:r>
      <w:r>
        <w:rPr>
          <w:rStyle w:val="SI"/>
        </w:rPr>
        <w:t xml:space="preserve"> (30 m)</w:t>
      </w:r>
      <w:r>
        <w:rPr/>
        <w:t xml:space="preserve"> of strand.</w:t>
      </w:r>
    </w:p>
    <w:p>
      <w:pPr>
        <w:pStyle w:val="PR2"/>
        <w:numPr>
          <w:ilvl w:val="5"/>
          <w:numId w:val="1"/>
        </w:numPr>
        <w:rPr/>
      </w:pPr>
      <w:r>
        <w:rPr/>
        <w:t>Completely fill annular space between strand and sheathing over entire tendon length with post-tensioning coating.</w:t>
      </w:r>
    </w:p>
    <w:p>
      <w:pPr>
        <w:pStyle w:val="PR1"/>
        <w:numPr>
          <w:ilvl w:val="4"/>
          <w:numId w:val="1"/>
        </w:numPr>
        <w:rPr/>
      </w:pPr>
      <w:r>
        <w:rPr/>
        <w:t>Tendon Sheathing:</w:t>
      </w:r>
    </w:p>
    <w:p>
      <w:pPr>
        <w:pStyle w:val="PR2"/>
        <w:numPr>
          <w:ilvl w:val="5"/>
          <w:numId w:val="1"/>
        </w:numPr>
        <w:spacing w:before="240" w:after="0"/>
        <w:rPr/>
      </w:pPr>
      <w:r>
        <w:rPr/>
        <w:t xml:space="preserve">Material: Polyethylene or polypropylene with a minimum density of </w:t>
      </w:r>
      <w:r>
        <w:rPr>
          <w:rStyle w:val="IP"/>
        </w:rPr>
        <w:t>0.034 lb/cu. in.</w:t>
      </w:r>
      <w:r>
        <w:rPr>
          <w:rStyle w:val="SI"/>
        </w:rPr>
        <w:t xml:space="preserve"> (0.9 g/cu. cm)</w:t>
      </w:r>
      <w:r>
        <w:rPr/>
        <w:t>.</w:t>
      </w:r>
    </w:p>
    <w:p>
      <w:pPr>
        <w:pStyle w:val="PR2"/>
        <w:numPr>
          <w:ilvl w:val="5"/>
          <w:numId w:val="1"/>
        </w:numPr>
        <w:rPr/>
      </w:pPr>
      <w:r>
        <w:rPr/>
        <w:t>Minimum Thickness: [</w:t>
      </w:r>
      <w:r>
        <w:rPr>
          <w:rStyle w:val="IP"/>
          <w:b/>
        </w:rPr>
        <w:t>0.050 inch</w:t>
      </w:r>
      <w:r>
        <w:rPr>
          <w:rStyle w:val="SI"/>
          <w:b/>
        </w:rPr>
        <w:t xml:space="preserve"> (1.25 mm)</w:t>
      </w:r>
      <w:r>
        <w:rPr/>
        <w:t>] &lt;</w:t>
      </w:r>
      <w:r>
        <w:rPr>
          <w:b/>
        </w:rPr>
        <w:t>Insert dimension</w:t>
      </w:r>
      <w:r>
        <w:rPr/>
        <w:t>&gt;.</w:t>
      </w:r>
    </w:p>
    <w:p>
      <w:pPr>
        <w:pStyle w:val="CMT"/>
        <w:rPr/>
      </w:pPr>
      <w:r>
        <w:rPr/>
        <w:t>Retain first option in subparagraph below if specifying an encapsulated system. Retain last option if specifying a nonencapsulated system. Revise as necessary if specifying an encapsulated system only for certain portions of structure.</w:t>
      </w:r>
    </w:p>
    <w:p>
      <w:pPr>
        <w:pStyle w:val="PR2"/>
        <w:numPr>
          <w:ilvl w:val="5"/>
          <w:numId w:val="1"/>
        </w:numPr>
        <w:rPr/>
      </w:pPr>
      <w:r>
        <w:rPr/>
        <w:t>Continuous over length of tendon [</w:t>
      </w:r>
      <w:r>
        <w:rPr>
          <w:b/>
        </w:rPr>
        <w:t>to provide watertight encapsulation of prestressing strand</w:t>
      </w:r>
      <w:r>
        <w:rPr/>
        <w:t>] [</w:t>
      </w:r>
      <w:r>
        <w:rPr>
          <w:b/>
        </w:rPr>
        <w:t>and</w:t>
      </w:r>
      <w:r>
        <w:rPr/>
        <w:t>] [</w:t>
      </w:r>
      <w:r>
        <w:rPr>
          <w:b/>
        </w:rPr>
        <w:t>between anchorages to prevent intrusion of cement paste or loss of coating for a nonencapsulated system</w:t>
      </w:r>
      <w:r>
        <w:rPr/>
        <w:t>].</w:t>
      </w:r>
    </w:p>
    <w:p>
      <w:pPr>
        <w:pStyle w:val="PR1"/>
        <w:numPr>
          <w:ilvl w:val="4"/>
          <w:numId w:val="1"/>
        </w:numPr>
        <w:rPr/>
      </w:pPr>
      <w:r>
        <w:rPr/>
        <w:t>Anchorage and Coupler Assemblies: Assemblies of prestressing strand, wedges, and anchor or coupler complying with static and fatigue testing requirements and capable of developing 95 percent of actual breaking strength of strand.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Anchorage Bearing Stresses: Comply with ACI 423.7 for stresses at transfer load and service load.</w:t>
      </w:r>
    </w:p>
    <w:p>
      <w:pPr>
        <w:pStyle w:val="PR2"/>
        <w:numPr>
          <w:ilvl w:val="5"/>
          <w:numId w:val="1"/>
        </w:numPr>
        <w:rPr/>
      </w:pPr>
      <w:r>
        <w:rPr/>
        <w:t>Fixed-End Anchorage Assemblies: Plant fabricated with wedges seated at a load of not less than 80 percent and not more than 85 percent of breaking strength of strand.</w:t>
      </w:r>
    </w:p>
    <w:p>
      <w:pPr>
        <w:pStyle w:val="CMT"/>
        <w:rPr/>
      </w:pPr>
      <w:r>
        <w:rPr/>
        <w:t>Retain "Encapsulation System" Paragraph below if specifying an encapsulated system. See the Evaluations for discussion of encapsulated systems for aggressive environments.</w:t>
      </w:r>
    </w:p>
    <w:p>
      <w:pPr>
        <w:pStyle w:val="PR1"/>
        <w:numPr>
          <w:ilvl w:val="4"/>
          <w:numId w:val="1"/>
        </w:numPr>
        <w:rPr/>
      </w:pPr>
      <w:r>
        <w:rPr/>
        <w:t>Encapsulation System: Watertight encapsulation of prestressing strand consisting of the following:</w:t>
      </w:r>
    </w:p>
    <w:p>
      <w:pPr>
        <w:pStyle w:val="PR2"/>
        <w:numPr>
          <w:ilvl w:val="5"/>
          <w:numId w:val="1"/>
        </w:numPr>
        <w:spacing w:before="240" w:after="0"/>
        <w:rPr/>
      </w:pPr>
      <w:r>
        <w:rPr/>
        <w:t>Encapsulation Caps: Attached to anchorages with a positive mechanical connection and completely filled with post-tensioning coating.</w:t>
      </w:r>
    </w:p>
    <w:p>
      <w:pPr>
        <w:pStyle w:val="PR3"/>
        <w:numPr>
          <w:ilvl w:val="6"/>
          <w:numId w:val="1"/>
        </w:numPr>
        <w:spacing w:before="240" w:after="0"/>
        <w:rPr/>
      </w:pPr>
      <w:r>
        <w:rPr/>
        <w:t>Encapsulation Caps for Fixed- and Stressing-End Anchorages: Designed to provide watertight encapsulation of wedge cavity. Sized to allow required extension of strand past the wedges.</w:t>
      </w:r>
    </w:p>
    <w:p>
      <w:pPr>
        <w:pStyle w:val="PR4"/>
        <w:numPr>
          <w:ilvl w:val="7"/>
          <w:numId w:val="1"/>
        </w:numPr>
        <w:spacing w:before="240" w:after="0"/>
        <w:rPr/>
      </w:pPr>
      <w:r>
        <w:rPr/>
        <w:t>Attach encapsulation caps for fixed-end anchorages in fabricating plant.</w:t>
      </w:r>
    </w:p>
    <w:p>
      <w:pPr>
        <w:pStyle w:val="PR3"/>
        <w:numPr>
          <w:ilvl w:val="6"/>
          <w:numId w:val="1"/>
        </w:numPr>
        <w:spacing w:before="240" w:after="0"/>
        <w:rPr/>
      </w:pPr>
      <w:r>
        <w:rPr/>
        <w:t>Encapsulation Caps at Intermediate Anchorages: Open to allow passage of strand.</w:t>
      </w:r>
    </w:p>
    <w:p>
      <w:pPr>
        <w:pStyle w:val="PR2"/>
        <w:numPr>
          <w:ilvl w:val="5"/>
          <w:numId w:val="1"/>
        </w:numPr>
        <w:spacing w:before="240" w:after="0"/>
        <w:rPr/>
      </w:pPr>
      <w:r>
        <w:rPr/>
        <w:t xml:space="preserve">Sleeves: Attached to anchorage with positive mechanical connection; overlapped a minimum of </w:t>
      </w:r>
      <w:r>
        <w:rPr>
          <w:rStyle w:val="IP"/>
        </w:rPr>
        <w:t>4 inches</w:t>
      </w:r>
      <w:r>
        <w:rPr>
          <w:rStyle w:val="SI"/>
        </w:rPr>
        <w:t xml:space="preserve"> (100 mm)</w:t>
      </w:r>
      <w:r>
        <w:rPr/>
        <w:t xml:space="preserve"> with sheathing and completely filled with post-tensioning coating.</w:t>
      </w:r>
    </w:p>
    <w:p>
      <w:pPr>
        <w:pStyle w:val="ART"/>
        <w:numPr>
          <w:ilvl w:val="3"/>
          <w:numId w:val="1"/>
        </w:numPr>
        <w:ind w:hanging="0" w:left="0"/>
        <w:rPr/>
      </w:pPr>
      <w:r>
        <w:rPr/>
        <w:t>NONPRESTRESSED STEEL BARS</w:t>
      </w:r>
    </w:p>
    <w:p>
      <w:pPr>
        <w:pStyle w:val="CMT"/>
        <w:rPr/>
      </w:pPr>
      <w:r>
        <w:rPr/>
        <w:t>Retain "Recycled Content of Steel Products" Paragraph below to specify recycled content if required. An alternative method of requiring recycled content is to retain requirement in Project's Division 01 sustainable design requirements Section that gives Contractor the option and responsibility to determine how recycled content requirements will be met.</w:t>
      </w:r>
    </w:p>
    <w:p>
      <w:pPr>
        <w:pStyle w:val="PR1"/>
        <w:numPr>
          <w:ilvl w:val="4"/>
          <w:numId w:val="1"/>
        </w:numPr>
        <w:rPr/>
      </w:pPr>
      <w:r>
        <w:rPr/>
        <w:t>Recycled Content of Steel Products: Postconsumer recycled content plus one-half of preconsumer recycled content not less than [</w:t>
      </w:r>
      <w:r>
        <w:rPr>
          <w:b/>
        </w:rPr>
        <w:t>25</w:t>
      </w:r>
      <w:r>
        <w:rPr/>
        <w:t>] [</w:t>
      </w:r>
      <w:r>
        <w:rPr>
          <w:b/>
        </w:rPr>
        <w:t>60</w:t>
      </w:r>
      <w:r>
        <w:rPr/>
        <w:t>] &lt;</w:t>
      </w:r>
      <w:r>
        <w:rPr>
          <w:b/>
        </w:rPr>
        <w:t>Insert value</w:t>
      </w:r>
      <w:r>
        <w:rPr/>
        <w:t>&gt; percent.</w:t>
      </w:r>
    </w:p>
    <w:p>
      <w:pPr>
        <w:pStyle w:val="PR1"/>
        <w:numPr>
          <w:ilvl w:val="4"/>
          <w:numId w:val="1"/>
        </w:numPr>
        <w:rPr/>
      </w:pPr>
      <w:r>
        <w:rPr/>
        <w:t>Support Bars, Reinforcing Bars, and Hairpins:</w:t>
      </w:r>
    </w:p>
    <w:p>
      <w:pPr>
        <w:pStyle w:val="CMT"/>
        <w:rPr/>
      </w:pPr>
      <w:r>
        <w:rPr/>
        <w:t>Retain material requirements for support bars, reinforcing bars, and hairpins from "Steel," "Low-Alloy Steel," "Galvanized Steel," and "Epoxy-Coated Steel" subparagraphs below or revise to suit Project.</w:t>
      </w:r>
    </w:p>
    <w:p>
      <w:pPr>
        <w:pStyle w:val="PR2"/>
        <w:numPr>
          <w:ilvl w:val="5"/>
          <w:numId w:val="1"/>
        </w:numPr>
        <w:spacing w:before="240" w:after="0"/>
        <w:rPr/>
      </w:pPr>
      <w:r>
        <w:rPr/>
        <w:t xml:space="preserve">Steel: ASTM A615/A615M, </w:t>
      </w:r>
      <w:r>
        <w:rPr>
          <w:rStyle w:val="IP"/>
        </w:rPr>
        <w:t>Grade 60</w:t>
      </w:r>
      <w:r>
        <w:rPr>
          <w:rStyle w:val="SI"/>
        </w:rPr>
        <w:t xml:space="preserve"> (Grade 420)</w:t>
      </w:r>
      <w:r>
        <w:rPr/>
        <w:t>, deformed.</w:t>
      </w:r>
    </w:p>
    <w:p>
      <w:pPr>
        <w:pStyle w:val="CMT"/>
        <w:rPr/>
      </w:pPr>
      <w:r>
        <w:rPr/>
        <w:t>Retain "Low-Alloy Steel" Subparagraph below if bars are welded or if additional ductility is required.</w:t>
      </w:r>
    </w:p>
    <w:p>
      <w:pPr>
        <w:pStyle w:val="PR2"/>
        <w:numPr>
          <w:ilvl w:val="5"/>
          <w:numId w:val="1"/>
        </w:numPr>
        <w:rPr/>
      </w:pPr>
      <w:r>
        <w:rPr/>
        <w:t>Low-Alloy Steel: ASTM A706/A706M, deformed.</w:t>
      </w:r>
    </w:p>
    <w:p>
      <w:pPr>
        <w:pStyle w:val="CMT"/>
        <w:rPr/>
      </w:pPr>
      <w:r>
        <w:rPr/>
        <w:t>Retain "Galvanized Steel" Subparagraph below for galvanized-steel bars. Retain steel type from first set of options and zinc-coating class from second set of options. Class I has at least 50 percent more weight of zinc than Class II.</w:t>
      </w:r>
    </w:p>
    <w:p>
      <w:pPr>
        <w:pStyle w:val="PR2"/>
        <w:numPr>
          <w:ilvl w:val="5"/>
          <w:numId w:val="1"/>
        </w:numPr>
        <w:rPr/>
      </w:pPr>
      <w:r>
        <w:rPr/>
        <w:t>Galvanized Steel: [</w:t>
      </w:r>
      <w:r>
        <w:rPr>
          <w:b/>
        </w:rPr>
        <w:t xml:space="preserve">ASTM A615/A615M, </w:t>
      </w:r>
      <w:r>
        <w:rPr>
          <w:rStyle w:val="IP"/>
          <w:b/>
        </w:rPr>
        <w:t>Grade 60</w:t>
      </w:r>
      <w:r>
        <w:rPr>
          <w:rStyle w:val="SI"/>
          <w:b/>
        </w:rPr>
        <w:t xml:space="preserve"> (Grade 420)</w:t>
      </w:r>
      <w:r>
        <w:rPr/>
        <w:t>] [</w:t>
      </w:r>
      <w:r>
        <w:rPr>
          <w:b/>
        </w:rPr>
        <w:t>ASTM A706/A706M</w:t>
      </w:r>
      <w:r>
        <w:rPr/>
        <w:t>], deformed bars, ASTM A767/A767M, [</w:t>
      </w:r>
      <w:r>
        <w:rPr>
          <w:b/>
        </w:rPr>
        <w:t>Class I</w:t>
      </w:r>
      <w:r>
        <w:rPr/>
        <w:t>] [</w:t>
      </w:r>
      <w:r>
        <w:rPr>
          <w:b/>
        </w:rPr>
        <w:t>Class II</w:t>
      </w:r>
      <w:r>
        <w:rPr/>
        <w:t>] zinc coated after fabrication and bending.</w:t>
      </w:r>
    </w:p>
    <w:p>
      <w:pPr>
        <w:pStyle w:val="PR3"/>
        <w:numPr>
          <w:ilvl w:val="6"/>
          <w:numId w:val="1"/>
        </w:numPr>
        <w:spacing w:before="240" w:after="0"/>
        <w:rPr/>
      </w:pPr>
      <w:r>
        <w:rPr/>
        <w:t>Zinc Repair Material: ASTM A780/A780M, zinc-based solder, paint containing zinc dust, or sprayed zinc.</w:t>
      </w:r>
    </w:p>
    <w:p>
      <w:pPr>
        <w:pStyle w:val="CMT"/>
        <w:rPr/>
      </w:pPr>
      <w:r>
        <w:rPr/>
        <w:t>Retain "Epoxy-Coated Steel" Subparagraph below for epoxy-coated bars. Retain steel type from options.</w:t>
      </w:r>
    </w:p>
    <w:p>
      <w:pPr>
        <w:pStyle w:val="PR2"/>
        <w:numPr>
          <w:ilvl w:val="5"/>
          <w:numId w:val="1"/>
        </w:numPr>
        <w:spacing w:before="240" w:after="0"/>
        <w:rPr/>
      </w:pPr>
      <w:r>
        <w:rPr/>
        <w:t>Epoxy-Coated Steel: [</w:t>
      </w:r>
      <w:r>
        <w:rPr>
          <w:b/>
        </w:rPr>
        <w:t xml:space="preserve">ASTM A615/A615M, </w:t>
      </w:r>
      <w:r>
        <w:rPr>
          <w:rStyle w:val="IP"/>
          <w:b/>
        </w:rPr>
        <w:t>Grade 60</w:t>
      </w:r>
      <w:r>
        <w:rPr>
          <w:rStyle w:val="SI"/>
          <w:b/>
        </w:rPr>
        <w:t xml:space="preserve"> (Grade 420)</w:t>
      </w:r>
      <w:r>
        <w:rPr/>
        <w:t>] [</w:t>
      </w:r>
      <w:r>
        <w:rPr>
          <w:b/>
        </w:rPr>
        <w:t>ASTM A706/A706M</w:t>
      </w:r>
      <w:r>
        <w:rPr/>
        <w:t xml:space="preserve">], deformed bars, ASTM A775/A775M epoxy coated with less than 2 percent damaged coating in each </w:t>
      </w:r>
      <w:r>
        <w:rPr>
          <w:rStyle w:val="IP"/>
        </w:rPr>
        <w:t>12-inch</w:t>
      </w:r>
      <w:r>
        <w:rPr>
          <w:rStyle w:val="SI"/>
        </w:rPr>
        <w:t xml:space="preserve"> (300-mm)</w:t>
      </w:r>
      <w:r>
        <w:rPr/>
        <w:t xml:space="preserve"> bar length.</w:t>
      </w:r>
    </w:p>
    <w:p>
      <w:pPr>
        <w:pStyle w:val="PR3"/>
        <w:numPr>
          <w:ilvl w:val="6"/>
          <w:numId w:val="1"/>
        </w:numPr>
        <w:spacing w:before="240" w:after="0"/>
        <w:rPr/>
      </w:pPr>
      <w:r>
        <w:rPr/>
        <w:t>Epoxy Repair Coating: Liquid, two-part, epoxy repair coating; compatible with epoxy coating on bars and complying with ASTM A775/A755M. After fabricating bars, repair damaged areas according to ASTM D3963/D3963M.</w:t>
      </w:r>
    </w:p>
    <w:p>
      <w:pPr>
        <w:pStyle w:val="PR1"/>
        <w:numPr>
          <w:ilvl w:val="4"/>
          <w:numId w:val="1"/>
        </w:numPr>
        <w:rPr/>
      </w:pPr>
      <w:r>
        <w:rPr/>
        <w:t>Supports: Bolsters, chairs, spacers, and other devices for spacing, supporting, and fastening tendons and tendon support bars in place. Manufacture bar supports, according to CRSI's "Manual of Standard Practice," from steel wire, plastic, or precast concrete of greater compressive strength than concrete, and as follows:</w:t>
      </w:r>
    </w:p>
    <w:p>
      <w:pPr>
        <w:pStyle w:val="PR2"/>
        <w:numPr>
          <w:ilvl w:val="5"/>
          <w:numId w:val="1"/>
        </w:numPr>
        <w:spacing w:before="240" w:after="0"/>
        <w:rPr/>
      </w:pPr>
      <w:r>
        <w:rPr/>
        <w:t>For uncoated bars, use [</w:t>
      </w:r>
      <w:r>
        <w:rPr>
          <w:b/>
        </w:rPr>
        <w:t>all-plastic</w:t>
      </w:r>
      <w:r>
        <w:rPr/>
        <w:t>] [</w:t>
      </w:r>
      <w:r>
        <w:rPr>
          <w:b/>
        </w:rPr>
        <w:t>CRSI Class 1 plastic-protected</w:t>
      </w:r>
      <w:r>
        <w:rPr/>
        <w:t>] [</w:t>
      </w:r>
      <w:r>
        <w:rPr>
          <w:b/>
        </w:rPr>
        <w:t>CRSI Class 2 stainless steel</w:t>
      </w:r>
      <w:r>
        <w:rPr/>
        <w:t>] bar supports.</w:t>
      </w:r>
    </w:p>
    <w:p>
      <w:pPr>
        <w:pStyle w:val="PR2"/>
        <w:numPr>
          <w:ilvl w:val="5"/>
          <w:numId w:val="1"/>
        </w:numPr>
        <w:rPr/>
      </w:pPr>
      <w:r>
        <w:rPr/>
        <w:t>For epoxy-coated bars, use [</w:t>
      </w:r>
      <w:r>
        <w:rPr>
          <w:b/>
        </w:rPr>
        <w:t>CRSI Class 1A epoxy-coated or other dielectric-polymer-coated-wire</w:t>
      </w:r>
      <w:r>
        <w:rPr/>
        <w:t>] [</w:t>
      </w:r>
      <w:r>
        <w:rPr>
          <w:b/>
        </w:rPr>
        <w:t>all-plastic</w:t>
      </w:r>
      <w:r>
        <w:rPr/>
        <w:t>] bar supports.</w:t>
      </w:r>
    </w:p>
    <w:p>
      <w:pPr>
        <w:pStyle w:val="PR2"/>
        <w:numPr>
          <w:ilvl w:val="5"/>
          <w:numId w:val="1"/>
        </w:numPr>
        <w:rPr/>
      </w:pPr>
      <w:r>
        <w:rPr/>
        <w:t>For zinc-coated bars, use [</w:t>
      </w:r>
      <w:r>
        <w:rPr>
          <w:b/>
        </w:rPr>
        <w:t>galvanized-wire or dielectric-polymer-coated-wire</w:t>
      </w:r>
      <w:r>
        <w:rPr/>
        <w:t>] [</w:t>
      </w:r>
      <w:r>
        <w:rPr>
          <w:b/>
        </w:rPr>
        <w:t>all-plastic</w:t>
      </w:r>
      <w:r>
        <w:rPr/>
        <w:t>] bar supports.</w:t>
      </w:r>
    </w:p>
    <w:p>
      <w:pPr>
        <w:pStyle w:val="ART"/>
        <w:numPr>
          <w:ilvl w:val="3"/>
          <w:numId w:val="1"/>
        </w:numPr>
        <w:ind w:hanging="0" w:left="0"/>
        <w:rPr/>
      </w:pPr>
      <w:r>
        <w:rPr/>
        <w:t>ACCESSORIES</w:t>
      </w:r>
    </w:p>
    <w:p>
      <w:pPr>
        <w:pStyle w:val="PR1"/>
        <w:numPr>
          <w:ilvl w:val="4"/>
          <w:numId w:val="1"/>
        </w:numPr>
        <w:rPr/>
      </w:pPr>
      <w:r>
        <w:rPr/>
        <w:t>Pocket Formers: Capable of completely sealing wedge cavity; sized to provide the required cover over the anchorage and allow access for cutting strand tail.</w:t>
      </w:r>
    </w:p>
    <w:p>
      <w:pPr>
        <w:pStyle w:val="CMT"/>
        <w:rPr/>
      </w:pPr>
      <w:r>
        <w:rPr/>
        <w:t>Retain "Anchorage Fasteners" Paragraph below if tendons are intended for use in an aggressive environment.</w:t>
      </w:r>
    </w:p>
    <w:p>
      <w:pPr>
        <w:pStyle w:val="PR1"/>
        <w:numPr>
          <w:ilvl w:val="4"/>
          <w:numId w:val="1"/>
        </w:numPr>
        <w:rPr/>
      </w:pPr>
      <w:r>
        <w:rPr/>
        <w:t>Anchorage Fasteners: [</w:t>
      </w:r>
      <w:r>
        <w:rPr>
          <w:b/>
        </w:rPr>
        <w:t>Stainless</w:t>
      </w:r>
      <w:r>
        <w:rPr/>
        <w:t>] [</w:t>
      </w:r>
      <w:r>
        <w:rPr>
          <w:b/>
        </w:rPr>
        <w:t>Galvanized</w:t>
      </w:r>
      <w:r>
        <w:rPr/>
        <w:t>] [</w:t>
      </w:r>
      <w:r>
        <w:rPr>
          <w:b/>
        </w:rPr>
        <w:t>Uncoated</w:t>
      </w:r>
      <w:r>
        <w:rPr/>
        <w:t>]-steel nails, wires, and screws used to attach anchorages to formwork.</w:t>
      </w:r>
    </w:p>
    <w:p>
      <w:pPr>
        <w:pStyle w:val="PR1"/>
        <w:numPr>
          <w:ilvl w:val="4"/>
          <w:numId w:val="1"/>
        </w:numPr>
        <w:rPr/>
      </w:pPr>
      <w:r>
        <w:rPr/>
        <w:t xml:space="preserve">Sheathing Repair Tape: Elastic, self-adhesive, moistureproof tape with minimum width of </w:t>
      </w:r>
      <w:r>
        <w:rPr>
          <w:rStyle w:val="IP"/>
        </w:rPr>
        <w:t>2 inches</w:t>
      </w:r>
      <w:r>
        <w:rPr>
          <w:rStyle w:val="SI"/>
        </w:rPr>
        <w:t xml:space="preserve"> (50 mm)</w:t>
      </w:r>
      <w:r>
        <w:rPr/>
        <w:t>, in contrasting color to tendon sheathing; nonreactive with sheathing, coating, or prestressing steel.</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ART"/>
        <w:numPr>
          <w:ilvl w:val="3"/>
          <w:numId w:val="1"/>
        </w:numPr>
        <w:ind w:hanging="0" w:left="0"/>
        <w:rPr/>
      </w:pPr>
      <w:r>
        <w:rPr/>
        <w:t>PATCHING MATERIAL</w:t>
      </w:r>
    </w:p>
    <w:p>
      <w:pPr>
        <w:pStyle w:val="PR1"/>
        <w:numPr>
          <w:ilvl w:val="4"/>
          <w:numId w:val="1"/>
        </w:numPr>
        <w:rPr/>
      </w:pPr>
      <w:r>
        <w:rPr/>
        <w:t>One-component, polymer-modified, premixed patching material containing selected silica aggregates and portland cement, suitable for vertical and overhead applications. Do not use material containing chlorides or other chemicals known to be deleterious to prestressing steel or material that is reactive with prestressing steel, anchorage device material, or concrete.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FORMWORK</w:t>
      </w:r>
    </w:p>
    <w:p>
      <w:pPr>
        <w:pStyle w:val="PR1"/>
        <w:numPr>
          <w:ilvl w:val="4"/>
          <w:numId w:val="1"/>
        </w:numPr>
        <w:rPr/>
      </w:pPr>
      <w:r>
        <w:rPr/>
        <w:t>Design formwork to support load redistribution that may occur during stressing operation. Ensure that formwork does not restrain elastic shortening, camber, or deflection resulting from application of prestressing force.</w:t>
      </w:r>
    </w:p>
    <w:p>
      <w:pPr>
        <w:pStyle w:val="PR1"/>
        <w:numPr>
          <w:ilvl w:val="4"/>
          <w:numId w:val="1"/>
        </w:numPr>
        <w:rPr/>
      </w:pPr>
      <w:r>
        <w:rPr/>
        <w:t>Do not remove forms supporting post-tensioned elements until tendons have been fully stressed and elongations have been approved by Architect.</w:t>
      </w:r>
    </w:p>
    <w:p>
      <w:pPr>
        <w:pStyle w:val="PR1"/>
        <w:numPr>
          <w:ilvl w:val="4"/>
          <w:numId w:val="1"/>
        </w:numPr>
        <w:rPr/>
      </w:pPr>
      <w:r>
        <w:rPr/>
        <w:t>Do not place concrete in supported floors until tendons on supporting floors have been stressed and elongations have been approved by Architect.</w:t>
      </w:r>
    </w:p>
    <w:p>
      <w:pPr>
        <w:pStyle w:val="ART"/>
        <w:numPr>
          <w:ilvl w:val="3"/>
          <w:numId w:val="1"/>
        </w:numPr>
        <w:ind w:hanging="0" w:left="0"/>
        <w:rPr/>
      </w:pPr>
      <w:r>
        <w:rPr/>
        <w:t>INSTALLATION OF NONPRESTRESSED STEEL REINFORCEMENT</w:t>
      </w:r>
    </w:p>
    <w:p>
      <w:pPr>
        <w:pStyle w:val="PR1"/>
        <w:numPr>
          <w:ilvl w:val="4"/>
          <w:numId w:val="1"/>
        </w:numPr>
        <w:rPr/>
      </w:pPr>
      <w:r>
        <w:rPr/>
        <w:t>Placement of nonprestressed steel reinforcement is specified in Section 032000 "Concrete Reinforcing." Coordinate placement of nonprestressed steel reinforcement with installation of post-tensioning tendons.</w:t>
      </w:r>
    </w:p>
    <w:p>
      <w:pPr>
        <w:pStyle w:val="ART"/>
        <w:numPr>
          <w:ilvl w:val="3"/>
          <w:numId w:val="1"/>
        </w:numPr>
        <w:ind w:hanging="0" w:left="0"/>
        <w:rPr/>
      </w:pPr>
      <w:r>
        <w:rPr/>
        <w:t>INSTALLATION OF TENDONS</w:t>
      </w:r>
    </w:p>
    <w:p>
      <w:pPr>
        <w:pStyle w:val="PR1"/>
        <w:numPr>
          <w:ilvl w:val="4"/>
          <w:numId w:val="1"/>
        </w:numPr>
        <w:rPr/>
      </w:pPr>
      <w:r>
        <w:rPr/>
        <w:t>Install tendons according to installation drawings and procedures stated in PTI's "Field Procedures Manual for Unbonded Single Strand Tendons."</w:t>
      </w:r>
    </w:p>
    <w:p>
      <w:pPr>
        <w:pStyle w:val="PR2"/>
        <w:numPr>
          <w:ilvl w:val="5"/>
          <w:numId w:val="1"/>
        </w:numPr>
        <w:spacing w:before="240" w:after="0"/>
        <w:rPr/>
      </w:pPr>
      <w:r>
        <w:rPr/>
        <w:t>Tolerances: Comply with tolerances in ACI 423.7 for beams and slabs.</w:t>
      </w:r>
    </w:p>
    <w:p>
      <w:pPr>
        <w:pStyle w:val="PR1"/>
        <w:numPr>
          <w:ilvl w:val="4"/>
          <w:numId w:val="1"/>
        </w:numPr>
        <w:rPr/>
      </w:pPr>
      <w:r>
        <w:rPr/>
        <w:t xml:space="preserve">Tendon Supports: Provide continuous slab bolsters or bars supported on individual high chairs spaced at a maximum of </w:t>
      </w:r>
      <w:r>
        <w:rPr>
          <w:rStyle w:val="IP"/>
        </w:rPr>
        <w:t>42 inches</w:t>
      </w:r>
      <w:r>
        <w:rPr>
          <w:rStyle w:val="SI"/>
        </w:rPr>
        <w:t xml:space="preserve"> (1070 mm)</w:t>
      </w:r>
      <w:r>
        <w:rPr/>
        <w:t xml:space="preserve"> o.c. to ensure tendons remain in their designated positions during construction operations and concrete placement.</w:t>
      </w:r>
    </w:p>
    <w:p>
      <w:pPr>
        <w:pStyle w:val="PR2"/>
        <w:numPr>
          <w:ilvl w:val="5"/>
          <w:numId w:val="1"/>
        </w:numPr>
        <w:spacing w:before="240" w:after="0"/>
        <w:rPr/>
      </w:pPr>
      <w:r>
        <w:rPr/>
        <w:t xml:space="preserve">Support tendons as required to provide profiles shown on installation drawings. Position supports at high and low points and at intervals not exceeding </w:t>
      </w:r>
      <w:r>
        <w:rPr>
          <w:rStyle w:val="IP"/>
        </w:rPr>
        <w:t>48 inches</w:t>
      </w:r>
      <w:r>
        <w:rPr>
          <w:rStyle w:val="SI"/>
        </w:rPr>
        <w:t xml:space="preserve"> (1220 mm)</w:t>
      </w:r>
      <w:r>
        <w:rPr/>
        <w:t>. Ensure that tendon profiles between high and low points are smooth parabolic curves.</w:t>
      </w:r>
    </w:p>
    <w:p>
      <w:pPr>
        <w:pStyle w:val="PR2"/>
        <w:numPr>
          <w:ilvl w:val="5"/>
          <w:numId w:val="1"/>
        </w:numPr>
        <w:rPr/>
      </w:pPr>
      <w:r>
        <w:rPr/>
        <w:t>Attach tendons to supporting chairs and reinforcement without damaging tendon sheathing.</w:t>
      </w:r>
    </w:p>
    <w:p>
      <w:pPr>
        <w:pStyle w:val="PR2"/>
        <w:numPr>
          <w:ilvl w:val="5"/>
          <w:numId w:val="1"/>
        </w:numPr>
        <w:rPr/>
      </w:pPr>
      <w:r>
        <w:rPr/>
        <w:t>Support slab tendons independent of beam reinforcement.</w:t>
      </w:r>
    </w:p>
    <w:p>
      <w:pPr>
        <w:pStyle w:val="PR1"/>
        <w:numPr>
          <w:ilvl w:val="4"/>
          <w:numId w:val="1"/>
        </w:numPr>
        <w:rPr/>
      </w:pPr>
      <w:r>
        <w:rPr/>
        <w:t>Maintain tendon profile within maximum allowable deviations from design profile as follows:</w:t>
      </w:r>
    </w:p>
    <w:p>
      <w:pPr>
        <w:pStyle w:val="PR2"/>
        <w:numPr>
          <w:ilvl w:val="5"/>
          <w:numId w:val="1"/>
        </w:numPr>
        <w:spacing w:before="240" w:after="0"/>
        <w:rPr/>
      </w:pPr>
      <w:r>
        <w:rPr>
          <w:rStyle w:val="IP"/>
        </w:rPr>
        <w:t>1/4 inch</w:t>
      </w:r>
      <w:r>
        <w:rPr>
          <w:rStyle w:val="SI"/>
        </w:rPr>
        <w:t xml:space="preserve"> (6.3 mm)</w:t>
      </w:r>
      <w:r>
        <w:rPr/>
        <w:t xml:space="preserve"> for member depth less than or equal to </w:t>
      </w:r>
      <w:r>
        <w:rPr>
          <w:rStyle w:val="IP"/>
        </w:rPr>
        <w:t>8 inches</w:t>
      </w:r>
      <w:r>
        <w:rPr>
          <w:rStyle w:val="SI"/>
        </w:rPr>
        <w:t xml:space="preserve"> (200 mm)</w:t>
      </w:r>
      <w:r>
        <w:rPr/>
        <w:t>.</w:t>
      </w:r>
    </w:p>
    <w:p>
      <w:pPr>
        <w:pStyle w:val="PR2"/>
        <w:numPr>
          <w:ilvl w:val="5"/>
          <w:numId w:val="1"/>
        </w:numPr>
        <w:rPr/>
      </w:pPr>
      <w:r>
        <w:rPr>
          <w:rStyle w:val="IP"/>
        </w:rPr>
        <w:t>3/8 inch</w:t>
      </w:r>
      <w:r>
        <w:rPr>
          <w:rStyle w:val="SI"/>
        </w:rPr>
        <w:t xml:space="preserve"> (9.5 mm)</w:t>
      </w:r>
      <w:r>
        <w:rPr/>
        <w:t xml:space="preserve"> for member depth greater than </w:t>
      </w:r>
      <w:r>
        <w:rPr>
          <w:rStyle w:val="IP"/>
        </w:rPr>
        <w:t>8 inches</w:t>
      </w:r>
      <w:r>
        <w:rPr>
          <w:rStyle w:val="SI"/>
        </w:rPr>
        <w:t xml:space="preserve"> (200 mm)</w:t>
      </w:r>
      <w:r>
        <w:rPr/>
        <w:t xml:space="preserve"> and less than or equal to </w:t>
      </w:r>
      <w:r>
        <w:rPr>
          <w:rStyle w:val="IP"/>
        </w:rPr>
        <w:t>24 inches</w:t>
      </w:r>
      <w:r>
        <w:rPr>
          <w:rStyle w:val="SI"/>
        </w:rPr>
        <w:t xml:space="preserve"> (610 mm)</w:t>
      </w:r>
      <w:r>
        <w:rPr/>
        <w:t>.</w:t>
      </w:r>
    </w:p>
    <w:p>
      <w:pPr>
        <w:pStyle w:val="PR2"/>
        <w:numPr>
          <w:ilvl w:val="5"/>
          <w:numId w:val="1"/>
        </w:numPr>
        <w:rPr/>
      </w:pPr>
      <w:r>
        <w:rPr>
          <w:rStyle w:val="IP"/>
        </w:rPr>
        <w:t>1/2 inch</w:t>
      </w:r>
      <w:r>
        <w:rPr>
          <w:rStyle w:val="SI"/>
        </w:rPr>
        <w:t xml:space="preserve"> (13 mm)</w:t>
      </w:r>
      <w:r>
        <w:rPr/>
        <w:t xml:space="preserve"> for member depth greater than </w:t>
      </w:r>
      <w:r>
        <w:rPr>
          <w:rStyle w:val="IP"/>
        </w:rPr>
        <w:t>24 inches</w:t>
      </w:r>
      <w:r>
        <w:rPr>
          <w:rStyle w:val="SI"/>
        </w:rPr>
        <w:t xml:space="preserve"> (610 mm)</w:t>
      </w:r>
      <w:r>
        <w:rPr/>
        <w:t>.</w:t>
      </w:r>
    </w:p>
    <w:p>
      <w:pPr>
        <w:pStyle w:val="PR1"/>
        <w:numPr>
          <w:ilvl w:val="4"/>
          <w:numId w:val="1"/>
        </w:numPr>
        <w:rPr/>
      </w:pPr>
      <w:r>
        <w:rPr/>
        <w:t xml:space="preserve">Maintain minimum radius of curvature of 480-strand diameters for lateral deviations to avoid openings, ducts, and embedded items. Maintain a minimum of </w:t>
      </w:r>
      <w:r>
        <w:rPr>
          <w:rStyle w:val="IP"/>
        </w:rPr>
        <w:t>2 inches</w:t>
      </w:r>
      <w:r>
        <w:rPr>
          <w:rStyle w:val="SI"/>
        </w:rPr>
        <w:t xml:space="preserve"> (50 mm)</w:t>
      </w:r>
      <w:r>
        <w:rPr/>
        <w:t xml:space="preserve"> of separation between tendons at locations of curvature.</w:t>
      </w:r>
    </w:p>
    <w:p>
      <w:pPr>
        <w:pStyle w:val="PR1"/>
        <w:numPr>
          <w:ilvl w:val="4"/>
          <w:numId w:val="1"/>
        </w:numPr>
        <w:rPr/>
      </w:pPr>
      <w:r>
        <w:rPr/>
        <w:t>Limit tendon bundles to [</w:t>
      </w:r>
      <w:r>
        <w:rPr>
          <w:b/>
        </w:rPr>
        <w:t>five</w:t>
      </w:r>
      <w:r>
        <w:rPr/>
        <w:t>] &lt;</w:t>
      </w:r>
      <w:r>
        <w:rPr>
          <w:b/>
        </w:rPr>
        <w:t>Insert number</w:t>
      </w:r>
      <w:r>
        <w:rPr/>
        <w:t xml:space="preserve">&gt; tendons. Do not twist or entwine tendons within a bundle. Maintain a minimum distance of </w:t>
      </w:r>
      <w:r>
        <w:rPr>
          <w:rStyle w:val="IP"/>
        </w:rPr>
        <w:t>12 inches</w:t>
      </w:r>
      <w:r>
        <w:rPr>
          <w:rStyle w:val="SI"/>
        </w:rPr>
        <w:t xml:space="preserve"> (300 mm)</w:t>
      </w:r>
      <w:r>
        <w:rPr/>
        <w:t xml:space="preserve"> between center of adjacent bundles.</w:t>
      </w:r>
    </w:p>
    <w:p>
      <w:pPr>
        <w:pStyle w:val="PR1"/>
        <w:numPr>
          <w:ilvl w:val="4"/>
          <w:numId w:val="1"/>
        </w:numPr>
        <w:rPr/>
      </w:pPr>
      <w:r>
        <w:rPr/>
        <w:t>If tendon locations conflict with nonprestressed reinforcement or embedded items, tendon placement governs. Obtain Architect's approval before relocating tendons or tendon anchorages that interfere with one another.</w:t>
      </w:r>
    </w:p>
    <w:p>
      <w:pPr>
        <w:pStyle w:val="PR1"/>
        <w:numPr>
          <w:ilvl w:val="4"/>
          <w:numId w:val="1"/>
        </w:numPr>
        <w:rPr/>
      </w:pPr>
      <w:r>
        <w:rPr/>
        <w:t>Deviations in horizontal spacing and location of slab tendons are permitted when required to avoid openings and inserts.</w:t>
      </w:r>
    </w:p>
    <w:p>
      <w:pPr>
        <w:pStyle w:val="PR1"/>
        <w:numPr>
          <w:ilvl w:val="4"/>
          <w:numId w:val="1"/>
        </w:numPr>
        <w:rPr/>
      </w:pPr>
      <w:r>
        <w:rPr/>
        <w:t>Installation of Anchorages:</w:t>
      </w:r>
    </w:p>
    <w:p>
      <w:pPr>
        <w:pStyle w:val="PR2"/>
        <w:numPr>
          <w:ilvl w:val="5"/>
          <w:numId w:val="1"/>
        </w:numPr>
        <w:spacing w:before="240" w:after="0"/>
        <w:rPr/>
      </w:pPr>
      <w:r>
        <w:rPr/>
        <w:t>Place anchorages at locations shown on approved installation drawings.</w:t>
      </w:r>
    </w:p>
    <w:p>
      <w:pPr>
        <w:pStyle w:val="PR2"/>
        <w:numPr>
          <w:ilvl w:val="5"/>
          <w:numId w:val="1"/>
        </w:numPr>
        <w:rPr/>
      </w:pPr>
      <w:r>
        <w:rPr/>
        <w:t>Do not switch fixed- and stressing-end anchorage locations.</w:t>
      </w:r>
    </w:p>
    <w:p>
      <w:pPr>
        <w:pStyle w:val="PR2"/>
        <w:numPr>
          <w:ilvl w:val="5"/>
          <w:numId w:val="1"/>
        </w:numPr>
        <w:rPr/>
      </w:pPr>
      <w:r>
        <w:rPr/>
        <w:t>Attach pocket formers, intermediate anchorages, and stressing-end anchorages securely to bulkhead forms. Install stressing-end and intermediate anchorages perpendicular to tendon axis.</w:t>
      </w:r>
    </w:p>
    <w:p>
      <w:pPr>
        <w:pStyle w:val="PR2"/>
        <w:numPr>
          <w:ilvl w:val="5"/>
          <w:numId w:val="1"/>
        </w:numPr>
        <w:rPr/>
      </w:pPr>
      <w:r>
        <w:rPr/>
        <w:t xml:space="preserve">Install tendons straight, without vertical or horizontal curvature, for a minimum of </w:t>
      </w:r>
      <w:r>
        <w:rPr>
          <w:rStyle w:val="IP"/>
        </w:rPr>
        <w:t>12 inches</w:t>
      </w:r>
      <w:r>
        <w:rPr>
          <w:rStyle w:val="SI"/>
        </w:rPr>
        <w:t xml:space="preserve"> (300 mm)</w:t>
      </w:r>
      <w:r>
        <w:rPr/>
        <w:t xml:space="preserve"> behind stressing-end and intermediate anchorages.</w:t>
      </w:r>
    </w:p>
    <w:p>
      <w:pPr>
        <w:pStyle w:val="PR2"/>
        <w:numPr>
          <w:ilvl w:val="5"/>
          <w:numId w:val="1"/>
        </w:numPr>
        <w:rPr/>
      </w:pPr>
      <w:r>
        <w:rPr/>
        <w:t>Embed intermediate anchorage devices at construction joints in first concrete placed at joint.</w:t>
      </w:r>
    </w:p>
    <w:p>
      <w:pPr>
        <w:pStyle w:val="PR2"/>
        <w:numPr>
          <w:ilvl w:val="5"/>
          <w:numId w:val="1"/>
        </w:numPr>
        <w:rPr/>
      </w:pPr>
      <w:r>
        <w:rPr/>
        <w:t xml:space="preserve">Minimum splice length in reinforcing bars at anchorages is </w:t>
      </w:r>
      <w:r>
        <w:rPr>
          <w:rStyle w:val="IP"/>
        </w:rPr>
        <w:t>24 inches</w:t>
      </w:r>
      <w:r>
        <w:rPr>
          <w:rStyle w:val="SI"/>
        </w:rPr>
        <w:t xml:space="preserve"> (600 mm)</w:t>
      </w:r>
      <w:r>
        <w:rPr/>
        <w:t xml:space="preserve">. Stagger splices a minimum of </w:t>
      </w:r>
      <w:r>
        <w:rPr>
          <w:rStyle w:val="IP"/>
        </w:rPr>
        <w:t>60 inches</w:t>
      </w:r>
      <w:r>
        <w:rPr>
          <w:rStyle w:val="SI"/>
        </w:rPr>
        <w:t xml:space="preserve"> (1500 mm)</w:t>
      </w:r>
      <w:r>
        <w:rPr/>
        <w:t>.</w:t>
      </w:r>
    </w:p>
    <w:p>
      <w:pPr>
        <w:pStyle w:val="PR2"/>
        <w:numPr>
          <w:ilvl w:val="5"/>
          <w:numId w:val="1"/>
        </w:numPr>
        <w:rPr/>
      </w:pPr>
      <w:r>
        <w:rPr/>
        <w:t>Place fixed-end anchorages in formwork at locations shown on installation drawings. Support anchorages firmly to avoid movement during concrete placement.</w:t>
      </w:r>
    </w:p>
    <w:p>
      <w:pPr>
        <w:pStyle w:val="CMT"/>
        <w:rPr/>
      </w:pPr>
      <w:r>
        <w:rPr/>
        <w:t>Retain subparagraph below if specifying an encapsulated system. Revise as necessary if specifying an encapsulated system only for certain portions of structure.</w:t>
      </w:r>
    </w:p>
    <w:p>
      <w:pPr>
        <w:pStyle w:val="PR2"/>
        <w:numPr>
          <w:ilvl w:val="5"/>
          <w:numId w:val="1"/>
        </w:numPr>
        <w:rPr/>
      </w:pPr>
      <w:r>
        <w:rPr/>
        <w:t>Remove loose encapsulation caps on fixed-end anchorages, refill with post-tensioning coating, and re-attach encapsulation caps to achieve a watertight enclosure.</w:t>
      </w:r>
    </w:p>
    <w:p>
      <w:pPr>
        <w:pStyle w:val="PR1"/>
        <w:numPr>
          <w:ilvl w:val="4"/>
          <w:numId w:val="1"/>
        </w:numPr>
        <w:rPr/>
      </w:pPr>
      <w:r>
        <w:rPr/>
        <w:t>Maintain minimum concrete cover as follows:</w:t>
      </w:r>
    </w:p>
    <w:p>
      <w:pPr>
        <w:pStyle w:val="CMT"/>
        <w:rPr/>
      </w:pPr>
      <w:r>
        <w:rPr/>
        <w:t>ACI 423.7 requires that cover for wedge cavity be a minimum of 1-1/2 inches (38 mm) for nonaggressive environments and 2 inches (50 mm) for aggressive environments.</w:t>
      </w:r>
    </w:p>
    <w:p>
      <w:pPr>
        <w:pStyle w:val="PR2"/>
        <w:numPr>
          <w:ilvl w:val="5"/>
          <w:numId w:val="1"/>
        </w:numPr>
        <w:spacing w:before="240" w:after="0"/>
        <w:rPr/>
      </w:pPr>
      <w:r>
        <w:rPr/>
        <w:t>From Exterior Edge of Concrete to Wedge Cavity: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w:t>
      </w:r>
    </w:p>
    <w:p>
      <w:pPr>
        <w:pStyle w:val="CMT"/>
        <w:rPr/>
      </w:pPr>
      <w:r>
        <w:rPr/>
        <w:t>Retain "From Exterior Edge of Concrete to Strand Tail" Subparagraph below if specifying a nonencapsulated system. Revise as necessary if specifying an encapsulated system only for certain portions of structure.</w:t>
      </w:r>
    </w:p>
    <w:p>
      <w:pPr>
        <w:pStyle w:val="PR2"/>
        <w:numPr>
          <w:ilvl w:val="5"/>
          <w:numId w:val="1"/>
        </w:numPr>
        <w:rPr/>
      </w:pPr>
      <w:r>
        <w:rPr/>
        <w:t>From Exterior Edge of Concrete to Strand Tail: [</w:t>
      </w:r>
      <w:r>
        <w:rPr>
          <w:rStyle w:val="IP"/>
          <w:b/>
        </w:rPr>
        <w:t>3/4 inch</w:t>
      </w:r>
      <w:r>
        <w:rPr>
          <w:rStyle w:val="SI"/>
          <w:b/>
        </w:rPr>
        <w:t xml:space="preserve"> (19 mm)</w:t>
      </w:r>
      <w:r>
        <w:rPr/>
        <w:t>] &lt;</w:t>
      </w:r>
      <w:r>
        <w:rPr>
          <w:b/>
        </w:rPr>
        <w:t>Insert dimension</w:t>
      </w:r>
      <w:r>
        <w:rPr/>
        <w:t>&gt;.</w:t>
      </w:r>
    </w:p>
    <w:p>
      <w:pPr>
        <w:pStyle w:val="CMT"/>
        <w:rPr/>
      </w:pPr>
      <w:r>
        <w:rPr/>
        <w:t>Retain "From Exterior Edge of Concrete to Wedge-Cavity Cap" Subparagraph below if specifying an encapsulated system. Revise as necessary if specifying an encapsulated system only for certain portions of structure.</w:t>
      </w:r>
    </w:p>
    <w:p>
      <w:pPr>
        <w:pStyle w:val="PR2"/>
        <w:numPr>
          <w:ilvl w:val="5"/>
          <w:numId w:val="1"/>
        </w:numPr>
        <w:rPr/>
      </w:pPr>
      <w:r>
        <w:rPr/>
        <w:t>From Exterior Edge of Concrete to Wedge-Cavity Cap: [</w:t>
      </w:r>
      <w:r>
        <w:rPr>
          <w:rStyle w:val="IP"/>
          <w:b/>
        </w:rPr>
        <w:t>1 inch</w:t>
      </w:r>
      <w:r>
        <w:rPr>
          <w:rStyle w:val="SI"/>
          <w:b/>
        </w:rPr>
        <w:t xml:space="preserve"> (25 mm)</w:t>
      </w:r>
      <w:r>
        <w:rPr/>
        <w:t>] &lt;</w:t>
      </w:r>
      <w:r>
        <w:rPr>
          <w:b/>
        </w:rPr>
        <w:t>Insert dimension</w:t>
      </w:r>
      <w:r>
        <w:rPr/>
        <w:t>&gt;.</w:t>
      </w:r>
    </w:p>
    <w:p>
      <w:pPr>
        <w:pStyle w:val="CMT"/>
        <w:rPr/>
      </w:pPr>
      <w:r>
        <w:rPr/>
        <w:t>A minimum of 1-inch (25-mm) top and edge concrete cover is recommended for anchorage devices in aggressive environments.</w:t>
      </w:r>
    </w:p>
    <w:p>
      <w:pPr>
        <w:pStyle w:val="PR2"/>
        <w:numPr>
          <w:ilvl w:val="5"/>
          <w:numId w:val="1"/>
        </w:numPr>
        <w:rPr/>
      </w:pPr>
      <w:r>
        <w:rPr/>
        <w:t>Top, Bottom, and Edge Cover for Anchorages: [</w:t>
      </w:r>
      <w:r>
        <w:rPr>
          <w:rStyle w:val="IP"/>
          <w:b/>
        </w:rPr>
        <w:t>3/4 inch</w:t>
      </w:r>
      <w:r>
        <w:rPr>
          <w:rStyle w:val="SI"/>
          <w:b/>
        </w:rPr>
        <w:t xml:space="preserve"> (19 mm)</w:t>
      </w:r>
      <w:r>
        <w:rPr/>
        <w:t>] [</w:t>
      </w:r>
      <w:r>
        <w:rPr>
          <w:rStyle w:val="IP"/>
          <w:b/>
        </w:rPr>
        <w:t>1-1/2 inches</w:t>
      </w:r>
      <w:r>
        <w:rPr>
          <w:rStyle w:val="SI"/>
          <w:b/>
        </w:rPr>
        <w:t xml:space="preserve"> (38 mm)</w:t>
      </w:r>
      <w:r>
        <w:rPr/>
        <w:t>] &lt;</w:t>
      </w:r>
      <w:r>
        <w:rPr>
          <w:b/>
        </w:rPr>
        <w:t>Insert dimension</w:t>
      </w:r>
      <w:r>
        <w:rPr/>
        <w:t>&gt;.</w:t>
      </w:r>
    </w:p>
    <w:p>
      <w:pPr>
        <w:pStyle w:val="PR1"/>
        <w:numPr>
          <w:ilvl w:val="4"/>
          <w:numId w:val="1"/>
        </w:numPr>
        <w:rPr/>
      </w:pPr>
      <w:r>
        <w:rPr/>
        <w:t xml:space="preserve">Maintain minimum clearance of </w:t>
      </w:r>
      <w:r>
        <w:rPr>
          <w:rStyle w:val="IP"/>
        </w:rPr>
        <w:t>6 inches</w:t>
      </w:r>
      <w:r>
        <w:rPr>
          <w:rStyle w:val="SI"/>
        </w:rPr>
        <w:t xml:space="preserve"> (150 mm)</w:t>
      </w:r>
      <w:r>
        <w:rPr/>
        <w:t xml:space="preserve"> between tendons and openings.</w:t>
      </w:r>
    </w:p>
    <w:p>
      <w:pPr>
        <w:pStyle w:val="CMT"/>
        <w:rPr/>
      </w:pPr>
      <w:r>
        <w:rPr/>
        <w:t>Paint markings on formwork are transferred to concrete, allowing tendon locations to be determined by examination of slab soffit. Delete first paragraph below or use alternative method of marking tendon locations if soffit is to be exposed or such markings are not required.</w:t>
      </w:r>
    </w:p>
    <w:p>
      <w:pPr>
        <w:pStyle w:val="PR1"/>
        <w:numPr>
          <w:ilvl w:val="4"/>
          <w:numId w:val="1"/>
        </w:numPr>
        <w:rPr/>
      </w:pPr>
      <w:r>
        <w:rPr/>
        <w:t>Prior to concrete placement, mark tendon locations on formwork with spray paint.</w:t>
      </w:r>
    </w:p>
    <w:p>
      <w:pPr>
        <w:pStyle w:val="PR1"/>
        <w:numPr>
          <w:ilvl w:val="4"/>
          <w:numId w:val="1"/>
        </w:numPr>
        <w:rPr/>
      </w:pPr>
      <w:r>
        <w:rPr/>
        <w:t>Do not install sleeves within [</w:t>
      </w:r>
      <w:r>
        <w:rPr>
          <w:rStyle w:val="IP"/>
          <w:b/>
        </w:rPr>
        <w:t>36 inches</w:t>
      </w:r>
      <w:r>
        <w:rPr>
          <w:rStyle w:val="SI"/>
          <w:b/>
        </w:rPr>
        <w:t xml:space="preserve"> (914 mm)</w:t>
      </w:r>
      <w:r>
        <w:rPr/>
        <w:t>] &lt;</w:t>
      </w:r>
      <w:r>
        <w:rPr>
          <w:b/>
        </w:rPr>
        <w:t>Insert dimension</w:t>
      </w:r>
      <w:r>
        <w:rPr/>
        <w:t>&gt; of anchorages after tendon layout has been inspected.</w:t>
      </w:r>
    </w:p>
    <w:p>
      <w:pPr>
        <w:pStyle w:val="PR1"/>
        <w:numPr>
          <w:ilvl w:val="4"/>
          <w:numId w:val="1"/>
        </w:numPr>
        <w:rPr/>
      </w:pPr>
      <w:r>
        <w:rPr/>
        <w:t>Do not install conduit, pipe, or embeds requiring movement of tendons after tendon layout has been inspected.</w:t>
      </w:r>
    </w:p>
    <w:p>
      <w:pPr>
        <w:pStyle w:val="PR1"/>
        <w:numPr>
          <w:ilvl w:val="4"/>
          <w:numId w:val="1"/>
        </w:numPr>
        <w:rPr/>
      </w:pPr>
      <w:r>
        <w:rPr/>
        <w:t>Do not use couplers unless location has been approved by Architect.</w:t>
      </w:r>
    </w:p>
    <w:p>
      <w:pPr>
        <w:pStyle w:val="ART"/>
        <w:numPr>
          <w:ilvl w:val="3"/>
          <w:numId w:val="1"/>
        </w:numPr>
        <w:ind w:hanging="0" w:left="0"/>
        <w:rPr/>
      </w:pPr>
      <w:r>
        <w:rPr/>
        <w:t>SHEATHING INSPECTION AND REPAIR</w:t>
      </w:r>
    </w:p>
    <w:p>
      <w:pPr>
        <w:pStyle w:val="CMT"/>
        <w:rPr/>
      </w:pPr>
      <w:r>
        <w:rPr/>
        <w:t>Limited damage may be acceptable for tendons not intended for use in an aggressive environment; revise first paragraph below if this is permitted.</w:t>
      </w:r>
    </w:p>
    <w:p>
      <w:pPr>
        <w:pStyle w:val="PR1"/>
        <w:numPr>
          <w:ilvl w:val="4"/>
          <w:numId w:val="1"/>
        </w:numPr>
        <w:rPr/>
      </w:pPr>
      <w:r>
        <w:rPr/>
        <w:t>Inspect sheathing for damage after installing tendons. Repair damaged areas by restoring post-tensioning coating and repairing or replacing tendon sheathing.</w:t>
      </w:r>
    </w:p>
    <w:p>
      <w:pPr>
        <w:pStyle w:val="PR2"/>
        <w:numPr>
          <w:ilvl w:val="5"/>
          <w:numId w:val="1"/>
        </w:numPr>
        <w:spacing w:before="240" w:after="0"/>
        <w:rPr/>
      </w:pPr>
      <w:r>
        <w:rPr/>
        <w:t>Ensure that sheathing is watertight and there are no air voids.</w:t>
      </w:r>
    </w:p>
    <w:p>
      <w:pPr>
        <w:pStyle w:val="PR2"/>
        <w:numPr>
          <w:ilvl w:val="5"/>
          <w:numId w:val="1"/>
        </w:numPr>
        <w:rPr/>
      </w:pPr>
      <w:r>
        <w:rPr/>
        <w:t>Follow tape repair procedures in PTI's "Field Procedures Manual for Unbonded Single Strand Tendons."</w:t>
      </w:r>
    </w:p>
    <w:p>
      <w:pPr>
        <w:pStyle w:val="CMT"/>
        <w:rPr/>
      </w:pPr>
      <w:r>
        <w:rPr/>
        <w:t>Retain first paragraph below if specifying a nonencapsulated system. With nonencapsulated systems, Architect can specify length of exposed strand that is allowed. General practice is to allow up to 12 inches (300 mm) of exposed strand at fixed-end anchorage. The Commentary in ACI 423.7 indicates that a maximum of 1 inch (25 mm) of exposed strand is normally allowed at stressing-end anchorages. Many architects, however, require that exposed strand at intermediate and stressing-end anchorages be taped to avoid problems during stressing. In an encapsulated system, no exposed strand is allowed at anchorages. Revise below if specifying an encapsulated system only for certain portions of structure.</w:t>
      </w:r>
    </w:p>
    <w:p>
      <w:pPr>
        <w:pStyle w:val="PR1"/>
        <w:numPr>
          <w:ilvl w:val="4"/>
          <w:numId w:val="1"/>
        </w:numPr>
        <w:rPr/>
      </w:pPr>
      <w:r>
        <w:rPr/>
        <w:t>Maximum length of exposed strand behind anchorages is as follows:</w:t>
      </w:r>
    </w:p>
    <w:p>
      <w:pPr>
        <w:pStyle w:val="PR2"/>
        <w:numPr>
          <w:ilvl w:val="5"/>
          <w:numId w:val="1"/>
        </w:numPr>
        <w:spacing w:before="240" w:after="0"/>
        <w:rPr/>
      </w:pPr>
      <w:r>
        <w:rPr/>
        <w:t>Fixed End: [</w:t>
      </w:r>
      <w:r>
        <w:rPr>
          <w:rStyle w:val="IP"/>
          <w:b/>
        </w:rPr>
        <w:t>12 inches</w:t>
      </w:r>
      <w:r>
        <w:rPr>
          <w:rStyle w:val="SI"/>
          <w:b/>
        </w:rPr>
        <w:t xml:space="preserve"> (300 mm)</w:t>
      </w:r>
      <w:r>
        <w:rPr/>
        <w:t>] &lt;</w:t>
      </w:r>
      <w:r>
        <w:rPr>
          <w:b/>
        </w:rPr>
        <w:t>Insert dimension</w:t>
      </w:r>
      <w:r>
        <w:rPr/>
        <w:t>&gt;.</w:t>
      </w:r>
    </w:p>
    <w:p>
      <w:pPr>
        <w:pStyle w:val="PR2"/>
        <w:numPr>
          <w:ilvl w:val="5"/>
          <w:numId w:val="1"/>
        </w:numPr>
        <w:rPr/>
      </w:pPr>
      <w:r>
        <w:rPr/>
        <w:t>Intermediate and Stressing End: [</w:t>
      </w:r>
      <w:r>
        <w:rPr>
          <w:rStyle w:val="IP"/>
          <w:b/>
        </w:rPr>
        <w:t>1 inch</w:t>
      </w:r>
      <w:r>
        <w:rPr>
          <w:rStyle w:val="SI"/>
          <w:b/>
        </w:rPr>
        <w:t xml:space="preserve"> (25 mm)</w:t>
      </w:r>
      <w:r>
        <w:rPr/>
        <w:t>] &lt;</w:t>
      </w:r>
      <w:r>
        <w:rPr>
          <w:b/>
        </w:rPr>
        <w:t>Insert dimension</w:t>
      </w:r>
      <w:r>
        <w:rPr/>
        <w:t>&gt;.</w:t>
      </w:r>
    </w:p>
    <w:p>
      <w:pPr>
        <w:pStyle w:val="CMT"/>
        <w:rPr/>
      </w:pPr>
      <w:r>
        <w:rPr/>
        <w:t>Retain subparagraph below if retaining option in "Intermediate and Stressing End" Subparagraph above for maximum length of exposed strand at intermediate and stressing-end anchorages.</w:t>
      </w:r>
    </w:p>
    <w:p>
      <w:pPr>
        <w:pStyle w:val="PR3"/>
        <w:numPr>
          <w:ilvl w:val="6"/>
          <w:numId w:val="1"/>
        </w:numPr>
        <w:spacing w:before="240" w:after="0"/>
        <w:rPr/>
      </w:pPr>
      <w:r>
        <w:rPr/>
        <w:t>Cover exposed strand with sheathing repair tape to prevent contact with concrete.</w:t>
      </w:r>
    </w:p>
    <w:p>
      <w:pPr>
        <w:pStyle w:val="PR1"/>
        <w:numPr>
          <w:ilvl w:val="4"/>
          <w:numId w:val="1"/>
        </w:numPr>
        <w:rPr/>
      </w:pPr>
      <w:r>
        <w:rPr/>
        <w:t>Immediately remove and replace tendons that have damaged strand.</w:t>
      </w:r>
    </w:p>
    <w:p>
      <w:pPr>
        <w:pStyle w:val="ART"/>
        <w:numPr>
          <w:ilvl w:val="3"/>
          <w:numId w:val="1"/>
        </w:numPr>
        <w:ind w:hanging="0" w:left="0"/>
        <w:rPr/>
      </w:pPr>
      <w:r>
        <w:rPr/>
        <w:t>CONCRETE PLACEMENT</w:t>
      </w:r>
    </w:p>
    <w:p>
      <w:pPr>
        <w:pStyle w:val="CMT"/>
        <w:rPr/>
      </w:pPr>
      <w:r>
        <w:rPr/>
        <w:t>Some codes and jurisdictions require that inspector be hired by Owner; this inspector is called a "special inspector."</w:t>
      </w:r>
    </w:p>
    <w:p>
      <w:pPr>
        <w:pStyle w:val="PR1"/>
        <w:numPr>
          <w:ilvl w:val="4"/>
          <w:numId w:val="1"/>
        </w:numPr>
        <w:rPr/>
      </w:pPr>
      <w:r>
        <w:rPr/>
        <w:t>Do not place concrete until placement of tendons and nonprestressed-steel reinforcement has been inspected by [</w:t>
      </w:r>
      <w:r>
        <w:rPr>
          <w:b/>
        </w:rPr>
        <w:t>special inspector</w:t>
      </w:r>
      <w:r>
        <w:rPr/>
        <w:t>] [</w:t>
      </w:r>
      <w:r>
        <w:rPr>
          <w:b/>
        </w:rPr>
        <w:t>testing agency</w:t>
      </w:r>
      <w:r>
        <w:rPr/>
        <w:t>].</w:t>
      </w:r>
    </w:p>
    <w:p>
      <w:pPr>
        <w:pStyle w:val="PR1"/>
        <w:numPr>
          <w:ilvl w:val="4"/>
          <w:numId w:val="1"/>
        </w:numPr>
        <w:rPr/>
      </w:pPr>
      <w:r>
        <w:rPr/>
        <w:t>Provide Architect and [</w:t>
      </w:r>
      <w:r>
        <w:rPr>
          <w:b/>
        </w:rPr>
        <w:t>special inspector</w:t>
      </w:r>
      <w:r>
        <w:rPr/>
        <w:t>] [</w:t>
      </w:r>
      <w:r>
        <w:rPr>
          <w:b/>
        </w:rPr>
        <w:t>testing agency</w:t>
      </w:r>
      <w:r>
        <w:rPr/>
        <w:t>] a minimum of 48 hours' notice before concrete placement.</w:t>
      </w:r>
    </w:p>
    <w:p>
      <w:pPr>
        <w:pStyle w:val="PR1"/>
        <w:numPr>
          <w:ilvl w:val="4"/>
          <w:numId w:val="1"/>
        </w:numPr>
        <w:rPr/>
      </w:pPr>
      <w:r>
        <w:rPr/>
        <w:t>Ensure compaction of concrete around anchorages.</w:t>
      </w:r>
    </w:p>
    <w:p>
      <w:pPr>
        <w:pStyle w:val="PR1"/>
        <w:numPr>
          <w:ilvl w:val="4"/>
          <w:numId w:val="1"/>
        </w:numPr>
        <w:rPr/>
      </w:pPr>
      <w:r>
        <w:rPr/>
        <w:t>Ensure that position of tendons and nonprestressed-steel reinforcement do not change during concrete placement. Reposition tendons and nonprestressed-steel reinforcement moved during concrete placement to original location.</w:t>
      </w:r>
    </w:p>
    <w:p>
      <w:pPr>
        <w:pStyle w:val="PR1"/>
        <w:numPr>
          <w:ilvl w:val="4"/>
          <w:numId w:val="1"/>
        </w:numPr>
        <w:rPr/>
      </w:pPr>
      <w:r>
        <w:rPr/>
        <w:t>Ensure that method of concrete placement does not damage tendon sheathing. Do not support pump lines, chutes, or other concrete-placing equipment on tendons.</w:t>
      </w:r>
    </w:p>
    <w:p>
      <w:pPr>
        <w:pStyle w:val="ART"/>
        <w:numPr>
          <w:ilvl w:val="3"/>
          <w:numId w:val="1"/>
        </w:numPr>
        <w:ind w:hanging="0" w:left="0"/>
        <w:rPr/>
      </w:pPr>
      <w:r>
        <w:rPr/>
        <w:t>TENDON STRESSING</w:t>
      </w:r>
    </w:p>
    <w:p>
      <w:pPr>
        <w:pStyle w:val="CMT"/>
        <w:rPr/>
      </w:pPr>
      <w:r>
        <w:rPr/>
        <w:t>Revise first paragraph below to suit Project. It is typically unnecessary to calibrate the jack for small projects lasting less than a few months if the jack has been calibrated within the last six months.</w:t>
      </w:r>
    </w:p>
    <w:p>
      <w:pPr>
        <w:pStyle w:val="PR1"/>
        <w:numPr>
          <w:ilvl w:val="4"/>
          <w:numId w:val="1"/>
        </w:numPr>
        <w:rPr/>
      </w:pPr>
      <w:r>
        <w:rPr/>
        <w:t>Calibrate stressing jacks and gages at start of project and at least every six months thereafter. Keep copies of calibration certificates for each jack-and-gage pair on Project site that are available for inspection. Exercise care in handling stressing equipment to ensure that proper calibration is maintained.</w:t>
      </w:r>
    </w:p>
    <w:p>
      <w:pPr>
        <w:pStyle w:val="PR1"/>
        <w:numPr>
          <w:ilvl w:val="4"/>
          <w:numId w:val="1"/>
        </w:numPr>
        <w:rPr/>
      </w:pPr>
      <w:r>
        <w:rPr/>
        <w:t>Stress tendons only under supervision of a qualified post-tensioning superintendent.</w:t>
      </w:r>
    </w:p>
    <w:p>
      <w:pPr>
        <w:pStyle w:val="CMT"/>
        <w:rPr/>
      </w:pPr>
      <w:r>
        <w:rPr/>
        <w:t>Coordinate concrete strength required with requirements of post-tensioning supplier.</w:t>
      </w:r>
    </w:p>
    <w:p>
      <w:pPr>
        <w:pStyle w:val="PR1"/>
        <w:numPr>
          <w:ilvl w:val="4"/>
          <w:numId w:val="1"/>
        </w:numPr>
        <w:rPr/>
      </w:pPr>
      <w:r>
        <w:rPr/>
        <w:t>Do not begin stressing operations until concrete compressive strength has reached [</w:t>
      </w:r>
      <w:r>
        <w:rPr>
          <w:rStyle w:val="IP"/>
          <w:b/>
        </w:rPr>
        <w:t>3000 psi</w:t>
      </w:r>
      <w:r>
        <w:rPr>
          <w:rStyle w:val="SI"/>
          <w:b/>
        </w:rPr>
        <w:t xml:space="preserve"> (20.7 MPa)</w:t>
      </w:r>
      <w:r>
        <w:rPr/>
        <w:t>] &lt;</w:t>
      </w:r>
      <w:r>
        <w:rPr>
          <w:b/>
        </w:rPr>
        <w:t>Insert value</w:t>
      </w:r>
      <w:r>
        <w:rPr/>
        <w:t>&gt; as indicated by tests of field-cured cylinders.</w:t>
      </w:r>
    </w:p>
    <w:p>
      <w:pPr>
        <w:pStyle w:val="PR1"/>
        <w:numPr>
          <w:ilvl w:val="4"/>
          <w:numId w:val="1"/>
        </w:numPr>
        <w:rPr/>
      </w:pPr>
      <w:r>
        <w:rPr/>
        <w:t>Complete stressing within [</w:t>
      </w:r>
      <w:r>
        <w:rPr>
          <w:b/>
        </w:rPr>
        <w:t>96</w:t>
      </w:r>
      <w:r>
        <w:rPr/>
        <w:t>] &lt;</w:t>
      </w:r>
      <w:r>
        <w:rPr>
          <w:b/>
        </w:rPr>
        <w:t>Insert number</w:t>
      </w:r>
      <w:r>
        <w:rPr/>
        <w:t>&gt; hours of concrete placement.</w:t>
      </w:r>
    </w:p>
    <w:p>
      <w:pPr>
        <w:pStyle w:val="PR1"/>
        <w:numPr>
          <w:ilvl w:val="4"/>
          <w:numId w:val="1"/>
        </w:numPr>
        <w:rPr/>
      </w:pPr>
      <w:r>
        <w:rPr/>
        <w:t>If concrete has not reached required compressive strength, obtain Architect's approval to partially stress tendons and delay final stressing until concrete has reached required strength.</w:t>
      </w:r>
    </w:p>
    <w:p>
      <w:pPr>
        <w:pStyle w:val="CMT"/>
        <w:rPr/>
      </w:pPr>
      <w:r>
        <w:rPr/>
        <w:t>Retain first paragraph below if stage stressing is required; revise to suit Project.</w:t>
      </w:r>
    </w:p>
    <w:p>
      <w:pPr>
        <w:pStyle w:val="PR1"/>
        <w:numPr>
          <w:ilvl w:val="4"/>
          <w:numId w:val="1"/>
        </w:numPr>
        <w:rPr/>
      </w:pPr>
      <w:r>
        <w:rPr/>
        <w:t>Stage stress [</w:t>
      </w:r>
      <w:r>
        <w:rPr>
          <w:b/>
        </w:rPr>
        <w:t>transfer girders</w:t>
      </w:r>
      <w:r>
        <w:rPr/>
        <w:t>] [</w:t>
      </w:r>
      <w:r>
        <w:rPr>
          <w:b/>
        </w:rPr>
        <w:t>foundation mats</w:t>
      </w:r>
      <w:r>
        <w:rPr/>
        <w:t>] &lt;</w:t>
      </w:r>
      <w:r>
        <w:rPr>
          <w:b/>
        </w:rPr>
        <w:t>Insert work</w:t>
      </w:r>
      <w:r>
        <w:rPr/>
        <w:t>&gt; according to schedule shown on the Contract Drawings.</w:t>
      </w:r>
    </w:p>
    <w:p>
      <w:pPr>
        <w:pStyle w:val="PR1"/>
        <w:numPr>
          <w:ilvl w:val="4"/>
          <w:numId w:val="1"/>
        </w:numPr>
        <w:rPr/>
      </w:pPr>
      <w:r>
        <w:rPr/>
        <w:t>If detensioning and restressing of tendon is required, discard wedges used in original stressing and provide new wedges.</w:t>
      </w:r>
    </w:p>
    <w:p>
      <w:pPr>
        <w:pStyle w:val="CMT"/>
        <w:rPr/>
      </w:pPr>
      <w:r>
        <w:rPr/>
        <w:t>Retain first paragraph below if Contractor will engage a qualified testing agency responsible for marking and measuring elongations.</w:t>
      </w:r>
    </w:p>
    <w:p>
      <w:pPr>
        <w:pStyle w:val="PR1"/>
        <w:numPr>
          <w:ilvl w:val="4"/>
          <w:numId w:val="1"/>
        </w:numPr>
        <w:rPr/>
      </w:pPr>
      <w:r>
        <w:rPr/>
        <w:t>Mark and measure elongations according to PTI's "Field Procedures Manual for Unbonded Single Strand Tendons." Measure elongations to closest [</w:t>
      </w:r>
      <w:r>
        <w:rPr>
          <w:rStyle w:val="IP"/>
          <w:b/>
        </w:rPr>
        <w:t>1/8 inch</w:t>
      </w:r>
      <w:r>
        <w:rPr>
          <w:rStyle w:val="SI"/>
          <w:b/>
        </w:rPr>
        <w:t xml:space="preserve"> (3.2 mm)</w:t>
      </w:r>
      <w:r>
        <w:rPr/>
        <w:t>] &lt;</w:t>
      </w:r>
      <w:r>
        <w:rPr>
          <w:b/>
        </w:rPr>
        <w:t>Insert dimension</w:t>
      </w:r>
      <w:r>
        <w:rPr/>
        <w:t>&gt;.</w:t>
      </w:r>
    </w:p>
    <w:p>
      <w:pPr>
        <w:pStyle w:val="CMT"/>
        <w:rPr/>
      </w:pPr>
      <w:r>
        <w:rPr/>
        <w:t>ACI 318 requires that the cause of any difference between the jacking force and the force corresponding to measured elongation that exceeds 7 percent be ascertained and corrected.</w:t>
      </w:r>
    </w:p>
    <w:p>
      <w:pPr>
        <w:pStyle w:val="PR1"/>
        <w:numPr>
          <w:ilvl w:val="4"/>
          <w:numId w:val="1"/>
        </w:numPr>
        <w:rPr/>
      </w:pPr>
      <w:r>
        <w:rPr/>
        <w:t>Submit stressing records within one day of completion of stressing. If discrepancies between measured and calculated elongations exceed plus or minus 7 percent, resolve these discrepancies to satisfaction of Architect.</w:t>
      </w:r>
    </w:p>
    <w:p>
      <w:pPr>
        <w:pStyle w:val="PR1"/>
        <w:numPr>
          <w:ilvl w:val="4"/>
          <w:numId w:val="1"/>
        </w:numPr>
        <w:rPr/>
      </w:pPr>
      <w:r>
        <w:rPr/>
        <w:t>Prestressing will be considered acceptable if gage pressures shown on stressing record correspond to required stressing force and calculated and measured elongations agree within 7 percent.</w:t>
      </w:r>
    </w:p>
    <w:p>
      <w:pPr>
        <w:pStyle w:val="PR1"/>
        <w:numPr>
          <w:ilvl w:val="4"/>
          <w:numId w:val="1"/>
        </w:numPr>
        <w:rPr/>
      </w:pPr>
      <w:r>
        <w:rPr/>
        <w:t>If measured elongations deviate from calculated elongations by more than 7 percent, perform additional testing, restressing, strengthening, or replacing of affected elements unless otherwise approved by Architect.</w:t>
      </w:r>
    </w:p>
    <w:p>
      <w:pPr>
        <w:pStyle w:val="CMT"/>
        <w:rPr/>
      </w:pPr>
      <w:r>
        <w:rPr/>
        <w:t>Retain "Stressing Records" Paragraph below if Contractor engages a qualified testing agency to mark and measure elongations.</w:t>
      </w:r>
    </w:p>
    <w:p>
      <w:pPr>
        <w:pStyle w:val="PR1"/>
        <w:numPr>
          <w:ilvl w:val="4"/>
          <w:numId w:val="1"/>
        </w:numPr>
        <w:rPr/>
      </w:pPr>
      <w:r>
        <w:rPr/>
        <w:t>Stressing Records: Testing agency records the following information during stressing operations:</w:t>
      </w:r>
    </w:p>
    <w:p>
      <w:pPr>
        <w:pStyle w:val="PR2"/>
        <w:numPr>
          <w:ilvl w:val="5"/>
          <w:numId w:val="1"/>
        </w:numPr>
        <w:spacing w:before="240" w:after="0"/>
        <w:rPr/>
      </w:pPr>
      <w:r>
        <w:rPr/>
        <w:t>Name of Project.</w:t>
      </w:r>
    </w:p>
    <w:p>
      <w:pPr>
        <w:pStyle w:val="PR2"/>
        <w:numPr>
          <w:ilvl w:val="5"/>
          <w:numId w:val="1"/>
        </w:numPr>
        <w:rPr/>
      </w:pPr>
      <w:r>
        <w:rPr/>
        <w:t>Date of approved installation drawings used for installation and stressing.</w:t>
      </w:r>
    </w:p>
    <w:p>
      <w:pPr>
        <w:pStyle w:val="PR2"/>
        <w:numPr>
          <w:ilvl w:val="5"/>
          <w:numId w:val="1"/>
        </w:numPr>
        <w:rPr/>
      </w:pPr>
      <w:r>
        <w:rPr/>
        <w:t>Floor number and concrete placement area.</w:t>
      </w:r>
    </w:p>
    <w:p>
      <w:pPr>
        <w:pStyle w:val="PR2"/>
        <w:numPr>
          <w:ilvl w:val="5"/>
          <w:numId w:val="1"/>
        </w:numPr>
        <w:rPr/>
      </w:pPr>
      <w:r>
        <w:rPr/>
        <w:t>Date of stressing operation.</w:t>
      </w:r>
    </w:p>
    <w:p>
      <w:pPr>
        <w:pStyle w:val="PR2"/>
        <w:numPr>
          <w:ilvl w:val="5"/>
          <w:numId w:val="1"/>
        </w:numPr>
        <w:rPr/>
      </w:pPr>
      <w:r>
        <w:rPr/>
        <w:t>Weather conditions, including temperature and rainfall.</w:t>
      </w:r>
    </w:p>
    <w:p>
      <w:pPr>
        <w:pStyle w:val="PR2"/>
        <w:numPr>
          <w:ilvl w:val="5"/>
          <w:numId w:val="1"/>
        </w:numPr>
        <w:rPr/>
      </w:pPr>
      <w:r>
        <w:rPr/>
        <w:t>Name and signature of inspector.</w:t>
      </w:r>
    </w:p>
    <w:p>
      <w:pPr>
        <w:pStyle w:val="PR2"/>
        <w:numPr>
          <w:ilvl w:val="5"/>
          <w:numId w:val="1"/>
        </w:numPr>
        <w:rPr/>
      </w:pPr>
      <w:r>
        <w:rPr/>
        <w:t>Name of individual in charge of stressing operation.</w:t>
      </w:r>
    </w:p>
    <w:p>
      <w:pPr>
        <w:pStyle w:val="PR2"/>
        <w:numPr>
          <w:ilvl w:val="5"/>
          <w:numId w:val="1"/>
        </w:numPr>
        <w:rPr/>
      </w:pPr>
      <w:r>
        <w:rPr/>
        <w:t>Serial or identification numbers of jack and gage.</w:t>
      </w:r>
    </w:p>
    <w:p>
      <w:pPr>
        <w:pStyle w:val="PR2"/>
        <w:numPr>
          <w:ilvl w:val="5"/>
          <w:numId w:val="1"/>
        </w:numPr>
        <w:rPr/>
      </w:pPr>
      <w:r>
        <w:rPr/>
        <w:t>Date of jack-and-gage calibration certificates.</w:t>
      </w:r>
    </w:p>
    <w:p>
      <w:pPr>
        <w:pStyle w:val="PR2"/>
        <w:numPr>
          <w:ilvl w:val="5"/>
          <w:numId w:val="1"/>
        </w:numPr>
        <w:rPr/>
      </w:pPr>
      <w:r>
        <w:rPr/>
        <w:t>Gage pressure to achieve required stressing force according to supplied calibration chart.</w:t>
      </w:r>
    </w:p>
    <w:p>
      <w:pPr>
        <w:pStyle w:val="PR2"/>
        <w:numPr>
          <w:ilvl w:val="5"/>
          <w:numId w:val="1"/>
        </w:numPr>
        <w:rPr/>
      </w:pPr>
      <w:r>
        <w:rPr/>
        <w:t>Tendon identification mark.</w:t>
      </w:r>
    </w:p>
    <w:p>
      <w:pPr>
        <w:pStyle w:val="PR2"/>
        <w:numPr>
          <w:ilvl w:val="5"/>
          <w:numId w:val="1"/>
        </w:numPr>
        <w:rPr/>
      </w:pPr>
      <w:r>
        <w:rPr/>
        <w:t>Calculated tendon elongation.</w:t>
      </w:r>
    </w:p>
    <w:p>
      <w:pPr>
        <w:pStyle w:val="PR2"/>
        <w:numPr>
          <w:ilvl w:val="5"/>
          <w:numId w:val="1"/>
        </w:numPr>
        <w:rPr/>
      </w:pPr>
      <w:r>
        <w:rPr/>
        <w:t>Actual tendon elongation.</w:t>
      </w:r>
    </w:p>
    <w:p>
      <w:pPr>
        <w:pStyle w:val="PR2"/>
        <w:numPr>
          <w:ilvl w:val="5"/>
          <w:numId w:val="1"/>
        </w:numPr>
        <w:rPr/>
      </w:pPr>
      <w:r>
        <w:rPr/>
        <w:t>Actual gage pressure.</w:t>
      </w:r>
    </w:p>
    <w:p>
      <w:pPr>
        <w:pStyle w:val="ART"/>
        <w:numPr>
          <w:ilvl w:val="3"/>
          <w:numId w:val="1"/>
        </w:numPr>
        <w:ind w:hanging="0" w:left="0"/>
        <w:rPr/>
      </w:pPr>
      <w:r>
        <w:rPr/>
        <w:t>TENDON FINISHING</w:t>
      </w:r>
    </w:p>
    <w:p>
      <w:pPr>
        <w:pStyle w:val="PR1"/>
        <w:numPr>
          <w:ilvl w:val="4"/>
          <w:numId w:val="1"/>
        </w:numPr>
        <w:rPr/>
      </w:pPr>
      <w:r>
        <w:rPr/>
        <w:t>Do not cut strand tails or cover anchorages until stressing records have been reviewed and approved by Architect.</w:t>
      </w:r>
    </w:p>
    <w:p>
      <w:pPr>
        <w:pStyle w:val="PR1"/>
        <w:numPr>
          <w:ilvl w:val="4"/>
          <w:numId w:val="1"/>
        </w:numPr>
        <w:rPr/>
      </w:pPr>
      <w:r>
        <w:rPr/>
        <w:t>Cut strand tails as soon as possible after approval of elongations.</w:t>
      </w:r>
    </w:p>
    <w:p>
      <w:pPr>
        <w:pStyle w:val="PR1"/>
        <w:numPr>
          <w:ilvl w:val="4"/>
          <w:numId w:val="1"/>
        </w:numPr>
        <w:rPr/>
      </w:pPr>
      <w:r>
        <w:rPr/>
        <w:t xml:space="preserve">Cut strand tail between </w:t>
      </w:r>
      <w:r>
        <w:rPr>
          <w:rStyle w:val="IP"/>
        </w:rPr>
        <w:t>1/2 and 3/4 inch</w:t>
      </w:r>
      <w:r>
        <w:rPr>
          <w:rStyle w:val="SI"/>
        </w:rPr>
        <w:t xml:space="preserve"> (13 and 19 mm)</w:t>
      </w:r>
      <w:r>
        <w:rPr/>
        <w:t xml:space="preserve"> from wedges. Do not damage tendon or concrete during removal of strand tail. Acceptable methods of cutting strand tail include the following:</w:t>
      </w:r>
    </w:p>
    <w:p>
      <w:pPr>
        <w:pStyle w:val="PR2"/>
        <w:numPr>
          <w:ilvl w:val="5"/>
          <w:numId w:val="1"/>
        </w:numPr>
        <w:spacing w:before="240" w:after="0"/>
        <w:rPr/>
      </w:pPr>
      <w:r>
        <w:rPr/>
        <w:t>Oxyacetylene flame.</w:t>
      </w:r>
    </w:p>
    <w:p>
      <w:pPr>
        <w:pStyle w:val="PR2"/>
        <w:numPr>
          <w:ilvl w:val="5"/>
          <w:numId w:val="1"/>
        </w:numPr>
        <w:rPr/>
      </w:pPr>
      <w:r>
        <w:rPr/>
        <w:t>Abrasive wheel.</w:t>
      </w:r>
    </w:p>
    <w:p>
      <w:pPr>
        <w:pStyle w:val="PR2"/>
        <w:numPr>
          <w:ilvl w:val="5"/>
          <w:numId w:val="1"/>
        </w:numPr>
        <w:rPr/>
      </w:pPr>
      <w:r>
        <w:rPr/>
        <w:t>Hydraulic shears.</w:t>
      </w:r>
    </w:p>
    <w:p>
      <w:pPr>
        <w:pStyle w:val="PR2"/>
        <w:numPr>
          <w:ilvl w:val="5"/>
          <w:numId w:val="1"/>
        </w:numPr>
        <w:rPr/>
      </w:pPr>
      <w:r>
        <w:rPr/>
        <w:t>Plasma cutting.</w:t>
      </w:r>
    </w:p>
    <w:p>
      <w:pPr>
        <w:pStyle w:val="CMT"/>
        <w:rPr/>
      </w:pPr>
      <w:r>
        <w:rPr/>
        <w:t>Retain first two paragraphs below if specifying an encapsulated system. Revise as necessary if specifying an encapsulated system only for certain portions of structure.</w:t>
      </w:r>
    </w:p>
    <w:p>
      <w:pPr>
        <w:pStyle w:val="PR1"/>
        <w:numPr>
          <w:ilvl w:val="4"/>
          <w:numId w:val="1"/>
        </w:numPr>
        <w:rPr/>
      </w:pPr>
      <w:r>
        <w:rPr/>
        <w:t>Install encapsulation caps and sleeves on intermediate anchorages within one day of stressing.</w:t>
      </w:r>
    </w:p>
    <w:p>
      <w:pPr>
        <w:pStyle w:val="PR1"/>
        <w:numPr>
          <w:ilvl w:val="4"/>
          <w:numId w:val="1"/>
        </w:numPr>
        <w:rPr/>
      </w:pPr>
      <w:r>
        <w:rPr/>
        <w:t>Cut strand tails and install encapsulation caps on stressing-end anchorages within one day of Architect's acceptance of elongations.</w:t>
      </w:r>
    </w:p>
    <w:p>
      <w:pPr>
        <w:pStyle w:val="PR1"/>
        <w:numPr>
          <w:ilvl w:val="4"/>
          <w:numId w:val="1"/>
        </w:numPr>
        <w:rPr/>
      </w:pPr>
      <w:r>
        <w:rPr/>
        <w:t>Patch stressing pockets within one day of cutting strand tail. Clean inside surface of stressing pocket to remove laitance or post-tensioning coating before installing patching material. Finish patching material flush with adjacent concrete.</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Before concrete placement, [</w:t>
      </w:r>
      <w:r>
        <w:rPr>
          <w:b/>
        </w:rPr>
        <w:t>special inspector</w:t>
      </w:r>
      <w:r>
        <w:rPr/>
        <w:t>] [</w:t>
      </w:r>
      <w:r>
        <w:rPr>
          <w:b/>
        </w:rPr>
        <w:t>testing agency</w:t>
      </w:r>
      <w:r>
        <w:rPr/>
        <w:t>] will inspect the following for compliance with post-tensioning installation drawings and the Contract Documents:</w:t>
      </w:r>
    </w:p>
    <w:p>
      <w:pPr>
        <w:pStyle w:val="PR3"/>
        <w:numPr>
          <w:ilvl w:val="6"/>
          <w:numId w:val="1"/>
        </w:numPr>
        <w:spacing w:before="240" w:after="0"/>
        <w:rPr/>
      </w:pPr>
      <w:r>
        <w:rPr/>
        <w:t>Location and number of tendons.</w:t>
      </w:r>
    </w:p>
    <w:p>
      <w:pPr>
        <w:pStyle w:val="PR3"/>
        <w:numPr>
          <w:ilvl w:val="6"/>
          <w:numId w:val="1"/>
        </w:numPr>
        <w:rPr/>
      </w:pPr>
      <w:r>
        <w:rPr/>
        <w:t>Tendon profiles and cover.</w:t>
      </w:r>
    </w:p>
    <w:p>
      <w:pPr>
        <w:pStyle w:val="PR3"/>
        <w:numPr>
          <w:ilvl w:val="6"/>
          <w:numId w:val="1"/>
        </w:numPr>
        <w:rPr/>
      </w:pPr>
      <w:r>
        <w:rPr/>
        <w:t>Installation of backup bars, hairpins, and other nonprestressed reinforcement shown on post-tensioning installation drawings.</w:t>
      </w:r>
    </w:p>
    <w:p>
      <w:pPr>
        <w:pStyle w:val="PR3"/>
        <w:numPr>
          <w:ilvl w:val="6"/>
          <w:numId w:val="1"/>
        </w:numPr>
        <w:rPr/>
      </w:pPr>
      <w:r>
        <w:rPr/>
        <w:t>Installation of pocket formers and anchorage devices.</w:t>
      </w:r>
    </w:p>
    <w:p>
      <w:pPr>
        <w:pStyle w:val="PR3"/>
        <w:numPr>
          <w:ilvl w:val="6"/>
          <w:numId w:val="1"/>
        </w:numPr>
        <w:rPr/>
      </w:pPr>
      <w:r>
        <w:rPr/>
        <w:t>Repair of damaged sheathing.</w:t>
      </w:r>
    </w:p>
    <w:p>
      <w:pPr>
        <w:pStyle w:val="CMT"/>
        <w:rPr/>
      </w:pPr>
      <w:r>
        <w:rPr/>
        <w:t>Retain first subparagraph below if specifying an encapsulated system. Revise as necessary if specifying an encapsulated system only for certain portions of structure.</w:t>
      </w:r>
    </w:p>
    <w:p>
      <w:pPr>
        <w:pStyle w:val="PR3"/>
        <w:numPr>
          <w:ilvl w:val="6"/>
          <w:numId w:val="1"/>
        </w:numPr>
        <w:rPr/>
      </w:pPr>
      <w:r>
        <w:rPr/>
        <w:t>Connections between sheathing and anchorage devices.</w:t>
      </w:r>
    </w:p>
    <w:p>
      <w:pPr>
        <w:pStyle w:val="PR2"/>
        <w:numPr>
          <w:ilvl w:val="5"/>
          <w:numId w:val="1"/>
        </w:numPr>
        <w:spacing w:before="240" w:after="0"/>
        <w:rPr/>
      </w:pPr>
      <w:r>
        <w:rPr/>
        <w:t>[</w:t>
      </w:r>
      <w:r>
        <w:rPr>
          <w:b/>
        </w:rPr>
        <w:t>Special inspector</w:t>
      </w:r>
      <w:r>
        <w:rPr/>
        <w:t>] [</w:t>
      </w:r>
      <w:r>
        <w:rPr>
          <w:b/>
        </w:rPr>
        <w:t>Testing agency</w:t>
      </w:r>
      <w:r>
        <w:rPr/>
        <w:t>] will record tendon elongations during stressing.</w:t>
      </w:r>
    </w:p>
    <w:p>
      <w:pPr>
        <w:pStyle w:val="PR2"/>
        <w:numPr>
          <w:ilvl w:val="5"/>
          <w:numId w:val="1"/>
        </w:numPr>
        <w:rPr/>
      </w:pPr>
      <w:r>
        <w:rPr/>
        <w:t>[</w:t>
      </w:r>
      <w:r>
        <w:rPr>
          <w:b/>
        </w:rPr>
        <w:t>Special inspector</w:t>
      </w:r>
      <w:r>
        <w:rPr/>
        <w:t>] [</w:t>
      </w:r>
      <w:r>
        <w:rPr>
          <w:b/>
        </w:rPr>
        <w:t>Testing agency</w:t>
      </w:r>
      <w:r>
        <w:rPr/>
        <w:t>] will immediately report deviations from the Contract Documents to Architect.</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Do not expose tendons to electric ground currents, welding sparks, or temperatures that would degrade components.</w:t>
      </w:r>
    </w:p>
    <w:p>
      <w:pPr>
        <w:pStyle w:val="CMT"/>
        <w:rPr/>
      </w:pPr>
      <w:r>
        <w:rPr/>
        <w:t>Retain first paragraph below, a requirement of ACI 423.7, if the Work is exposed to an aggressive environment. See the Evaluations for discussion of aggressive environments.</w:t>
      </w:r>
    </w:p>
    <w:p>
      <w:pPr>
        <w:pStyle w:val="PR1"/>
        <w:numPr>
          <w:ilvl w:val="4"/>
          <w:numId w:val="1"/>
        </w:numPr>
        <w:rPr/>
      </w:pPr>
      <w:r>
        <w:rPr/>
        <w:t>Protect exposed components within one workday of their exposure during installation.</w:t>
      </w:r>
    </w:p>
    <w:p>
      <w:pPr>
        <w:pStyle w:val="PR1"/>
        <w:numPr>
          <w:ilvl w:val="4"/>
          <w:numId w:val="1"/>
        </w:numPr>
        <w:rPr/>
      </w:pPr>
      <w:r>
        <w:rPr/>
        <w:t>Prevent water from entering tendons during installation and stressing.</w:t>
      </w:r>
    </w:p>
    <w:p>
      <w:pPr>
        <w:pStyle w:val="PR1"/>
        <w:numPr>
          <w:ilvl w:val="4"/>
          <w:numId w:val="1"/>
        </w:numPr>
        <w:rPr/>
      </w:pPr>
      <w:r>
        <w:rPr/>
        <w:t>Provide weather protection to stressing-end anchorages if strand tails are not cut within 10 days of stressing the tendons.</w:t>
      </w:r>
    </w:p>
    <w:p>
      <w:pPr>
        <w:pStyle w:val="ART"/>
        <w:numPr>
          <w:ilvl w:val="3"/>
          <w:numId w:val="1"/>
        </w:numPr>
        <w:ind w:hanging="0" w:left="0"/>
        <w:rPr/>
      </w:pPr>
      <w:r>
        <w:rPr/>
        <w:t>REPAIRS</w:t>
      </w:r>
    </w:p>
    <w:p>
      <w:pPr>
        <w:pStyle w:val="PR1"/>
        <w:numPr>
          <w:ilvl w:val="4"/>
          <w:numId w:val="1"/>
        </w:numPr>
        <w:rPr/>
      </w:pPr>
      <w:r>
        <w:rPr/>
        <w:t>Submit repair procedure to Architect for evaluation and approval.</w:t>
      </w:r>
    </w:p>
    <w:p>
      <w:pPr>
        <w:pStyle w:val="PR1"/>
        <w:numPr>
          <w:ilvl w:val="4"/>
          <w:numId w:val="1"/>
        </w:numPr>
        <w:rPr/>
      </w:pPr>
      <w:r>
        <w:rPr/>
        <w:t>Do not proceed with repairs requiring removal of concrete unless authorized in writing by Architect.</w:t>
      </w:r>
    </w:p>
    <w:p>
      <w:pPr>
        <w:pStyle w:val="EOS"/>
        <w:rPr/>
      </w:pPr>
      <w:r>
        <w:rPr/>
        <w:t>END OF SECTION 033816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UNBONDED POST-TENSIONED CONCRETE</w:t>
          </w:r>
        </w:p>
      </w:tc>
      <w:tc>
        <w:tcPr>
          <w:tcW w:w="1872" w:type="dxa"/>
          <w:tcBorders/>
        </w:tcPr>
        <w:p>
          <w:pPr>
            <w:pStyle w:val="RJUST"/>
            <w:rPr/>
          </w:pPr>
          <w:r>
            <w:rPr>
              <w:rStyle w:val="NUM"/>
            </w:rPr>
            <w:t>033816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3816"/>
    <w:docVar w:name="MF95" w:val="03381"/>
    <w:docVar w:name="MFOrigin" w:val="MF04"/>
    <w:docVar w:name="SectionID" w:val="88"/>
    <w:docVar w:name="SpecType" w:val="MasterSpec"/>
    <w:docVar w:name="Version" w:val="159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3816&amp;ver=03-01-21&amp;format=FL&amp;sid=1590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specagent.com/LookUp/?ulid=12363&amp;mf=&amp;src=wd" TargetMode="External"/><Relationship Id="rId6" Type="http://schemas.openxmlformats.org/officeDocument/2006/relationships/hyperlink" Target="http://www.specagent.com/LookUp/?ulid=5926&amp;mf=&amp;src=wd" TargetMode="External"/><Relationship Id="rId7" Type="http://schemas.openxmlformats.org/officeDocument/2006/relationships/hyperlink" Target="http://www.specagent.com/LookUp/?ulid=5927&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2022-09-26T01:35:00Z</dcterms:created>
  <dc:creator>Deltek, Inc.</dc:creator>
  <dc:description/>
  <cp:keywords>BAS-12345-MS80</cp:keywords>
  <dc:language>zh-CN</dc:language>
  <cp:lastModifiedBy>Janice Nacional</cp:lastModifiedBy>
  <dcterms:modified xsi:type="dcterms:W3CDTF">2022-09-26T01:35:00Z</dcterms:modified>
  <cp:revision>2</cp:revision>
  <dc:subject>UNBONDED POST-TENSIONED CONCRETE</dc:subject>
  <dc:title>SECTION 033816 - UNBONDED POST-TENSIONED CONCRETE</dc:title>
</cp:coreProperties>
</file>