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034500</w:t>
      </w:r>
      <w:r>
        <w:rPr/>
        <w:t xml:space="preserve"> - </w:t>
      </w:r>
      <w:r>
        <w:rPr>
          <w:rStyle w:val="NAM"/>
        </w:rPr>
        <w:t>PRECAST ARCHITECTURAL CONCRETE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Precast architectural concrete units.</w:t>
      </w:r>
    </w:p>
    <w:p>
      <w:pPr>
        <w:pStyle w:val="PR2"/>
        <w:numPr>
          <w:ilvl w:val="5"/>
          <w:numId w:val="1"/>
        </w:numPr>
        <w:rPr/>
      </w:pPr>
      <w:r>
        <w:rPr/>
        <w:t>Mold materials.</w:t>
      </w:r>
    </w:p>
    <w:p>
      <w:pPr>
        <w:pStyle w:val="PR2"/>
        <w:numPr>
          <w:ilvl w:val="5"/>
          <w:numId w:val="1"/>
        </w:numPr>
        <w:rPr/>
      </w:pPr>
      <w:r>
        <w:rPr/>
        <w:t>Reinforcing materials.</w:t>
      </w:r>
    </w:p>
    <w:p>
      <w:pPr>
        <w:pStyle w:val="PR2"/>
        <w:numPr>
          <w:ilvl w:val="5"/>
          <w:numId w:val="1"/>
        </w:numPr>
        <w:rPr/>
      </w:pPr>
      <w:r>
        <w:rPr/>
        <w:t>Prestressing tendons.</w:t>
      </w:r>
    </w:p>
    <w:p>
      <w:pPr>
        <w:pStyle w:val="PR2"/>
        <w:numPr>
          <w:ilvl w:val="5"/>
          <w:numId w:val="1"/>
        </w:numPr>
        <w:rPr/>
      </w:pPr>
      <w:r>
        <w:rPr/>
        <w:t>Concrete materials.</w:t>
      </w:r>
    </w:p>
    <w:p>
      <w:pPr>
        <w:pStyle w:val="PR2"/>
        <w:numPr>
          <w:ilvl w:val="5"/>
          <w:numId w:val="1"/>
        </w:numPr>
        <w:rPr/>
      </w:pPr>
      <w:r>
        <w:rPr/>
        <w:t>Steel connection materials.</w:t>
      </w:r>
    </w:p>
    <w:p>
      <w:pPr>
        <w:pStyle w:val="PR2"/>
        <w:numPr>
          <w:ilvl w:val="5"/>
          <w:numId w:val="1"/>
        </w:numPr>
        <w:rPr/>
      </w:pPr>
      <w:r>
        <w:rPr/>
        <w:t>Stainless steel connection materials.</w:t>
      </w:r>
    </w:p>
    <w:p>
      <w:pPr>
        <w:pStyle w:val="PR2"/>
        <w:numPr>
          <w:ilvl w:val="5"/>
          <w:numId w:val="1"/>
        </w:numPr>
        <w:rPr/>
      </w:pPr>
      <w:r>
        <w:rPr/>
        <w:t>Accessories.</w:t>
      </w:r>
    </w:p>
    <w:p>
      <w:pPr>
        <w:pStyle w:val="PR2"/>
        <w:numPr>
          <w:ilvl w:val="5"/>
          <w:numId w:val="1"/>
        </w:numPr>
        <w:rPr/>
      </w:pPr>
      <w:r>
        <w:rPr/>
        <w:t>Grout materials.</w:t>
      </w:r>
    </w:p>
    <w:p>
      <w:pPr>
        <w:pStyle w:val="PR2"/>
        <w:numPr>
          <w:ilvl w:val="5"/>
          <w:numId w:val="1"/>
        </w:numPr>
        <w:rPr/>
      </w:pPr>
      <w:r>
        <w:rPr/>
        <w:t>Clay facing materials.</w:t>
      </w:r>
    </w:p>
    <w:p>
      <w:pPr>
        <w:pStyle w:val="PR2"/>
        <w:numPr>
          <w:ilvl w:val="5"/>
          <w:numId w:val="1"/>
        </w:numPr>
        <w:rPr/>
      </w:pPr>
      <w:r>
        <w:rPr/>
        <w:t>Stone facing materials.</w:t>
      </w:r>
    </w:p>
    <w:p>
      <w:pPr>
        <w:pStyle w:val="PR2"/>
        <w:numPr>
          <w:ilvl w:val="5"/>
          <w:numId w:val="1"/>
        </w:numPr>
        <w:rPr/>
      </w:pPr>
      <w:r>
        <w:rPr/>
        <w:t>Insulated panel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site-cast concrete requirements and for installing connection anchors in concrete.</w:t>
      </w:r>
    </w:p>
    <w:p>
      <w:pPr>
        <w:pStyle w:val="PR2"/>
        <w:numPr>
          <w:ilvl w:val="5"/>
          <w:numId w:val="1"/>
        </w:numPr>
        <w:rPr/>
      </w:pPr>
      <w:r>
        <w:rPr/>
        <w:t>Section 034900 "Glass-Fiber-Reinforced Concrete (GFRC)."</w:t>
      </w:r>
    </w:p>
    <w:p>
      <w:pPr>
        <w:pStyle w:val="PR2"/>
        <w:numPr>
          <w:ilvl w:val="5"/>
          <w:numId w:val="1"/>
        </w:numPr>
        <w:rPr/>
      </w:pPr>
      <w:r>
        <w:rPr/>
        <w:t>Section 047200 "Cast Stone Masonry" for cast stone facings, trim, and accessories.</w:t>
      </w:r>
    </w:p>
    <w:p>
      <w:pPr>
        <w:pStyle w:val="PR2"/>
        <w:numPr>
          <w:ilvl w:val="5"/>
          <w:numId w:val="1"/>
        </w:numPr>
        <w:rPr/>
      </w:pPr>
      <w:r>
        <w:rPr/>
        <w:t>Section 051200 "Structural Steel Framing" for furnishing and installing connections attached to structural-steel framing.</w:t>
      </w:r>
    </w:p>
    <w:p>
      <w:pPr>
        <w:pStyle w:val="PR2"/>
        <w:numPr>
          <w:ilvl w:val="5"/>
          <w:numId w:val="1"/>
        </w:numPr>
        <w:rPr/>
      </w:pPr>
      <w:r>
        <w:rPr/>
        <w:t>Section 055000 "Metal Fabrications" for kickers and other miscellaneous steel shapes.</w:t>
      </w:r>
    </w:p>
    <w:p>
      <w:pPr>
        <w:pStyle w:val="PR2"/>
        <w:numPr>
          <w:ilvl w:val="5"/>
          <w:numId w:val="1"/>
        </w:numPr>
        <w:rPr/>
      </w:pPr>
      <w:r>
        <w:rPr/>
        <w:t>Section 071900 "Water Repellents" for water-repellent finish treatments.</w:t>
      </w:r>
    </w:p>
    <w:p>
      <w:pPr>
        <w:pStyle w:val="PR2"/>
        <w:numPr>
          <w:ilvl w:val="5"/>
          <w:numId w:val="1"/>
        </w:numPr>
        <w:rPr/>
      </w:pPr>
      <w:r>
        <w:rPr/>
        <w:t>Section 085113 "Aluminum Windows" for windows set into architectural precast concrete units.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PR1"/>
        <w:numPr>
          <w:ilvl w:val="4"/>
          <w:numId w:val="1"/>
        </w:numPr>
        <w:rPr/>
      </w:pPr>
      <w:r>
        <w:rPr/>
        <w:t>Thin brick is part of &lt;</w:t>
      </w:r>
      <w:r>
        <w:rPr>
          <w:b/>
        </w:rPr>
        <w:t>Insert name of allowance</w:t>
      </w:r>
      <w:r>
        <w:rPr/>
        <w:t>&gt;.</w:t>
      </w:r>
    </w:p>
    <w:p>
      <w:pPr>
        <w:pStyle w:val="CMT"/>
        <w:rPr/>
      </w:pPr>
      <w:r>
        <w:rPr/>
        <w:t>Retain paragraph below if testing is paid for by Contractor under an allowance.</w:t>
      </w:r>
    </w:p>
    <w:p>
      <w:pPr>
        <w:pStyle w:val="PR1"/>
        <w:numPr>
          <w:ilvl w:val="4"/>
          <w:numId w:val="1"/>
        </w:numPr>
        <w:rPr/>
      </w:pPr>
      <w:r>
        <w:rPr/>
        <w:t>[</w:t>
      </w:r>
      <w:r>
        <w:rPr>
          <w:b/>
        </w:rPr>
        <w:t>Preconstruction</w:t>
      </w:r>
      <w:r>
        <w:rPr/>
        <w:t>] [</w:t>
      </w:r>
      <w:r>
        <w:rPr>
          <w:b/>
        </w:rPr>
        <w:t>Source quality-control</w:t>
      </w:r>
      <w:r>
        <w:rPr/>
        <w:t>] [</w:t>
      </w:r>
      <w:r>
        <w:rPr>
          <w:b/>
        </w:rPr>
        <w:t>and</w:t>
      </w:r>
      <w:r>
        <w:rPr/>
        <w:t>] [</w:t>
      </w:r>
      <w:r>
        <w:rPr>
          <w:b/>
        </w:rPr>
        <w:t>field quality-control</w:t>
      </w:r>
      <w:r>
        <w:rPr/>
        <w:t>] testing are part of testing and inspecting allowance.</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CMT"/>
        <w:rPr/>
      </w:pPr>
      <w:r>
        <w:rPr/>
        <w:t>Retain "Design Reference Sample" Paragraph below if a design reference sample has been preapproved by Architect.</w:t>
      </w:r>
    </w:p>
    <w:p>
      <w:pPr>
        <w:pStyle w:val="PR1"/>
        <w:numPr>
          <w:ilvl w:val="4"/>
          <w:numId w:val="1"/>
        </w:numPr>
        <w:rPr/>
      </w:pPr>
      <w:r>
        <w:rPr/>
        <w:t>Design Reference Sample: Sample of approved architectural precast concrete color, finish, and texture, preapproved by Architect.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Precast architectural concrete unit design mixtures: Include compressive strength and water-absorption tests for each precast concrete mixture.</w:t>
      </w:r>
    </w:p>
    <w:p>
      <w:pPr>
        <w:pStyle w:val="PR2"/>
        <w:numPr>
          <w:ilvl w:val="5"/>
          <w:numId w:val="1"/>
        </w:numPr>
        <w:rPr/>
      </w:pPr>
      <w:r>
        <w:rPr/>
        <w:t>Mold materials.</w:t>
      </w:r>
    </w:p>
    <w:p>
      <w:pPr>
        <w:pStyle w:val="PR2"/>
        <w:numPr>
          <w:ilvl w:val="5"/>
          <w:numId w:val="1"/>
        </w:numPr>
        <w:rPr/>
      </w:pPr>
      <w:r>
        <w:rPr/>
        <w:t>Reinforcing materials.</w:t>
      </w:r>
    </w:p>
    <w:p>
      <w:pPr>
        <w:pStyle w:val="PR2"/>
        <w:numPr>
          <w:ilvl w:val="5"/>
          <w:numId w:val="1"/>
        </w:numPr>
        <w:rPr/>
      </w:pPr>
      <w:r>
        <w:rPr/>
        <w:t>Prestressing tendons.</w:t>
      </w:r>
    </w:p>
    <w:p>
      <w:pPr>
        <w:pStyle w:val="PR2"/>
        <w:numPr>
          <w:ilvl w:val="5"/>
          <w:numId w:val="1"/>
        </w:numPr>
        <w:rPr/>
      </w:pPr>
      <w:r>
        <w:rPr/>
        <w:t>Concrete materials.</w:t>
      </w:r>
    </w:p>
    <w:p>
      <w:pPr>
        <w:pStyle w:val="PR2"/>
        <w:numPr>
          <w:ilvl w:val="5"/>
          <w:numId w:val="1"/>
        </w:numPr>
        <w:rPr/>
      </w:pPr>
      <w:r>
        <w:rPr/>
        <w:t>Steel connection materials.</w:t>
      </w:r>
    </w:p>
    <w:p>
      <w:pPr>
        <w:pStyle w:val="PR2"/>
        <w:numPr>
          <w:ilvl w:val="5"/>
          <w:numId w:val="1"/>
        </w:numPr>
        <w:rPr/>
      </w:pPr>
      <w:r>
        <w:rPr/>
        <w:t>Stainless steel connection materials.</w:t>
      </w:r>
    </w:p>
    <w:p>
      <w:pPr>
        <w:pStyle w:val="PR2"/>
        <w:numPr>
          <w:ilvl w:val="5"/>
          <w:numId w:val="1"/>
        </w:numPr>
        <w:rPr/>
      </w:pPr>
      <w:r>
        <w:rPr/>
        <w:t>Accessories.</w:t>
      </w:r>
    </w:p>
    <w:p>
      <w:pPr>
        <w:pStyle w:val="PR2"/>
        <w:numPr>
          <w:ilvl w:val="5"/>
          <w:numId w:val="1"/>
        </w:numPr>
        <w:rPr/>
      </w:pPr>
      <w:r>
        <w:rPr/>
        <w:t>Grout materials.</w:t>
      </w:r>
    </w:p>
    <w:p>
      <w:pPr>
        <w:pStyle w:val="PR2"/>
        <w:numPr>
          <w:ilvl w:val="5"/>
          <w:numId w:val="1"/>
        </w:numPr>
        <w:rPr/>
      </w:pPr>
      <w:r>
        <w:rPr/>
        <w:t>Clay facing materials.</w:t>
      </w:r>
    </w:p>
    <w:p>
      <w:pPr>
        <w:pStyle w:val="PR2"/>
        <w:numPr>
          <w:ilvl w:val="5"/>
          <w:numId w:val="1"/>
        </w:numPr>
        <w:rPr/>
      </w:pPr>
      <w:r>
        <w:rPr/>
        <w:t>Stone facing materials.</w:t>
      </w:r>
    </w:p>
    <w:p>
      <w:pPr>
        <w:pStyle w:val="PR2"/>
        <w:numPr>
          <w:ilvl w:val="5"/>
          <w:numId w:val="1"/>
        </w:numPr>
        <w:rPr/>
      </w:pPr>
      <w:r>
        <w:rPr/>
        <w:t>Insulated panel materials.</w:t>
      </w:r>
    </w:p>
    <w:p>
      <w:pPr>
        <w:pStyle w:val="PR2"/>
        <w:numPr>
          <w:ilvl w:val="5"/>
          <w:numId w:val="1"/>
        </w:numPr>
        <w:rPr/>
      </w:pPr>
      <w:r>
        <w:rPr/>
        <w:t>&lt;</w:t>
      </w:r>
      <w:r>
        <w:rPr>
          <w:b/>
        </w:rPr>
        <w:t>Insert products</w:t>
      </w:r>
      <w:r>
        <w:rPr/>
        <w:t>&gt;.</w:t>
      </w:r>
    </w:p>
    <w:p>
      <w:pPr>
        <w:pStyle w:val="PR1"/>
        <w:numPr>
          <w:ilvl w:val="4"/>
          <w:numId w:val="1"/>
        </w:numPr>
        <w:rPr/>
      </w:pPr>
      <w:r>
        <w:rPr/>
        <w:t>Shop Drawings:</w:t>
      </w:r>
    </w:p>
    <w:p>
      <w:pPr>
        <w:pStyle w:val="PR2"/>
        <w:numPr>
          <w:ilvl w:val="5"/>
          <w:numId w:val="1"/>
        </w:numPr>
        <w:spacing w:before="240" w:after="0"/>
        <w:rPr/>
      </w:pPr>
      <w:r>
        <w:rPr/>
        <w:t>Detail fabrication and installation of architectural precast concrete units.</w:t>
      </w:r>
    </w:p>
    <w:p>
      <w:pPr>
        <w:pStyle w:val="PR2"/>
        <w:numPr>
          <w:ilvl w:val="5"/>
          <w:numId w:val="1"/>
        </w:numPr>
        <w:rPr/>
      </w:pPr>
      <w:r>
        <w:rPr/>
        <w:t>Indicate locations, plans, elevations, dimensions, shapes, and cross sections of each unit.</w:t>
      </w:r>
    </w:p>
    <w:p>
      <w:pPr>
        <w:pStyle w:val="PR2"/>
        <w:numPr>
          <w:ilvl w:val="5"/>
          <w:numId w:val="1"/>
        </w:numPr>
        <w:rPr/>
      </w:pPr>
      <w:r>
        <w:rPr/>
        <w:t>Indicate joints, reveals, drips, chamfers, and extent and location of each surface finish.</w:t>
      </w:r>
    </w:p>
    <w:p>
      <w:pPr>
        <w:pStyle w:val="CMT"/>
        <w:rPr/>
      </w:pPr>
      <w:r>
        <w:rPr/>
        <w:t>Retain subparagraphs below applicable to Project.</w:t>
      </w:r>
    </w:p>
    <w:p>
      <w:pPr>
        <w:pStyle w:val="PR2"/>
        <w:numPr>
          <w:ilvl w:val="5"/>
          <w:numId w:val="1"/>
        </w:numPr>
        <w:rPr/>
      </w:pPr>
      <w:r>
        <w:rPr/>
        <w:t>Indicate details at building corners.</w:t>
      </w:r>
    </w:p>
    <w:p>
      <w:pPr>
        <w:pStyle w:val="PR2"/>
        <w:numPr>
          <w:ilvl w:val="5"/>
          <w:numId w:val="1"/>
        </w:numPr>
        <w:rPr/>
      </w:pPr>
      <w:r>
        <w:rPr/>
        <w:t>Indicate separate face and backup mixture locations and thicknesses.</w:t>
      </w:r>
    </w:p>
    <w:p>
      <w:pPr>
        <w:pStyle w:val="PR2"/>
        <w:numPr>
          <w:ilvl w:val="5"/>
          <w:numId w:val="1"/>
        </w:numPr>
        <w:rPr/>
      </w:pPr>
      <w:r>
        <w:rPr/>
        <w:t>Indicate type, size, and length of welded connections by AWS standard symbols. Detail loose and cast-in hardware and connections.</w:t>
      </w:r>
    </w:p>
    <w:p>
      <w:pPr>
        <w:pStyle w:val="PR2"/>
        <w:numPr>
          <w:ilvl w:val="5"/>
          <w:numId w:val="1"/>
        </w:numPr>
        <w:rPr/>
      </w:pPr>
      <w:r>
        <w:rPr/>
        <w:t>Indicate locations, tolerances, and details of anchorage devices to be embedded in or attached to structure or other construction.</w:t>
      </w:r>
    </w:p>
    <w:p>
      <w:pPr>
        <w:pStyle w:val="PR2"/>
        <w:numPr>
          <w:ilvl w:val="5"/>
          <w:numId w:val="1"/>
        </w:numPr>
        <w:rPr/>
      </w:pPr>
      <w:r>
        <w:rPr/>
        <w:t>Indicate locations, extent, and treatment of dry joints if two-stage casting is proposed.</w:t>
      </w:r>
    </w:p>
    <w:p>
      <w:pPr>
        <w:pStyle w:val="PR2"/>
        <w:numPr>
          <w:ilvl w:val="5"/>
          <w:numId w:val="1"/>
        </w:numPr>
        <w:rPr/>
      </w:pPr>
      <w:r>
        <w:rPr/>
        <w:t>Include plans and elevations showing unit locations, dimensions, erection sequences, and bracing plans for special conditions.</w:t>
      </w:r>
    </w:p>
    <w:p>
      <w:pPr>
        <w:pStyle w:val="PR2"/>
        <w:numPr>
          <w:ilvl w:val="5"/>
          <w:numId w:val="1"/>
        </w:numPr>
        <w:rPr/>
      </w:pPr>
      <w:r>
        <w:rPr/>
        <w:t>Indicate location of each architectural precast concrete unit by same identification mark placed on panel.</w:t>
      </w:r>
    </w:p>
    <w:p>
      <w:pPr>
        <w:pStyle w:val="PR2"/>
        <w:numPr>
          <w:ilvl w:val="5"/>
          <w:numId w:val="1"/>
        </w:numPr>
        <w:rPr/>
      </w:pPr>
      <w:r>
        <w:rPr/>
        <w:t>Indicate relationship of architectural precast concrete units to adjacent materials.</w:t>
      </w:r>
    </w:p>
    <w:p>
      <w:pPr>
        <w:pStyle w:val="PR2"/>
        <w:numPr>
          <w:ilvl w:val="5"/>
          <w:numId w:val="1"/>
        </w:numPr>
        <w:rPr/>
      </w:pPr>
      <w:r>
        <w:rPr/>
        <w:t>Indicate locations, type, dimensions, and details of facing units, including corner units, special shapes, joint treatment, and anchors.</w:t>
      </w:r>
    </w:p>
    <w:p>
      <w:pPr>
        <w:pStyle w:val="PR2"/>
        <w:numPr>
          <w:ilvl w:val="5"/>
          <w:numId w:val="1"/>
        </w:numPr>
        <w:rPr/>
      </w:pPr>
      <w:r>
        <w:rPr/>
        <w:t>Indicate multiple wythe connection details.</w:t>
      </w:r>
    </w:p>
    <w:p>
      <w:pPr>
        <w:pStyle w:val="PR2"/>
        <w:numPr>
          <w:ilvl w:val="5"/>
          <w:numId w:val="1"/>
        </w:numPr>
        <w:rPr/>
      </w:pPr>
      <w:r>
        <w:rPr/>
        <w:t>Coordinate and indicate openings and inserts required by other trades.</w:t>
      </w:r>
    </w:p>
    <w:p>
      <w:pPr>
        <w:pStyle w:val="PR2"/>
        <w:numPr>
          <w:ilvl w:val="5"/>
          <w:numId w:val="1"/>
        </w:numPr>
        <w:rPr/>
      </w:pPr>
      <w:r>
        <w:rPr/>
        <w:t>If design modifications are proposed to meet performance requirements and field conditions, submit design calculations and indicate modified areas on Shop Drawings. Do not adversely affect the appearance, durability, or strength of units.</w:t>
      </w:r>
    </w:p>
    <w:p>
      <w:pPr>
        <w:pStyle w:val="CMT"/>
        <w:rPr/>
      </w:pPr>
      <w:r>
        <w:rPr/>
        <w:t>Retain "Samples" Paragraph below if finishes, colors, and textures are preselected, specified, or scheduled. Coordinate with sample panels and range samples in "Quality Assurance" Article.</w:t>
      </w:r>
    </w:p>
    <w:p>
      <w:pPr>
        <w:pStyle w:val="PR1"/>
        <w:numPr>
          <w:ilvl w:val="4"/>
          <w:numId w:val="1"/>
        </w:numPr>
        <w:rPr/>
      </w:pPr>
      <w:r>
        <w:rPr/>
        <w:t xml:space="preserve">Samples: Design reference samples for initial verification of design intent, for each type of finish indicated on exposed surfaces of architectural precast concrete units, in sets of three, representative of finish, color, and texture variations expected; approximately </w:t>
      </w:r>
      <w:r>
        <w:rPr>
          <w:rStyle w:val="IP"/>
        </w:rPr>
        <w:t>12 by 12 by 2 inches</w:t>
      </w:r>
      <w:r>
        <w:rPr>
          <w:rStyle w:val="SI"/>
        </w:rPr>
        <w:t xml:space="preserve"> (300 by 300 by 50 mm)</w:t>
      </w:r>
      <w:r>
        <w:rPr/>
        <w:t>.</w:t>
      </w:r>
    </w:p>
    <w:p>
      <w:pPr>
        <w:pStyle w:val="PR2"/>
        <w:numPr>
          <w:ilvl w:val="5"/>
          <w:numId w:val="1"/>
        </w:numPr>
        <w:spacing w:before="240" w:after="0"/>
        <w:rPr/>
      </w:pPr>
      <w:r>
        <w:rPr/>
        <w:t>When other faces of precast concrete unit are exposed, include Samples illustrating workmanship, color, and texture of backup concrete as well as facing concrete.</w:t>
      </w:r>
    </w:p>
    <w:p>
      <w:pPr>
        <w:pStyle w:val="CMT"/>
        <w:rPr/>
      </w:pPr>
      <w:r>
        <w:rPr/>
        <w:t>Retain subparagraph below if Samples of facings are required.</w:t>
      </w:r>
    </w:p>
    <w:p>
      <w:pPr>
        <w:pStyle w:val="PR2"/>
        <w:numPr>
          <w:ilvl w:val="5"/>
          <w:numId w:val="1"/>
        </w:numPr>
        <w:rPr/>
      </w:pPr>
      <w:r>
        <w:rPr/>
        <w:t>Samples for each [</w:t>
      </w:r>
      <w:r>
        <w:rPr>
          <w:b/>
        </w:rPr>
        <w:t>stone veneer</w:t>
      </w:r>
      <w:r>
        <w:rPr/>
        <w:t>] [</w:t>
      </w:r>
      <w:r>
        <w:rPr>
          <w:b/>
        </w:rPr>
        <w:t>terra cotta</w:t>
      </w:r>
      <w:r>
        <w:rPr/>
        <w:t>] [</w:t>
      </w:r>
      <w:r>
        <w:rPr>
          <w:b/>
        </w:rPr>
        <w:t>thin-brick</w:t>
      </w:r>
      <w:r>
        <w:rPr/>
        <w:t>] &lt;</w:t>
      </w:r>
      <w:r>
        <w:rPr>
          <w:b/>
        </w:rPr>
        <w:t>Insert facing</w:t>
      </w:r>
      <w:r>
        <w:rPr/>
        <w:t>&gt; unit required, showing full range of color and texture expected. Include Sample showing color and texture of joint treatment.</w:t>
      </w:r>
    </w:p>
    <w:p>
      <w:pPr>
        <w:pStyle w:val="CMT"/>
        <w:rPr/>
      </w:pPr>
      <w:r>
        <w:rPr/>
        <w:t>Retain "Grout Samples for Initial Selection" or "Grout Samples for Verification" Subparagraph below, or both, if joints for thin-brick facings are grouted.</w:t>
      </w:r>
    </w:p>
    <w:p>
      <w:pPr>
        <w:pStyle w:val="PR3"/>
        <w:numPr>
          <w:ilvl w:val="6"/>
          <w:numId w:val="1"/>
        </w:numPr>
        <w:spacing w:before="240" w:after="0"/>
        <w:rPr/>
      </w:pPr>
      <w:r>
        <w:rPr/>
        <w:t>Grout Samples for Initial Selection: Color charts consisting of actual sections of grout showing manufacturer's full range of colors.</w:t>
      </w:r>
    </w:p>
    <w:p>
      <w:pPr>
        <w:pStyle w:val="PR3"/>
        <w:numPr>
          <w:ilvl w:val="6"/>
          <w:numId w:val="1"/>
        </w:numPr>
        <w:rPr/>
      </w:pPr>
      <w:r>
        <w:rPr/>
        <w:t>Grout Samples for Verification: Showing color and texture of joint treatment.</w:t>
      </w:r>
    </w:p>
    <w:p>
      <w:pPr>
        <w:pStyle w:val="CMT"/>
        <w:rPr/>
      </w:pPr>
      <w:r>
        <w:rPr/>
        <w:t>PCI recommends review of preproduction sample panels or the first production unit. Revise number and size in "Sample Panels" Paragraph below to suit Project.</w:t>
      </w:r>
    </w:p>
    <w:p>
      <w:pPr>
        <w:pStyle w:val="PR1"/>
        <w:numPr>
          <w:ilvl w:val="4"/>
          <w:numId w:val="1"/>
        </w:numPr>
        <w:rPr/>
      </w:pPr>
      <w:r>
        <w:rPr/>
        <w:t>Sample Panels: After sample approval and before fabricating architectural precast concrete units, produce a minimum of [</w:t>
      </w:r>
      <w:r>
        <w:rPr>
          <w:b/>
        </w:rPr>
        <w:t>two</w:t>
      </w:r>
      <w:r>
        <w:rPr/>
        <w:t>] &lt;</w:t>
      </w:r>
      <w:r>
        <w:rPr>
          <w:b/>
        </w:rPr>
        <w:t>Insert number</w:t>
      </w:r>
      <w:r>
        <w:rPr/>
        <w:t>&gt; sample panels approximately [</w:t>
      </w:r>
      <w:r>
        <w:rPr>
          <w:rStyle w:val="IP"/>
          <w:b/>
        </w:rPr>
        <w:t>16 sq. ft.</w:t>
      </w:r>
      <w:r>
        <w:rPr>
          <w:rStyle w:val="SI"/>
          <w:b/>
        </w:rPr>
        <w:t xml:space="preserve"> (1.5 sq. m)</w:t>
      </w:r>
      <w:r>
        <w:rPr/>
        <w:t>] &lt;</w:t>
      </w:r>
      <w:r>
        <w:rPr>
          <w:b/>
        </w:rPr>
        <w:t>Insert dimension</w:t>
      </w:r>
      <w:r>
        <w:rPr/>
        <w:t>&gt; in area for review by Architect. Incorporate full-scale details of architectural features, finishes, textures, and transitions in sample panels.</w:t>
      </w:r>
    </w:p>
    <w:p>
      <w:pPr>
        <w:pStyle w:val="PR2"/>
        <w:numPr>
          <w:ilvl w:val="5"/>
          <w:numId w:val="1"/>
        </w:numPr>
        <w:spacing w:before="240" w:after="0"/>
        <w:rPr/>
      </w:pPr>
      <w:r>
        <w:rPr/>
        <w:t>Locate panels where indicated or, if not indicated, as directed by Architect.</w:t>
      </w:r>
    </w:p>
    <w:p>
      <w:pPr>
        <w:pStyle w:val="PR2"/>
        <w:numPr>
          <w:ilvl w:val="5"/>
          <w:numId w:val="1"/>
        </w:numPr>
        <w:rPr/>
      </w:pPr>
      <w:r>
        <w:rPr/>
        <w:t>Damage part of an exposed-face surface for each finish, color, and texture, and demonstrate adequacy of repair techniques proposed for repair of surface blemishes.</w:t>
      </w:r>
    </w:p>
    <w:p>
      <w:pPr>
        <w:pStyle w:val="PR2"/>
        <w:numPr>
          <w:ilvl w:val="5"/>
          <w:numId w:val="1"/>
        </w:numPr>
        <w:rPr/>
      </w:pPr>
      <w:r>
        <w:rPr/>
        <w:t>After acceptance of repair technique, maintain one sample panel at manufacturer's plant and one at Project site in an undisturbed condition as a standard for judging the completed Work.</w:t>
      </w:r>
    </w:p>
    <w:p>
      <w:pPr>
        <w:pStyle w:val="PR2"/>
        <w:numPr>
          <w:ilvl w:val="5"/>
          <w:numId w:val="1"/>
        </w:numPr>
        <w:rPr/>
      </w:pPr>
      <w:r>
        <w:rPr/>
        <w:t>Demolish and remove sample panels when directed.</w:t>
      </w:r>
    </w:p>
    <w:p>
      <w:pPr>
        <w:pStyle w:val="CMT"/>
        <w:rPr/>
      </w:pPr>
      <w:r>
        <w:rPr/>
        <w:t>PCI recommends production of finish and texture range samples when color and texture uniformity concerns could be an issue, Architect or fabricator has not had previous experience with specified mixture and finish, or a large project has multiple approving authorities.</w:t>
      </w:r>
    </w:p>
    <w:p>
      <w:pPr>
        <w:pStyle w:val="PR1"/>
        <w:numPr>
          <w:ilvl w:val="4"/>
          <w:numId w:val="1"/>
        </w:numPr>
        <w:rPr/>
      </w:pPr>
      <w:r>
        <w:rPr/>
        <w:t>Range Samples: After sample panel approval and before fabricating architectural precast concrete units, produce a minimum of [</w:t>
      </w:r>
      <w:r>
        <w:rPr>
          <w:b/>
        </w:rPr>
        <w:t>three</w:t>
      </w:r>
      <w:r>
        <w:rPr/>
        <w:t>] [</w:t>
      </w:r>
      <w:r>
        <w:rPr>
          <w:b/>
        </w:rPr>
        <w:t>five</w:t>
      </w:r>
      <w:r>
        <w:rPr/>
        <w:t>] &lt;</w:t>
      </w:r>
      <w:r>
        <w:rPr>
          <w:b/>
        </w:rPr>
        <w:t>Insert number</w:t>
      </w:r>
      <w:r>
        <w:rPr/>
        <w:t>&gt; sets of samples, approximately [</w:t>
      </w:r>
      <w:r>
        <w:rPr>
          <w:rStyle w:val="IP"/>
          <w:b/>
        </w:rPr>
        <w:t>16 sq. ft.</w:t>
      </w:r>
      <w:r>
        <w:rPr>
          <w:rStyle w:val="SI"/>
          <w:b/>
        </w:rPr>
        <w:t xml:space="preserve"> (1.5 sq. m)</w:t>
      </w:r>
      <w:r>
        <w:rPr/>
        <w:t>] &lt;</w:t>
      </w:r>
      <w:r>
        <w:rPr>
          <w:b/>
        </w:rPr>
        <w:t>Insert dimension</w:t>
      </w:r>
      <w:r>
        <w:rPr/>
        <w:t>&gt; in area, representing anticipated range of each color and texture on Project's units. Maintain one set of range samples at Project site and remaining sets at manufacturer's plant as color and texture approval reference.</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architectural precast concrete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Show governing panel types, connections, types of reinforcement, including special reinforcement, and concrete cover on reinforcement. Indicate location, type, magnitude, and direction of loads imposed on the building structural frame from architectural precast concrete.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1"/>
        <w:numPr>
          <w:ilvl w:val="4"/>
          <w:numId w:val="1"/>
        </w:numPr>
        <w:rPr/>
      </w:pPr>
      <w:hyperlink r:id="rId5">
        <w:r>
          <w:rPr>
            <w:rStyle w:val="Hyperlink"/>
          </w:rPr>
          <w:t>&lt;Double click to insert sustainable design text for advanced inventory and assessment&gt;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Provide locations, setting diagrams, templates, instructions, and directions, as required, for furnishing and installation of loose connection hardware and anchorage items to be embedded in or attached to other construction.</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PR1"/>
        <w:numPr>
          <w:ilvl w:val="4"/>
          <w:numId w:val="1"/>
        </w:numPr>
        <w:rPr/>
      </w:pPr>
      <w:r>
        <w:rPr/>
        <w:t>Material Test Reports: For each of the following items, for tests performed by [</w:t>
      </w:r>
      <w:r>
        <w:rPr>
          <w:b/>
        </w:rPr>
        <w:t>manufacturer</w:t>
      </w:r>
      <w:r>
        <w:rPr/>
        <w:t>] [</w:t>
      </w:r>
      <w:r>
        <w:rPr>
          <w:b/>
        </w:rPr>
        <w:t>qualified testing agency</w:t>
      </w:r>
      <w:r>
        <w:rPr/>
        <w:t>] [</w:t>
      </w:r>
      <w:r>
        <w:rPr>
          <w:b/>
        </w:rPr>
        <w:t>manufacturer and witnessed by a qualified testing agency</w:t>
      </w:r>
      <w:r>
        <w:rPr/>
        <w:t>].</w:t>
      </w:r>
    </w:p>
    <w:p>
      <w:pPr>
        <w:pStyle w:val="PR2"/>
        <w:numPr>
          <w:ilvl w:val="5"/>
          <w:numId w:val="1"/>
        </w:numPr>
        <w:spacing w:before="240" w:after="0"/>
        <w:rPr/>
      </w:pPr>
      <w:r>
        <w:rPr/>
        <w:t>Aggregates.</w:t>
      </w:r>
    </w:p>
    <w:p>
      <w:pPr>
        <w:pStyle w:val="PR2"/>
        <w:numPr>
          <w:ilvl w:val="5"/>
          <w:numId w:val="1"/>
        </w:numPr>
        <w:rPr/>
      </w:pPr>
      <w:r>
        <w:rPr/>
        <w:t>Cementitious materials.</w:t>
      </w:r>
    </w:p>
    <w:p>
      <w:pPr>
        <w:pStyle w:val="PR2"/>
        <w:numPr>
          <w:ilvl w:val="5"/>
          <w:numId w:val="1"/>
        </w:numPr>
        <w:rPr/>
      </w:pPr>
      <w:r>
        <w:rPr/>
        <w:t>Reinforcing materials and prestressing tendons.</w:t>
      </w:r>
    </w:p>
    <w:p>
      <w:pPr>
        <w:pStyle w:val="PR2"/>
        <w:numPr>
          <w:ilvl w:val="5"/>
          <w:numId w:val="1"/>
        </w:numPr>
        <w:rPr/>
      </w:pPr>
      <w:r>
        <w:rPr/>
        <w:t>Admixtures.</w:t>
      </w:r>
    </w:p>
    <w:p>
      <w:pPr>
        <w:pStyle w:val="PR2"/>
        <w:numPr>
          <w:ilvl w:val="5"/>
          <w:numId w:val="1"/>
        </w:numPr>
        <w:rPr/>
      </w:pPr>
      <w:r>
        <w:rPr/>
        <w:t>Bearing pads.</w:t>
      </w:r>
    </w:p>
    <w:p>
      <w:pPr>
        <w:pStyle w:val="PR2"/>
        <w:numPr>
          <w:ilvl w:val="5"/>
          <w:numId w:val="1"/>
        </w:numPr>
        <w:rPr/>
      </w:pPr>
      <w:r>
        <w:rPr/>
        <w:t>Structural-steel shapes and hollow structural sections.</w:t>
      </w:r>
    </w:p>
    <w:p>
      <w:pPr>
        <w:pStyle w:val="PR2"/>
        <w:numPr>
          <w:ilvl w:val="5"/>
          <w:numId w:val="1"/>
        </w:numPr>
        <w:rPr/>
      </w:pPr>
      <w:r>
        <w:rPr/>
        <w:t>Thin-brick units and accessories.</w:t>
      </w:r>
    </w:p>
    <w:p>
      <w:pPr>
        <w:pStyle w:val="PR2"/>
        <w:numPr>
          <w:ilvl w:val="5"/>
          <w:numId w:val="1"/>
        </w:numPr>
        <w:rPr/>
      </w:pPr>
      <w:r>
        <w:rPr/>
        <w:t>Stone anchors.</w:t>
      </w:r>
    </w:p>
    <w:p>
      <w:pPr>
        <w:pStyle w:val="PR2"/>
        <w:numPr>
          <w:ilvl w:val="5"/>
          <w:numId w:val="1"/>
        </w:numPr>
        <w:rPr/>
      </w:pPr>
      <w:r>
        <w:rPr/>
        <w:t>Insulation.</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&lt;</w:t>
      </w:r>
      <w:r>
        <w:rPr>
          <w:b/>
        </w:rPr>
        <w:t>Insert product</w:t>
      </w:r>
      <w:r>
        <w:rPr/>
        <w:t>&gt; [</w:t>
      </w:r>
      <w:r>
        <w:rPr>
          <w:b/>
        </w:rPr>
        <w:t>stone anchors</w:t>
      </w:r>
      <w:r>
        <w:rPr/>
        <w:t>] [</w:t>
      </w:r>
      <w:r>
        <w:rPr>
          <w:b/>
        </w:rPr>
        <w:t>mockups</w:t>
      </w:r>
      <w:r>
        <w:rPr/>
        <w:t>].</w:t>
      </w:r>
    </w:p>
    <w:p>
      <w:pPr>
        <w:pStyle w:val="PR1"/>
        <w:numPr>
          <w:ilvl w:val="4"/>
          <w:numId w:val="1"/>
        </w:numPr>
        <w:rPr/>
      </w:pPr>
      <w:r>
        <w:rPr/>
        <w:t>Source Quality-Control Reports: For &lt;</w:t>
      </w:r>
      <w:r>
        <w:rPr>
          <w:b/>
        </w:rPr>
        <w:t>Insert product</w:t>
      </w:r>
      <w:r>
        <w:rPr/>
        <w:t>&gt; [</w:t>
      </w:r>
      <w:r>
        <w:rPr>
          <w:b/>
        </w:rPr>
        <w:t>aggregate</w:t>
      </w:r>
      <w:r>
        <w:rPr/>
        <w:t>] [</w:t>
      </w:r>
      <w:r>
        <w:rPr>
          <w:b/>
        </w:rPr>
        <w:t>cementitious materials</w:t>
      </w:r>
      <w:r>
        <w:rPr/>
        <w:t>].</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fabricator</w:t>
      </w:r>
      <w:r>
        <w:rPr/>
        <w:t>] [</w:t>
      </w:r>
      <w:r>
        <w:rPr>
          <w:b/>
        </w:rPr>
        <w:t>Installer</w:t>
      </w:r>
      <w:r>
        <w:rPr/>
        <w:t>] [</w:t>
      </w:r>
      <w:r>
        <w:rPr>
          <w:b/>
        </w:rPr>
        <w:t>testing agency</w:t>
      </w:r>
      <w:r>
        <w:rPr/>
        <w:t>].</w:t>
      </w:r>
    </w:p>
    <w:p>
      <w:pPr>
        <w:pStyle w:val="PR1"/>
        <w:numPr>
          <w:ilvl w:val="4"/>
          <w:numId w:val="1"/>
        </w:numPr>
        <w:rPr/>
      </w:pPr>
      <w:r>
        <w:rPr/>
        <w:t>Delegated Design Engineer Qualifications: For &lt;</w:t>
      </w:r>
      <w:r>
        <w:rPr>
          <w:b/>
        </w:rPr>
        <w:t>Insert product</w:t>
      </w:r>
      <w:r>
        <w:rPr/>
        <w:t>&gt; [</w:t>
      </w:r>
      <w:r>
        <w:rPr>
          <w:b/>
        </w:rPr>
        <w:t>stone anchors</w:t>
      </w:r>
      <w:r>
        <w:rPr/>
        <w:t>].</w:t>
      </w:r>
    </w:p>
    <w:p>
      <w:pPr>
        <w:pStyle w:val="ART"/>
        <w:numPr>
          <w:ilvl w:val="3"/>
          <w:numId w:val="1"/>
        </w:numPr>
        <w:ind w:hanging="0" w:left="0"/>
        <w:rPr/>
      </w:pPr>
      <w:r>
        <w:rPr/>
        <w:t>CLOSEOUT SUBMITTALS</w:t>
      </w:r>
    </w:p>
    <w:p>
      <w:pPr>
        <w:pStyle w:val="CMT"/>
        <w:rPr/>
      </w:pPr>
      <w:r>
        <w:rPr/>
        <w:t>Retain "General Contractor/Construction Manager Project Survey" Paragraph below for projects over 5000 sq. ft. (464.5 sq. m.) in PCI certification Categories AA and AB. These categories also require the Architect to complete the Architect Project Survey form; the completed surveys are required for producers to renew certifications. Forms are available in the PCI Architectural Certification Program Supplemental Requirements, or may be provided by the precast producer.</w:t>
      </w:r>
    </w:p>
    <w:p>
      <w:pPr>
        <w:pStyle w:val="PR1"/>
        <w:numPr>
          <w:ilvl w:val="4"/>
          <w:numId w:val="1"/>
        </w:numPr>
        <w:rPr/>
      </w:pPr>
      <w:r>
        <w:rPr/>
        <w:t>General Contractor/Construction Manager Project Survey: Complete the survey form, providing feedback of the certified precast producer's performance in accordance with PCI's Architectural Certification Program. Submit to PCI as directed on form; provide a copy to Architect.</w:t>
      </w:r>
    </w:p>
    <w:p>
      <w:pPr>
        <w:pStyle w:val="ART"/>
        <w:numPr>
          <w:ilvl w:val="3"/>
          <w:numId w:val="1"/>
        </w:numPr>
        <w:ind w:hanging="0" w:left="0"/>
        <w:rPr/>
      </w:pPr>
      <w:r>
        <w:rPr/>
        <w:t>QUALITY ASSURANCE</w:t>
      </w:r>
    </w:p>
    <w:p>
      <w:pPr>
        <w:pStyle w:val="PR1"/>
        <w:numPr>
          <w:ilvl w:val="4"/>
          <w:numId w:val="1"/>
        </w:numPr>
        <w:rPr/>
      </w:pPr>
      <w:r>
        <w:rPr/>
        <w:t>Fabricator Qualifications: A firm that assumes responsibility for engineering architectural precast concrete units to comply with performance requirements. This responsibility includes preparation of Shop Drawings and comprehensive engineering analysis by a qualified professional engineer.</w:t>
      </w:r>
    </w:p>
    <w:p>
      <w:pPr>
        <w:pStyle w:val="CMT"/>
        <w:rPr/>
      </w:pPr>
      <w:r>
        <w:rPr/>
        <w:t>Usually retain first subparagraph below. PCI plant certification was established in 1967; Categories AA-AD allow for increasing project complexity (AA is more complex than AD), and Category AT covers architectural trim units. APA plant certification was established in 1993 and is based on PCI requirements. Consult APA or PCI for further information.</w:t>
      </w:r>
    </w:p>
    <w:p>
      <w:pPr>
        <w:pStyle w:val="PR2"/>
        <w:numPr>
          <w:ilvl w:val="5"/>
          <w:numId w:val="1"/>
        </w:numPr>
        <w:spacing w:before="240" w:after="0"/>
        <w:rPr/>
      </w:pPr>
      <w:r>
        <w:rPr/>
        <w:t>Designated[</w:t>
      </w:r>
      <w:r>
        <w:rPr>
          <w:b/>
        </w:rPr>
        <w:t> at time of bidding</w:t>
      </w:r>
      <w:r>
        <w:rPr/>
        <w:t>] as a PCI-certified plant for [</w:t>
      </w:r>
      <w:r>
        <w:rPr>
          <w:b/>
        </w:rPr>
        <w:t>Category AA</w:t>
      </w:r>
      <w:r>
        <w:rPr/>
        <w:t>] [</w:t>
      </w:r>
      <w:r>
        <w:rPr>
          <w:b/>
        </w:rPr>
        <w:t>Category AB</w:t>
      </w:r>
      <w:r>
        <w:rPr/>
        <w:t>] [</w:t>
      </w:r>
      <w:r>
        <w:rPr>
          <w:b/>
        </w:rPr>
        <w:t>Category AC</w:t>
      </w:r>
      <w:r>
        <w:rPr/>
        <w:t>] [</w:t>
      </w:r>
      <w:r>
        <w:rPr>
          <w:b/>
        </w:rPr>
        <w:t>Category AD</w:t>
      </w:r>
      <w:r>
        <w:rPr/>
        <w:t>] [</w:t>
      </w:r>
      <w:r>
        <w:rPr>
          <w:b/>
        </w:rPr>
        <w:t>Category AT</w:t>
      </w:r>
      <w:r>
        <w:rPr/>
        <w:t>] [</w:t>
      </w:r>
      <w:r>
        <w:rPr>
          <w:b/>
        </w:rPr>
        <w:t> or designated as an APA-certified plant for production of architectural precast concrete products</w:t>
      </w:r>
      <w:r>
        <w:rPr/>
        <w:t>].</w:t>
      </w:r>
    </w:p>
    <w:p>
      <w:pPr>
        <w:pStyle w:val="CMT"/>
        <w:rPr/>
      </w:pPr>
      <w:r>
        <w:rPr/>
        <w:t>If plant certification is not required, retain "Quality-Control Standard" Subparagraph below for compliance with PCI standards. First option covers work similar to that of PCI certification Category AD; second option covers most architectural precast units.</w:t>
      </w:r>
    </w:p>
    <w:p>
      <w:pPr>
        <w:pStyle w:val="PR2"/>
        <w:numPr>
          <w:ilvl w:val="5"/>
          <w:numId w:val="1"/>
        </w:numPr>
        <w:rPr/>
      </w:pPr>
      <w:r>
        <w:rPr/>
        <w:t>Quality-Control Standard: For manufacturing procedures and testing requirements, quality-control recommendations, and dimensional tolerances for types of units required, comply with [</w:t>
      </w:r>
      <w:r>
        <w:rPr>
          <w:b/>
        </w:rPr>
        <w:t>PCI MNL 116</w:t>
      </w:r>
      <w:r>
        <w:rPr/>
        <w:t>] [</w:t>
      </w:r>
      <w:r>
        <w:rPr>
          <w:b/>
        </w:rPr>
        <w:t>PCI MNL 117</w:t>
      </w:r>
      <w:r>
        <w:rPr/>
        <w:t>] and PCI MNL 135.</w:t>
      </w:r>
    </w:p>
    <w:p>
      <w:pPr>
        <w:pStyle w:val="CMT"/>
        <w:rPr/>
      </w:pPr>
      <w:r>
        <w:rPr/>
        <w:t xml:space="preserve">Retain "Certified Installer Qualifications" or "Installer Qualifications" Paragraph below if qualifying erectors. PCI-certified erector is required for projects with certification Categories AA, AB, or AC. See PCI's website, </w:t>
      </w:r>
      <w:hyperlink r:id="rId6">
        <w:r>
          <w:rPr>
            <w:rStyle w:val="Hyperlink"/>
          </w:rPr>
          <w:t>www.pci.org</w:t>
        </w:r>
      </w:hyperlink>
      <w:r>
        <w:rPr/>
        <w:t>, for current listing of erectors.</w:t>
      </w:r>
    </w:p>
    <w:p>
      <w:pPr>
        <w:pStyle w:val="PR1"/>
        <w:numPr>
          <w:ilvl w:val="4"/>
          <w:numId w:val="1"/>
        </w:numPr>
        <w:rPr/>
      </w:pPr>
      <w:r>
        <w:rPr/>
        <w:t>Certified Installer Qualifications: A precast concrete erector qualified and designated by PCI's Certificate of Compliance to erect [</w:t>
      </w:r>
      <w:r>
        <w:rPr>
          <w:b/>
        </w:rPr>
        <w:t>Category A (Architectural Systems) for nonload</w:t>
      </w:r>
      <w:r>
        <w:rPr/>
        <w:t>] [</w:t>
      </w:r>
      <w:r>
        <w:rPr>
          <w:b/>
        </w:rPr>
        <w:t>Category S2 (Complex Structural Systems) for load</w:t>
      </w:r>
      <w:r>
        <w:rPr/>
        <w:t>]-bearing members.</w:t>
      </w:r>
    </w:p>
    <w:p>
      <w:pPr>
        <w:pStyle w:val="CMT"/>
        <w:rPr/>
      </w:pPr>
      <w:r>
        <w:rPr/>
        <w:t>Retain "Installer Qualifications" Paragraph below if PCI-certified erector is not required or is not available in Project location. Basis of audit is PCI MNL 127.</w:t>
      </w:r>
    </w:p>
    <w:p>
      <w:pPr>
        <w:pStyle w:val="PR1"/>
        <w:numPr>
          <w:ilvl w:val="4"/>
          <w:numId w:val="1"/>
        </w:numPr>
        <w:rPr/>
      </w:pPr>
      <w:r>
        <w:rPr/>
        <w:t>Installer Qualifications: A precast concrete erector who has retained a "PCI-Certified Field Auditor" to conduct a field audit of a project in same category as this Project and who can produce an Erectors' Post-Audit Declaration.</w:t>
      </w:r>
    </w:p>
    <w:p>
      <w:pPr>
        <w:pStyle w:val="CMT"/>
        <w:rPr/>
      </w:pPr>
      <w:r>
        <w:rPr/>
        <w:t>Retain "Testing Agency Qualifications" Paragraph below if Contractor selects testing agency for testing in addition to that required under PCI's certification program. Testing agency is normally engaged by Owner.</w:t>
      </w:r>
    </w:p>
    <w:p>
      <w:pPr>
        <w:pStyle w:val="PR1"/>
        <w:numPr>
          <w:ilvl w:val="4"/>
          <w:numId w:val="1"/>
        </w:numPr>
        <w:rPr/>
      </w:pPr>
      <w:r>
        <w:rPr/>
        <w:t>Testing Agency Qualifications: An independent testing agency[</w:t>
      </w:r>
      <w:r>
        <w:rPr>
          <w:b/>
        </w:rPr>
        <w:t>, acceptable to authorities having jurisdiction,</w:t>
      </w:r>
      <w:r>
        <w:rPr/>
        <w:t>] qualified in accordance with ASTM C1077 and ASTM E329 for testing indicated.</w:t>
      </w:r>
    </w:p>
    <w:p>
      <w:pPr>
        <w:pStyle w:val="PR1"/>
        <w:numPr>
          <w:ilvl w:val="4"/>
          <w:numId w:val="1"/>
        </w:numPr>
        <w:rPr/>
      </w:pPr>
      <w:r>
        <w:rPr/>
        <w:t>Delegated Design Engineer Qualifications: A professional engineer who is legally qualified to practice in [</w:t>
      </w:r>
      <w:r>
        <w:rPr>
          <w:b/>
        </w:rPr>
        <w:t>state</w:t>
      </w:r>
      <w:r>
        <w:rPr/>
        <w:t>] &lt;</w:t>
      </w:r>
      <w:r>
        <w:rPr>
          <w:b/>
        </w:rPr>
        <w:t>Insert jurisdiction</w:t>
      </w:r>
      <w:r>
        <w:rPr/>
        <w:t>&gt; where Project is located and who is experienced in providing engineering services of the type indicated.</w:t>
      </w:r>
    </w:p>
    <w:p>
      <w:pPr>
        <w:pStyle w:val="CMT"/>
        <w:rPr/>
      </w:pPr>
      <w:r>
        <w:rPr/>
        <w:t>Retain "Welding Qualifications" Paragraph below if shop or field welding is required. If retaining, also retain "Welding certificates" Subparagraph in "Informational Submittals" Article.</w:t>
      </w:r>
    </w:p>
    <w:p>
      <w:pPr>
        <w:pStyle w:val="PR1"/>
        <w:numPr>
          <w:ilvl w:val="4"/>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first subparagraph below for structural welding of reinforcing steel.</w:t>
      </w:r>
    </w:p>
    <w:p>
      <w:pPr>
        <w:pStyle w:val="PR2"/>
        <w:numPr>
          <w:ilvl w:val="5"/>
          <w:numId w:val="1"/>
        </w:numPr>
        <w:rPr/>
      </w:pPr>
      <w:r>
        <w:rPr/>
        <w:t>AWS D1.4/D1.4M.</w:t>
      </w:r>
    </w:p>
    <w:p>
      <w:pPr>
        <w:pStyle w:val="CMT"/>
        <w:rPr/>
      </w:pPr>
      <w:r>
        <w:rPr/>
        <w:t>Retain subparagraph below for structural welding of stainless steel.</w:t>
      </w:r>
    </w:p>
    <w:p>
      <w:pPr>
        <w:pStyle w:val="PR2"/>
        <w:numPr>
          <w:ilvl w:val="5"/>
          <w:numId w:val="1"/>
        </w:numPr>
        <w:rPr/>
      </w:pPr>
      <w:r>
        <w:rPr/>
        <w:t>AWS D1.6/D1.6M.</w:t>
      </w:r>
    </w:p>
    <w:p>
      <w:pPr>
        <w:pStyle w:val="ART"/>
        <w:numPr>
          <w:ilvl w:val="3"/>
          <w:numId w:val="1"/>
        </w:numPr>
        <w:ind w:hanging="0" w:left="0"/>
        <w:rPr/>
      </w:pPr>
      <w:r>
        <w:rPr/>
        <w:t>MOCKUPS</w:t>
      </w:r>
    </w:p>
    <w:p>
      <w:pPr>
        <w:pStyle w:val="CMT"/>
        <w:rPr/>
      </w:pPr>
      <w:r>
        <w:rPr/>
        <w:t>Delete this article if sample panels and range samples will suffice and added expense of mockups is not required. If retaining, indicate location, size, and other details of mockups on Drawings. Revise wording if only one mockup is required.</w:t>
      </w:r>
    </w:p>
    <w:p>
      <w:pPr>
        <w:pStyle w:val="PR1"/>
        <w:numPr>
          <w:ilvl w:val="4"/>
          <w:numId w:val="1"/>
        </w:numPr>
        <w:rPr/>
      </w:pPr>
      <w:r>
        <w:rPr/>
        <w:t>Build mockups [</w:t>
      </w:r>
      <w:r>
        <w:rPr>
          <w:b/>
        </w:rPr>
        <w:t>to verify selections made under Sample submittals</w:t>
      </w:r>
      <w:r>
        <w:rPr/>
        <w:t>] [</w:t>
      </w:r>
      <w:r>
        <w:rPr>
          <w:b/>
        </w:rPr>
        <w:t>to demonstrate aesthetic effects</w:t>
      </w:r>
      <w:r>
        <w:rPr/>
        <w:t>] [</w:t>
      </w:r>
      <w:r>
        <w:rPr>
          <w:b/>
        </w:rPr>
        <w:t>to set quality standards for materials and execution</w:t>
      </w:r>
      <w:r>
        <w:rPr/>
        <w:t>] [</w:t>
      </w:r>
      <w:r>
        <w:rPr>
          <w:b/>
        </w:rPr>
        <w:t>and</w:t>
      </w:r>
      <w:r>
        <w:rPr/>
        <w:t>] [</w:t>
      </w:r>
      <w:r>
        <w:rPr>
          <w:b/>
        </w:rPr>
        <w:t>for preconstruction testing</w:t>
      </w:r>
      <w:r>
        <w:rPr/>
        <w:t>].</w:t>
      </w:r>
    </w:p>
    <w:p>
      <w:pPr>
        <w:pStyle w:val="PR2"/>
        <w:numPr>
          <w:ilvl w:val="5"/>
          <w:numId w:val="1"/>
        </w:numPr>
        <w:spacing w:before="240" w:after="0"/>
        <w:rPr/>
      </w:pPr>
      <w:r>
        <w:rPr/>
        <w:t>After sample panel[</w:t>
      </w:r>
      <w:r>
        <w:rPr>
          <w:b/>
        </w:rPr>
        <w:t> and range sample</w:t>
      </w:r>
      <w:r>
        <w:rPr/>
        <w:t>] approval, build mockup [</w:t>
      </w:r>
      <w:r>
        <w:rPr>
          <w:b/>
        </w:rPr>
        <w:t>as indicated on Drawings</w:t>
      </w:r>
      <w:r>
        <w:rPr/>
        <w:t>] &lt;</w:t>
      </w:r>
      <w:r>
        <w:rPr>
          <w:b/>
        </w:rPr>
        <w:t>Insert mockup requirements</w:t>
      </w:r>
      <w:r>
        <w:rPr/>
        <w:t>&gt;, complete with anchors, connections, flashings, and joint fillers.</w:t>
      </w:r>
    </w:p>
    <w:p>
      <w:pPr>
        <w:pStyle w:val="PR3"/>
        <w:numPr>
          <w:ilvl w:val="6"/>
          <w:numId w:val="1"/>
        </w:numPr>
        <w:spacing w:before="240" w:after="0"/>
        <w:rPr/>
      </w:pPr>
      <w:r>
        <w:rPr/>
        <w:t>Build preconstruction testing mockup at testing agency facility.</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stone anchor testing if Contractor designs stone anchorage system.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&lt;</w:t>
      </w:r>
      <w:r>
        <w:rPr>
          <w:b/>
        </w:rPr>
        <w:t>Insert product</w:t>
      </w:r>
      <w:r>
        <w:rPr/>
        <w:t>&gt; [</w:t>
      </w:r>
      <w:r>
        <w:rPr>
          <w:b/>
        </w:rPr>
        <w:t>stone anchors</w:t>
      </w:r>
      <w:r>
        <w:rPr/>
        <w:t>] [</w:t>
      </w:r>
      <w:r>
        <w:rPr>
          <w:b/>
        </w:rPr>
        <w:t>mockups</w:t>
      </w:r>
      <w:r>
        <w:rPr/>
        <w:t>].</w:t>
      </w:r>
    </w:p>
    <w:p>
      <w:pPr>
        <w:pStyle w:val="CMT"/>
        <w:rPr/>
      </w:pPr>
      <w:r>
        <w:rPr/>
        <w:t>Retain first subparagraph below if size and configuration of assemblies are not indicated on Drawings.</w:t>
      </w:r>
    </w:p>
    <w:p>
      <w:pPr>
        <w:pStyle w:val="PR2"/>
        <w:numPr>
          <w:ilvl w:val="5"/>
          <w:numId w:val="1"/>
        </w:numPr>
        <w:spacing w:before="240" w:after="0"/>
        <w:rPr/>
      </w:pPr>
      <w:r>
        <w:rPr/>
        <w:t>&lt;</w:t>
      </w:r>
      <w:r>
        <w:rPr>
          <w:b/>
        </w:rPr>
        <w:t>Insert sizes and configurations of assemblies</w:t>
      </w:r>
      <w:r>
        <w:rPr/>
        <w:t>&gt;.</w:t>
      </w:r>
    </w:p>
    <w:p>
      <w:pPr>
        <w:pStyle w:val="PR2"/>
        <w:numPr>
          <w:ilvl w:val="5"/>
          <w:numId w:val="1"/>
        </w:numPr>
        <w:rPr/>
      </w:pPr>
      <w:r>
        <w:rPr/>
        <w:t>Provide test specimens and assemblies representative of proposed materials and construction.</w:t>
      </w:r>
    </w:p>
    <w:p>
      <w:pPr>
        <w:pStyle w:val="PR2"/>
        <w:numPr>
          <w:ilvl w:val="5"/>
          <w:numId w:val="1"/>
        </w:numPr>
        <w:rPr/>
      </w:pPr>
      <w:r>
        <w:rPr/>
        <w:t>Perform preconstruction testing in accordance with ASTM C1354/C1354M or ASTM E488/E488M, modified as follows:</w:t>
      </w:r>
    </w:p>
    <w:p>
      <w:pPr>
        <w:pStyle w:val="PR3"/>
        <w:numPr>
          <w:ilvl w:val="6"/>
          <w:numId w:val="1"/>
        </w:numPr>
        <w:spacing w:before="240" w:after="0"/>
        <w:rPr/>
      </w:pPr>
      <w:r>
        <w:rPr/>
        <w:t xml:space="preserve">Anchorage Tests: Test </w:t>
      </w:r>
      <w:r>
        <w:rPr>
          <w:rStyle w:val="IP"/>
        </w:rPr>
        <w:t>12-inch-</w:t>
      </w:r>
      <w:r>
        <w:rPr>
          <w:rStyle w:val="SI"/>
        </w:rPr>
        <w:t xml:space="preserve"> (300-mm-)</w:t>
      </w:r>
      <w:r>
        <w:rPr/>
        <w:t xml:space="preserve"> square samples for[</w:t>
      </w:r>
      <w:r>
        <w:rPr>
          <w:b/>
        </w:rPr>
        <w:t> each combination of</w:t>
      </w:r>
      <w:r>
        <w:rPr/>
        <w:t>] stone variety, orientation of cut, finish, and anchor type proposed for use on Project. Test for shear and tensile strength of anchorage system.</w:t>
      </w:r>
    </w:p>
    <w:p>
      <w:pPr>
        <w:pStyle w:val="ART"/>
        <w:numPr>
          <w:ilvl w:val="3"/>
          <w:numId w:val="1"/>
        </w:numPr>
        <w:ind w:hanging="0" w:left="0"/>
        <w:rPr/>
      </w:pPr>
      <w:r>
        <w:rPr/>
        <w:t>DELIVERY, STORAGE, AND HANDLING</w:t>
      </w:r>
    </w:p>
    <w:p>
      <w:pPr>
        <w:pStyle w:val="PR1"/>
        <w:numPr>
          <w:ilvl w:val="4"/>
          <w:numId w:val="1"/>
        </w:numPr>
        <w:rPr/>
      </w:pPr>
      <w:r>
        <w:rPr/>
        <w:t>Deliver architectural precast concrete units in such quantities and at such times to limit unloading units temporarily on the ground or other rehandling.</w:t>
      </w:r>
    </w:p>
    <w:p>
      <w:pPr>
        <w:pStyle w:val="PR1"/>
        <w:numPr>
          <w:ilvl w:val="4"/>
          <w:numId w:val="1"/>
        </w:numPr>
        <w:rPr/>
      </w:pPr>
      <w:r>
        <w:rPr/>
        <w:t>Support units during shipment on nonstaining shock-absorbing material.</w:t>
      </w:r>
    </w:p>
    <w:p>
      <w:pPr>
        <w:pStyle w:val="PR1"/>
        <w:numPr>
          <w:ilvl w:val="4"/>
          <w:numId w:val="1"/>
        </w:numPr>
        <w:rPr/>
      </w:pPr>
      <w:r>
        <w:rPr/>
        <w:t>Store units with adequate dunnage and bracing, and protect units to prevent contact with soil, prevent staining, and prevent cracking, distortion, warping, or other physical damage.</w:t>
      </w:r>
    </w:p>
    <w:p>
      <w:pPr>
        <w:pStyle w:val="PR1"/>
        <w:numPr>
          <w:ilvl w:val="4"/>
          <w:numId w:val="1"/>
        </w:numPr>
        <w:rPr/>
      </w:pPr>
      <w:r>
        <w:rPr/>
        <w:t>Place stored units so identification marks are clearly visible, and units can be inspected.</w:t>
      </w:r>
    </w:p>
    <w:p>
      <w:pPr>
        <w:pStyle w:val="PR1"/>
        <w:numPr>
          <w:ilvl w:val="4"/>
          <w:numId w:val="1"/>
        </w:numPr>
        <w:rPr/>
      </w:pPr>
      <w:r>
        <w:rPr/>
        <w:t>Handle and transport units in a manner that avoids excessive stresses that cause cracking or damage.</w:t>
      </w:r>
    </w:p>
    <w:p>
      <w:pPr>
        <w:pStyle w:val="PR1"/>
        <w:numPr>
          <w:ilvl w:val="4"/>
          <w:numId w:val="1"/>
        </w:numPr>
        <w:rPr/>
      </w:pPr>
      <w:r>
        <w:rPr/>
        <w:t>Lift and support units only at designated points indicated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architectural precast concrete units[</w:t>
      </w:r>
      <w:r>
        <w:rPr>
          <w:b/>
        </w:rPr>
        <w:t> including stone facing system</w:t>
      </w:r>
      <w:r>
        <w:rPr/>
        <w:t>].</w:t>
      </w:r>
    </w:p>
    <w:p>
      <w:pPr>
        <w:pStyle w:val="PR1"/>
        <w:numPr>
          <w:ilvl w:val="4"/>
          <w:numId w:val="1"/>
        </w:numPr>
        <w:rPr/>
      </w:pPr>
      <w:r>
        <w:rPr/>
        <w:t>Design Standards: Comply with ACI 318 and design recommendations of PCI MNL 120 applicable to types of architectural precast concrete units indicated.</w:t>
      </w:r>
    </w:p>
    <w:p>
      <w:pPr>
        <w:pStyle w:val="CMT"/>
        <w:rPr/>
      </w:pPr>
      <w:r>
        <w:rPr/>
        <w:t>Retain "Calculated Fire-Test-Response Characteristics" Paragraph below if fire-rated units or assemblies are required. Retain either option, or both, if acceptable to authorities having jurisdiction.</w:t>
      </w:r>
    </w:p>
    <w:p>
      <w:pPr>
        <w:pStyle w:val="PR1"/>
        <w:numPr>
          <w:ilvl w:val="4"/>
          <w:numId w:val="1"/>
        </w:numPr>
        <w:rPr/>
      </w:pPr>
      <w:r>
        <w:rPr/>
        <w:t>Calculated Fire-Test-Response Characteristics: Provide architectural precast concrete units with fire-resistance rating indicated as calculated in accordance with [</w:t>
      </w:r>
      <w:r>
        <w:rPr>
          <w:b/>
        </w:rPr>
        <w:t>ACI/TMS 216.1/216.1M)</w:t>
      </w:r>
      <w:r>
        <w:rPr/>
        <w:t>] [</w:t>
      </w:r>
      <w:r>
        <w:rPr>
          <w:b/>
        </w:rPr>
        <w:t>PCI 124</w:t>
      </w:r>
      <w:r>
        <w:rPr/>
        <w:t>] and acceptable to authorities having jurisdiction.</w:t>
      </w:r>
    </w:p>
    <w:p>
      <w:pPr>
        <w:pStyle w:val="PR1"/>
        <w:numPr>
          <w:ilvl w:val="4"/>
          <w:numId w:val="1"/>
        </w:numPr>
        <w:rPr/>
      </w:pPr>
      <w:r>
        <w:rPr/>
        <w:t>Structural Performance: Provide architectural precast concrete units and connections capable of withstanding the following design loads within limits and under conditions indicated:</w:t>
      </w:r>
    </w:p>
    <w:p>
      <w:pPr>
        <w:pStyle w:val="CMT"/>
        <w:rPr/>
      </w:pPr>
      <w:r>
        <w:rPr/>
        <w:t>Retain "Loads" Subparagraph below if design loads are indicated on Drawings.</w:t>
      </w:r>
    </w:p>
    <w:p>
      <w:pPr>
        <w:pStyle w:val="PR2"/>
        <w:numPr>
          <w:ilvl w:val="5"/>
          <w:numId w:val="1"/>
        </w:numPr>
        <w:spacing w:before="240" w:after="0"/>
        <w:rPr/>
      </w:pPr>
      <w:r>
        <w:rPr/>
        <w:t>Loads: As indicated.</w:t>
      </w:r>
    </w:p>
    <w:p>
      <w:pPr>
        <w:pStyle w:val="CMT"/>
        <w:rPr/>
      </w:pPr>
      <w:r>
        <w:rPr/>
        <w:t>Retain first five subparagraphs below if including design loads here; revise requirements to suit Project, and insert other performance and design criteria if applicable.</w:t>
      </w:r>
    </w:p>
    <w:p>
      <w:pPr>
        <w:pStyle w:val="PR2"/>
        <w:numPr>
          <w:ilvl w:val="5"/>
          <w:numId w:val="1"/>
        </w:numPr>
        <w:rPr/>
      </w:pPr>
      <w:r>
        <w:rPr/>
        <w:t>Dead Loads: &lt;</w:t>
      </w:r>
      <w:r>
        <w:rPr>
          <w:b/>
        </w:rPr>
        <w:t>Insert applicable dead loads</w:t>
      </w:r>
      <w:r>
        <w:rPr/>
        <w:t>&gt;.</w:t>
      </w:r>
    </w:p>
    <w:p>
      <w:pPr>
        <w:pStyle w:val="PR2"/>
        <w:numPr>
          <w:ilvl w:val="5"/>
          <w:numId w:val="1"/>
        </w:numPr>
        <w:rPr/>
      </w:pPr>
      <w:r>
        <w:rPr/>
        <w:t>Live Loads: &lt;</w:t>
      </w:r>
      <w:r>
        <w:rPr>
          <w:b/>
        </w:rPr>
        <w:t>Insert applicable live loads</w:t>
      </w:r>
      <w:r>
        <w:rPr/>
        <w:t>&gt;.</w:t>
      </w:r>
    </w:p>
    <w:p>
      <w:pPr>
        <w:pStyle w:val="PR2"/>
        <w:numPr>
          <w:ilvl w:val="5"/>
          <w:numId w:val="1"/>
        </w:numPr>
        <w:rPr/>
      </w:pPr>
      <w:r>
        <w:rPr/>
        <w:t>Wind Loads: &lt;</w:t>
      </w:r>
      <w:r>
        <w:rPr>
          <w:b/>
        </w:rPr>
        <w:t>Insert applicable wind loads or wind-load criteria, positive and negative for various parts of building as required by applicable building code or ASCE/SEI 7, including basic wind speed, importance factor, exposure category, and pressure coefficient</w:t>
      </w:r>
      <w:r>
        <w:rPr/>
        <w:t>&gt;.</w:t>
      </w:r>
    </w:p>
    <w:p>
      <w:pPr>
        <w:pStyle w:val="PR2"/>
        <w:numPr>
          <w:ilvl w:val="5"/>
          <w:numId w:val="1"/>
        </w:numPr>
        <w:rPr/>
      </w:pPr>
      <w:r>
        <w:rPr/>
        <w:t>Seismic Loads: &lt;</w:t>
      </w:r>
      <w:r>
        <w:rPr>
          <w:b/>
        </w:rPr>
        <w:t>Insert applicable seismic design data, including seismic performance category, importance factor, use group, seismic design category, seismic zone, site classification, site coefficient, and drift criteria</w:t>
      </w:r>
      <w:r>
        <w:rPr/>
        <w:t>&gt;.</w:t>
      </w:r>
    </w:p>
    <w:p>
      <w:pPr>
        <w:pStyle w:val="PR2"/>
        <w:numPr>
          <w:ilvl w:val="5"/>
          <w:numId w:val="1"/>
        </w:numPr>
        <w:rPr/>
      </w:pPr>
      <w:r>
        <w:rPr/>
        <w:t>Project-Specific Loads: &lt;</w:t>
      </w:r>
      <w:r>
        <w:rPr>
          <w:b/>
        </w:rPr>
        <w:t>Insert applicable loads</w:t>
      </w:r>
      <w:r>
        <w:rPr/>
        <w:t>&gt;.</w:t>
      </w:r>
    </w:p>
    <w:p>
      <w:pPr>
        <w:pStyle w:val="PR2"/>
        <w:numPr>
          <w:ilvl w:val="5"/>
          <w:numId w:val="1"/>
        </w:numPr>
        <w:rPr/>
      </w:pPr>
      <w:r>
        <w:rPr/>
        <w:t>Design precast concrete units and connections to maintain clearances at openings, to allow for fabrication and construction tolerances, to accommodate live-load deflection, shrinkage and creep of primary building structure, and other building movements as follows:</w:t>
      </w:r>
    </w:p>
    <w:p>
      <w:pPr>
        <w:pStyle w:val="CMT"/>
        <w:rPr/>
      </w:pPr>
      <w:r>
        <w:rPr/>
        <w:t>Indicate locations here or on Drawings if different movements are anticipated for different building elements. If preferred, change deflection limits in first subparagraph below to ratios such as L/300 for floors and L/200 for roofs.</w:t>
      </w:r>
    </w:p>
    <w:p>
      <w:pPr>
        <w:pStyle w:val="PR3"/>
        <w:numPr>
          <w:ilvl w:val="6"/>
          <w:numId w:val="1"/>
        </w:numPr>
        <w:spacing w:before="240" w:after="0"/>
        <w:rPr/>
      </w:pPr>
      <w:r>
        <w:rPr/>
        <w:t>Upward and downward movement of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CMT"/>
        <w:rPr/>
      </w:pPr>
      <w:r>
        <w:rPr/>
        <w:t xml:space="preserve">Revise "Thermal Movements" Subparagraph below to suit local conditions. Temperature data are available from National Centers for Environmental Information, </w:t>
      </w:r>
      <w:hyperlink r:id="rId7">
        <w:r>
          <w:rPr>
            <w:rStyle w:val="Hyperlink"/>
          </w:rPr>
          <w:t>www.ncdc.noaa.gov</w:t>
        </w:r>
      </w:hyperlink>
      <w:r>
        <w:rPr/>
        <w:t>. Temperature difference does not involve an offset when converted to SI units.</w:t>
      </w:r>
    </w:p>
    <w:p>
      <w:pPr>
        <w:pStyle w:val="PR2"/>
        <w:numPr>
          <w:ilvl w:val="5"/>
          <w:numId w:val="1"/>
        </w:numPr>
        <w:spacing w:before="240" w:after="0"/>
        <w:rPr/>
      </w:pPr>
      <w:r>
        <w:rPr/>
        <w:t>Thermal Movements: Provide for in-plane thermal movements resulting from annual ambient temperature changes of [</w:t>
      </w:r>
      <w:r>
        <w:rPr>
          <w:rStyle w:val="IP"/>
          <w:b/>
        </w:rPr>
        <w:t>80 deg F</w:t>
      </w:r>
      <w:r>
        <w:rPr>
          <w:rStyle w:val="SI"/>
          <w:b/>
        </w:rPr>
        <w:t xml:space="preserve"> (26 deg C)</w:t>
      </w:r>
      <w:r>
        <w:rPr/>
        <w:t>] [</w:t>
      </w:r>
      <w:r>
        <w:rPr>
          <w:rStyle w:val="IP"/>
          <w:b/>
        </w:rPr>
        <w:t>120 deg F</w:t>
      </w:r>
      <w:r>
        <w:rPr>
          <w:rStyle w:val="SI"/>
          <w:b/>
        </w:rPr>
        <w:t xml:space="preserve"> (67 deg C)</w:t>
      </w:r>
      <w:r>
        <w:rPr/>
        <w:t>] &lt;</w:t>
      </w:r>
      <w:r>
        <w:rPr>
          <w:b/>
        </w:rPr>
        <w:t>Insert temperature range</w:t>
      </w:r>
      <w:r>
        <w:rPr/>
        <w:t>&gt;.</w:t>
      </w:r>
    </w:p>
    <w:p>
      <w:pPr>
        <w:pStyle w:val="CMT"/>
        <w:rPr/>
      </w:pPr>
      <w:r>
        <w:rPr/>
        <w:t>Retain "Fire-Resistance Rating" Subparagraph below if required. Fire ratings depend on occupancy and building construction type and are generally a building code requirement.</w:t>
      </w:r>
    </w:p>
    <w:p>
      <w:pPr>
        <w:pStyle w:val="PR2"/>
        <w:numPr>
          <w:ilvl w:val="5"/>
          <w:numId w:val="1"/>
        </w:numPr>
        <w:rPr/>
      </w:pPr>
      <w:r>
        <w:rPr/>
        <w:t>Fire-Resistance Rating: Select material and minimum thicknesses to provide [</w:t>
      </w:r>
      <w:r>
        <w:rPr>
          <w:b/>
        </w:rPr>
        <w:t>1</w:t>
      </w:r>
      <w:r>
        <w:rPr/>
        <w:t>] [</w:t>
      </w:r>
      <w:r>
        <w:rPr>
          <w:b/>
        </w:rPr>
        <w:t>2</w:t>
      </w:r>
      <w:r>
        <w:rPr/>
        <w:t>] &lt;</w:t>
      </w:r>
      <w:r>
        <w:rPr>
          <w:b/>
        </w:rPr>
        <w:t>Insert number</w:t>
      </w:r>
      <w:r>
        <w:rPr/>
        <w:t>&gt;-hour fire rating.</w:t>
      </w:r>
    </w:p>
    <w:p>
      <w:pPr>
        <w:pStyle w:val="CMT"/>
        <w:rPr/>
      </w:pPr>
      <w:r>
        <w:rPr/>
        <w:t>Retain "Stone Facing Anchorage" Subparagraph below if required.</w:t>
      </w:r>
    </w:p>
    <w:p>
      <w:pPr>
        <w:pStyle w:val="PR2"/>
        <w:numPr>
          <w:ilvl w:val="5"/>
          <w:numId w:val="1"/>
        </w:numPr>
        <w:rPr/>
      </w:pPr>
      <w:r>
        <w:rPr/>
        <w:t>Stone Facing Anchorage: Provide anchors, as determined through preconstruction testing, in numbers, types, and locations required to satisfy specified performance criteria.</w:t>
      </w:r>
    </w:p>
    <w:p>
      <w:pPr>
        <w:pStyle w:val="CMT"/>
        <w:rPr/>
      </w:pPr>
      <w:r>
        <w:rPr/>
        <w:t>Retain "Window-Washing System" Subparagraph below if required. Indicate design criteria here or on Drawings for window-washing system, including material and equipment.</w:t>
      </w:r>
    </w:p>
    <w:p>
      <w:pPr>
        <w:pStyle w:val="PR2"/>
        <w:numPr>
          <w:ilvl w:val="5"/>
          <w:numId w:val="1"/>
        </w:numPr>
        <w:rPr/>
      </w:pPr>
      <w:r>
        <w:rPr/>
        <w:t>Window-Washing System: Design precast units supporting window-washing system indicated to resist pull-out and horizontal shear forces transmitted from window-washing equipment.</w:t>
      </w:r>
    </w:p>
    <w:p>
      <w:pPr>
        <w:pStyle w:val="CMT"/>
        <w:rPr/>
      </w:pPr>
      <w:r>
        <w:rPr/>
        <w:t>Retain "Vehicular Impact Loads" Subparagraph below if precast units are used in parking structures to resist impact load. Revise loads to suit Project. Load is based on requirement in the International Building Code.</w:t>
      </w:r>
    </w:p>
    <w:p>
      <w:pPr>
        <w:pStyle w:val="PR2"/>
        <w:numPr>
          <w:ilvl w:val="5"/>
          <w:numId w:val="1"/>
        </w:numPr>
        <w:rPr/>
      </w:pPr>
      <w:r>
        <w:rPr/>
        <w:t>Vehicular Impact Loads: Design spandrel beams acting as vehicular barriers for passenger cars to resist a single [</w:t>
      </w:r>
      <w:r>
        <w:rPr>
          <w:rStyle w:val="IP"/>
          <w:b/>
        </w:rPr>
        <w:t>6000 lb</w:t>
      </w:r>
      <w:r>
        <w:rPr>
          <w:rStyle w:val="SI"/>
          <w:b/>
        </w:rPr>
        <w:t xml:space="preserve"> (26.7 kN)</w:t>
      </w:r>
      <w:r>
        <w:rPr/>
        <w:t>] &lt;</w:t>
      </w:r>
      <w:r>
        <w:rPr>
          <w:b/>
        </w:rPr>
        <w:t>Insert value</w:t>
      </w:r>
      <w:r>
        <w:rPr/>
        <w:t xml:space="preserve">&gt; load applied horizontally in any direction to the spandrel beam, with anchorages or attachments capable of transferring this load to the structure. Design spandrel beams assuming the load to act at a height of </w:t>
      </w:r>
      <w:r>
        <w:rPr>
          <w:rStyle w:val="IP"/>
        </w:rPr>
        <w:t>18 or 27 inches</w:t>
      </w:r>
      <w:r>
        <w:rPr>
          <w:rStyle w:val="SI"/>
        </w:rPr>
        <w:t xml:space="preserve"> (457 or 686 mm)</w:t>
      </w:r>
      <w:r>
        <w:rPr/>
        <w:t xml:space="preserve"> above the floor or ramp surface, whichever is more severe, on an area not to exceed </w:t>
      </w:r>
      <w:r>
        <w:rPr>
          <w:rStyle w:val="IP"/>
        </w:rPr>
        <w:t>1 sq. ft.</w:t>
      </w:r>
      <w:r>
        <w:rPr>
          <w:rStyle w:val="SI"/>
        </w:rPr>
        <w:t xml:space="preserve"> (0.0929 sq. m)</w:t>
      </w:r>
      <w:r>
        <w:rPr/>
        <w:t>.</w:t>
      </w:r>
    </w:p>
    <w:p>
      <w:pPr>
        <w:pStyle w:val="ART"/>
        <w:numPr>
          <w:ilvl w:val="3"/>
          <w:numId w:val="1"/>
        </w:numPr>
        <w:ind w:hanging="0" w:left="0"/>
        <w:rPr/>
      </w:pPr>
      <w:r>
        <w:rPr/>
        <w:t>PRECAST ARCHITECTURAL CONCRETE UNITS</w:t>
      </w:r>
    </w:p>
    <w:p>
      <w:pPr>
        <w:pStyle w:val="PR1"/>
        <w:numPr>
          <w:ilvl w:val="4"/>
          <w:numId w:val="1"/>
        </w:numPr>
        <w:rPr/>
      </w:pPr>
      <w:r>
        <w:rPr/>
        <w:t>Provide unit types as indicated on Drawings, including [</w:t>
      </w:r>
      <w:r>
        <w:rPr>
          <w:b/>
        </w:rPr>
        <w:t>wall panels</w:t>
      </w:r>
      <w:r>
        <w:rPr/>
        <w:t>] [</w:t>
      </w:r>
      <w:r>
        <w:rPr>
          <w:b/>
        </w:rPr>
        <w:t>insulated wall panels</w:t>
      </w:r>
      <w:r>
        <w:rPr/>
        <w:t>] [</w:t>
      </w:r>
      <w:r>
        <w:rPr>
          <w:b/>
        </w:rPr>
        <w:t>window panels</w:t>
      </w:r>
      <w:r>
        <w:rPr/>
        <w:t>] [</w:t>
      </w:r>
      <w:r>
        <w:rPr>
          <w:b/>
        </w:rPr>
        <w:t>trim units</w:t>
      </w:r>
      <w:r>
        <w:rPr/>
        <w:t>] &lt;</w:t>
      </w:r>
      <w:r>
        <w:rPr>
          <w:b/>
        </w:rPr>
        <w:t>Insert unit type</w:t>
      </w:r>
      <w:r>
        <w:rPr/>
        <w:t>&gt;.</w:t>
      </w:r>
    </w:p>
    <w:p>
      <w:pPr>
        <w:pStyle w:val="CMT"/>
        <w:rPr/>
      </w:pPr>
      <w:r>
        <w:rPr/>
        <w:t xml:space="preserve">Retain "Fabricators" Paragraph and list of fabricators below to require products from producers listed or a comparable product from other fabricator. See PCI's website, </w:t>
      </w:r>
      <w:hyperlink r:id="rId8">
        <w:r>
          <w:rPr>
            <w:rStyle w:val="Hyperlink"/>
          </w:rPr>
          <w:t>www.pci.org</w:t>
        </w:r>
      </w:hyperlink>
      <w:r>
        <w:rPr/>
        <w:t xml:space="preserve">, for current PCI-certified plant listings. See APA's website, </w:t>
      </w:r>
      <w:hyperlink r:id="rId9">
        <w:r>
          <w:rPr>
            <w:rStyle w:val="Hyperlink"/>
          </w:rPr>
          <w:t>www.precast.org</w:t>
        </w:r>
      </w:hyperlink>
      <w:r>
        <w:rPr/>
        <w:t>, for current APA-certified plant listings.</w:t>
      </w:r>
    </w:p>
    <w:p>
      <w:pPr>
        <w:pStyle w:val="PR1"/>
        <w:numPr>
          <w:ilvl w:val="4"/>
          <w:numId w:val="1"/>
        </w:numPr>
        <w:rPr/>
      </w:pPr>
      <w:r>
        <w:rPr/>
        <w:t>Fabricators: Subject to compliance with requirements, [</w:t>
      </w:r>
      <w:r>
        <w:rPr>
          <w:b/>
        </w:rPr>
        <w:t>provide products by the following</w:t>
      </w:r>
      <w:r>
        <w:rPr/>
        <w:t>] [</w:t>
      </w:r>
      <w:r>
        <w:rPr>
          <w:b/>
        </w:rPr>
        <w:t>provide products by one of the following</w:t>
      </w:r>
      <w:r>
        <w:rPr/>
        <w:t>] [</w:t>
      </w:r>
      <w:r>
        <w:rPr>
          <w:b/>
        </w:rPr>
        <w:t>available fabricators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fabricator's name</w:t>
      </w:r>
      <w:r>
        <w:rPr/>
        <w:t>&gt;.</w:t>
      </w:r>
    </w:p>
    <w:p>
      <w:pPr>
        <w:pStyle w:val="PR1"/>
        <w:numPr>
          <w:ilvl w:val="4"/>
          <w:numId w:val="1"/>
        </w:numPr>
        <w:rPr/>
      </w:pPr>
      <w:r>
        <w:rPr/>
        <w:t>Source Limitations: Obtain precast architectural concrete units from single fabricator.</w:t>
      </w:r>
    </w:p>
    <w:p>
      <w:pPr>
        <w:pStyle w:val="ART"/>
        <w:numPr>
          <w:ilvl w:val="3"/>
          <w:numId w:val="1"/>
        </w:numPr>
        <w:ind w:hanging="0" w:left="0"/>
        <w:rPr/>
      </w:pPr>
      <w:r>
        <w:rPr/>
        <w:t>MOLD MATERIALS</w:t>
      </w:r>
    </w:p>
    <w:p>
      <w:pPr>
        <w:pStyle w:val="PR1"/>
        <w:numPr>
          <w:ilvl w:val="4"/>
          <w:numId w:val="1"/>
        </w:numPr>
        <w:rPr/>
      </w:pPr>
      <w:r>
        <w:rPr/>
        <w:t>Molds: Rigid, dimensionally stable, nonabsorptive material, warp and buckle free, that provides continuous and true precast concrete surfaces within fabrication tolerances indicated; nonreactive with concrete and suitable for producing required finishes.</w:t>
      </w:r>
    </w:p>
    <w:p>
      <w:pPr>
        <w:pStyle w:val="CMT"/>
        <w:rPr/>
      </w:pPr>
      <w:r>
        <w:rPr/>
        <w:t>Retain "Form Liners" Paragraph below if required. Form liners may be used to achieve a special off-the-form finish or to act as a template for thin-brick facings. Revise to add description of selected form liner if required.</w:t>
      </w:r>
    </w:p>
    <w:p>
      <w:pPr>
        <w:pStyle w:val="PR1"/>
        <w:numPr>
          <w:ilvl w:val="4"/>
          <w:numId w:val="1"/>
        </w:numPr>
        <w:rPr/>
      </w:pPr>
      <w:r>
        <w:rPr/>
        <w:t>Form Liners: Units of face design, texture, arrangement, and configuration [</w:t>
      </w:r>
      <w:r>
        <w:rPr>
          <w:b/>
        </w:rPr>
        <w:t>indicated</w:t>
      </w:r>
      <w:r>
        <w:rPr/>
        <w:t>] [</w:t>
      </w:r>
      <w:r>
        <w:rPr>
          <w:b/>
        </w:rPr>
        <w:t>to match those used for precast concrete design reference sample</w:t>
      </w:r>
      <w:r>
        <w:rPr/>
        <w:t>]. Provide solid backing and supports to keep form liners in place during concrete placement.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Face Pattern: [</w:t>
      </w:r>
      <w:r>
        <w:rPr>
          <w:b/>
        </w:rPr>
        <w:t>Smooth</w:t>
      </w:r>
      <w:r>
        <w:rPr/>
        <w:t>] [</w:t>
      </w:r>
      <w:r>
        <w:rPr>
          <w:b/>
        </w:rPr>
        <w:t>Ribbed</w:t>
      </w:r>
      <w:r>
        <w:rPr/>
        <w:t>] [</w:t>
      </w:r>
      <w:r>
        <w:rPr>
          <w:b/>
        </w:rPr>
        <w:t>Stone</w:t>
      </w:r>
      <w:r>
        <w:rPr/>
        <w:t>] [</w:t>
      </w:r>
      <w:r>
        <w:rPr>
          <w:b/>
        </w:rPr>
        <w:t>Brick</w:t>
      </w:r>
      <w:r>
        <w:rPr/>
        <w:t>] [</w:t>
      </w:r>
      <w:r>
        <w:rPr>
          <w:b/>
        </w:rPr>
        <w:t>Wood</w:t>
      </w:r>
      <w:r>
        <w:rPr/>
        <w:t>] &lt;</w:t>
      </w:r>
      <w:r>
        <w:rPr>
          <w:b/>
        </w:rPr>
        <w:t>Insert pattern</w:t>
      </w:r>
      <w:r>
        <w:rPr/>
        <w:t>&gt;.</w:t>
      </w:r>
    </w:p>
    <w:p>
      <w:pPr>
        <w:pStyle w:val="PR1"/>
        <w:numPr>
          <w:ilvl w:val="4"/>
          <w:numId w:val="1"/>
        </w:numPr>
        <w:rPr/>
      </w:pPr>
      <w:r>
        <w:rPr/>
        <w:t>Form-Release Agent: Commercially produced form-release agent that does not bond with, stain, or adversely affect precast concrete surfaces and does not impair subsequent surface or joint treatments of precast concrete.</w:t>
      </w:r>
    </w:p>
    <w:p>
      <w:pPr>
        <w:pStyle w:val="CMT"/>
        <w:rPr/>
      </w:pPr>
      <w:r>
        <w:rPr/>
        <w:t>Retain "Surface Retarder" Paragraph below if surface retarder is applied to molds to help obtain exposed-aggregate finish.</w:t>
      </w:r>
    </w:p>
    <w:p>
      <w:pPr>
        <w:pStyle w:val="PR1"/>
        <w:numPr>
          <w:ilvl w:val="4"/>
          <w:numId w:val="1"/>
        </w:numPr>
        <w:rPr/>
      </w:pPr>
      <w:r>
        <w:rPr/>
        <w:t>Surface Retarder: Chemical-set retarder, capable of temporarily delaying final hardening of newly placed concrete mixture to depth of reveal specified.</w:t>
      </w:r>
    </w:p>
    <w:p>
      <w:pPr>
        <w:pStyle w:val="ART"/>
        <w:numPr>
          <w:ilvl w:val="3"/>
          <w:numId w:val="1"/>
        </w:numPr>
        <w:ind w:hanging="0" w:left="0"/>
        <w:rPr/>
      </w:pPr>
      <w:r>
        <w:rPr/>
        <w:t>REINFORCING MATERIALS</w:t>
      </w:r>
    </w:p>
    <w:p>
      <w:pPr>
        <w:pStyle w:val="CMT"/>
        <w:rPr/>
      </w:pPr>
      <w:r>
        <w:rPr/>
        <w:t>Retain one or more paragraphs in this article to suit steel-reinforcement requirements. Distinguish locations of each type of reinforcement here or on Drawings. If retaining Part 2 "Performance Requirements" Article, consider reviewing selections with fabricators.</w:t>
      </w:r>
    </w:p>
    <w:p>
      <w:pPr>
        <w:pStyle w:val="PR1"/>
        <w:numPr>
          <w:ilvl w:val="4"/>
          <w:numId w:val="1"/>
        </w:numPr>
        <w:rPr/>
      </w:pPr>
      <w:hyperlink r:id="rId11">
        <w:r>
          <w:rPr>
            <w:rStyle w:val="Hyperlink"/>
          </w:rPr>
          <w:t>&lt;Double click to insert sustainable design text for recycled content of steel products.&gt;</w:t>
        </w:r>
      </w:hyperlink>
    </w:p>
    <w:p>
      <w:pPr>
        <w:pStyle w:val="PR1"/>
        <w:numPr>
          <w:ilvl w:val="4"/>
          <w:numId w:val="1"/>
        </w:numPr>
        <w:rPr/>
      </w:pPr>
      <w:r>
        <w:rPr/>
        <w:t xml:space="preserve">Reinforcing Bars: ASTM A615/A615M, </w:t>
      </w:r>
      <w:r>
        <w:rPr>
          <w:rStyle w:val="IP"/>
        </w:rPr>
        <w:t>Grade 60</w:t>
      </w:r>
      <w:r>
        <w:rPr>
          <w:rStyle w:val="SI"/>
        </w:rPr>
        <w:t xml:space="preserve"> (Grade 420)</w:t>
      </w:r>
      <w:r>
        <w:rPr/>
        <w:t>, deformed.</w:t>
      </w:r>
    </w:p>
    <w:p>
      <w:pPr>
        <w:pStyle w:val="CMT"/>
        <w:rPr/>
      </w:pPr>
      <w:r>
        <w:rPr/>
        <w:t>Retain "Low-Alloy-Steel Reinforcing Bars" Paragraph below for reinforcement that is welded or if added ductility is sought.</w:t>
      </w:r>
    </w:p>
    <w:p>
      <w:pPr>
        <w:pStyle w:val="PR1"/>
        <w:numPr>
          <w:ilvl w:val="4"/>
          <w:numId w:val="1"/>
        </w:numPr>
        <w:rPr/>
      </w:pPr>
      <w:r>
        <w:rPr/>
        <w:t>Low-Alloy-Steel Reinforcing Bars: ASTM A706/A706M, deformed.</w:t>
      </w:r>
    </w:p>
    <w:p>
      <w:pPr>
        <w:pStyle w:val="CMT"/>
        <w:rPr/>
      </w:pPr>
      <w:r>
        <w:rPr/>
        <w:t>Retain "Galvanized Reinforcing Bars" Paragraph below where corrosive environment or severe exposure conditions justify extra cost. Presence of chromate film on the surface of galvanized coating is usually visible as light yellow tint on the surface. ASTM B201 describes a test method for determining presence of chromate coatings.</w:t>
      </w:r>
    </w:p>
    <w:p>
      <w:pPr>
        <w:pStyle w:val="PR1"/>
        <w:numPr>
          <w:ilvl w:val="4"/>
          <w:numId w:val="1"/>
        </w:numPr>
        <w:rPr/>
      </w:pPr>
      <w:r>
        <w:rPr/>
        <w:t>Galvanized Reinforcing Bars: [</w:t>
      </w:r>
      <w:r>
        <w:rPr>
          <w:b/>
        </w:rPr>
        <w:t xml:space="preserve">ASTM A615/A615M, </w:t>
      </w:r>
      <w:r>
        <w:rPr>
          <w:rStyle w:val="IP"/>
          <w:b/>
        </w:rPr>
        <w:t>Grade 60</w:t>
      </w:r>
      <w:r>
        <w:rPr>
          <w:rStyle w:val="SI"/>
          <w:b/>
        </w:rPr>
        <w:t xml:space="preserve"> (Grade 420)</w:t>
      </w:r>
      <w:r>
        <w:rPr/>
        <w:t>] [</w:t>
      </w:r>
      <w:r>
        <w:rPr>
          <w:b/>
        </w:rPr>
        <w:t>ASTM A706/A706M</w:t>
      </w:r>
      <w:r>
        <w:rPr/>
        <w:t>], deformed bars, with ASTM A767/A767M, Class II zinc coating and chromate treatment.[</w:t>
      </w:r>
      <w:r>
        <w:rPr>
          <w:b/>
        </w:rPr>
        <w:t> Galvanize after fabrication and bending.</w:t>
      </w:r>
      <w:r>
        <w:rPr/>
        <w:t>]</w:t>
      </w:r>
    </w:p>
    <w:p>
      <w:pPr>
        <w:pStyle w:val="CMT"/>
        <w:rPr/>
      </w:pPr>
      <w:r>
        <w:rPr/>
        <w:t>Consider using epoxy coating where corrosive environment or severe exposure conditions justify extra cost. In "Epoxy-Coated Reinforcing Bars" Paragraph below, retain ASTM A775/A775M for a bendable epoxy coating; retain ASTM A934/A934M for a nonbendable epoxy coating.</w:t>
      </w:r>
    </w:p>
    <w:p>
      <w:pPr>
        <w:pStyle w:val="PR1"/>
        <w:numPr>
          <w:ilvl w:val="4"/>
          <w:numId w:val="1"/>
        </w:numPr>
        <w:rPr/>
      </w:pPr>
      <w:r>
        <w:rPr/>
        <w:t>Epoxy-Coated Reinforcing Bars: [</w:t>
      </w:r>
      <w:r>
        <w:rPr>
          <w:b/>
        </w:rPr>
        <w:t xml:space="preserve">ASTM A615/A615M, </w:t>
      </w:r>
      <w:r>
        <w:rPr>
          <w:rStyle w:val="IP"/>
          <w:b/>
        </w:rPr>
        <w:t>Grade 60</w:t>
      </w:r>
      <w:r>
        <w:rPr>
          <w:rStyle w:val="SI"/>
          <w:b/>
        </w:rPr>
        <w:t xml:space="preserve"> (Grade 420)</w:t>
      </w:r>
      <w:r>
        <w:rPr/>
        <w:t>] [</w:t>
      </w:r>
      <w:r>
        <w:rPr>
          <w:b/>
        </w:rPr>
        <w:t>ASTM A706/A706M</w:t>
      </w:r>
      <w:r>
        <w:rPr/>
        <w:t>], deformed bars, [</w:t>
      </w:r>
      <w:r>
        <w:rPr>
          <w:b/>
        </w:rPr>
        <w:t>ASTM A775/A775M</w:t>
      </w:r>
      <w:r>
        <w:rPr/>
        <w:t>] [</w:t>
      </w:r>
      <w:r>
        <w:rPr>
          <w:b/>
        </w:rPr>
        <w:t>or</w:t>
      </w:r>
      <w:r>
        <w:rPr/>
        <w:t>] [</w:t>
      </w:r>
      <w:r>
        <w:rPr>
          <w:b/>
        </w:rPr>
        <w:t>ASTM A934/A934M</w:t>
      </w:r>
      <w:r>
        <w:rPr/>
        <w:t>] epoxy coated.</w:t>
      </w:r>
    </w:p>
    <w:p>
      <w:pPr>
        <w:pStyle w:val="PR1"/>
        <w:numPr>
          <w:ilvl w:val="4"/>
          <w:numId w:val="1"/>
        </w:numPr>
        <w:rPr/>
      </w:pPr>
      <w:r>
        <w:rPr/>
        <w:t>Steel Bar Mats: ASTM A184/A184M, fabricated from [</w:t>
      </w:r>
      <w:r>
        <w:rPr>
          <w:b/>
        </w:rPr>
        <w:t xml:space="preserve">ASTM A615/A615M, </w:t>
      </w:r>
      <w:r>
        <w:rPr>
          <w:rStyle w:val="IP"/>
          <w:b/>
        </w:rPr>
        <w:t>Grade 60</w:t>
      </w:r>
      <w:r>
        <w:rPr>
          <w:rStyle w:val="SI"/>
          <w:b/>
        </w:rPr>
        <w:t xml:space="preserve"> (Grade 420)</w:t>
      </w:r>
      <w:r>
        <w:rPr/>
        <w:t>] [</w:t>
      </w:r>
      <w:r>
        <w:rPr>
          <w:b/>
        </w:rPr>
        <w:t>ASTM A706/A706M</w:t>
      </w:r>
      <w:r>
        <w:rPr/>
        <w:t>], deformed bars, assembled with clips.</w:t>
      </w:r>
    </w:p>
    <w:p>
      <w:pPr>
        <w:pStyle w:val="PR1"/>
        <w:numPr>
          <w:ilvl w:val="4"/>
          <w:numId w:val="1"/>
        </w:numPr>
        <w:rPr/>
      </w:pPr>
      <w:r>
        <w:rPr/>
        <w:t>Plain-Steel Welded-Wire Reinforcement: ASTM A1064/A1064M, fabricated from [</w:t>
      </w:r>
      <w:r>
        <w:rPr>
          <w:b/>
        </w:rPr>
        <w:t>as-drawn </w:t>
      </w:r>
      <w:r>
        <w:rPr/>
        <w:t>][</w:t>
      </w:r>
      <w:r>
        <w:rPr>
          <w:b/>
        </w:rPr>
        <w:t>galvanized-</w:t>
      </w:r>
      <w:r>
        <w:rPr/>
        <w:t>]steel wire into flat sheets.</w:t>
      </w:r>
    </w:p>
    <w:p>
      <w:pPr>
        <w:pStyle w:val="PR1"/>
        <w:numPr>
          <w:ilvl w:val="4"/>
          <w:numId w:val="1"/>
        </w:numPr>
        <w:rPr/>
      </w:pPr>
      <w:r>
        <w:rPr/>
        <w:t>Deformed-Steel Welded-Wire Reinforcement: ASTM A1064/A1064M, flat sheet.</w:t>
      </w:r>
    </w:p>
    <w:p>
      <w:pPr>
        <w:pStyle w:val="PR1"/>
        <w:numPr>
          <w:ilvl w:val="4"/>
          <w:numId w:val="1"/>
        </w:numPr>
        <w:rPr/>
      </w:pPr>
      <w:r>
        <w:rPr/>
        <w:t>Epoxy-Coated-Steel Wire: ASTM A884/A884M, Class A coated, [</w:t>
      </w:r>
      <w:r>
        <w:rPr>
          <w:b/>
        </w:rPr>
        <w:t>plain</w:t>
      </w:r>
      <w:r>
        <w:rPr/>
        <w:t>] [</w:t>
      </w:r>
      <w:r>
        <w:rPr>
          <w:b/>
        </w:rPr>
        <w:t>deformed</w:t>
      </w:r>
      <w:r>
        <w:rPr/>
        <w:t>], flat sheet, [</w:t>
      </w:r>
      <w:r>
        <w:rPr>
          <w:b/>
        </w:rPr>
        <w:t>Type 1 bendable</w:t>
      </w:r>
      <w:r>
        <w:rPr/>
        <w:t>] [</w:t>
      </w:r>
      <w:r>
        <w:rPr>
          <w:b/>
        </w:rPr>
        <w:t>Type 2 nonbendable</w:t>
      </w:r>
      <w:r>
        <w:rPr/>
        <w:t>] coating.</w:t>
      </w:r>
    </w:p>
    <w:p>
      <w:pPr>
        <w:pStyle w:val="PR1"/>
        <w:numPr>
          <w:ilvl w:val="4"/>
          <w:numId w:val="1"/>
        </w:numPr>
        <w:rPr/>
      </w:pPr>
      <w:r>
        <w:rPr/>
        <w:t>Supports: Suspend reinforcement from back of mold. Bolsters, chairs, spacers, and other devices for spacing, supporting, and fastening reinforcement in place may only be used if they are not visible in the finished face.</w:t>
      </w:r>
    </w:p>
    <w:p>
      <w:pPr>
        <w:pStyle w:val="ART"/>
        <w:numPr>
          <w:ilvl w:val="3"/>
          <w:numId w:val="1"/>
        </w:numPr>
        <w:ind w:hanging="0" w:left="0"/>
        <w:rPr/>
      </w:pPr>
      <w:r>
        <w:rPr/>
        <w:t>PRESTRESSING TENDONS</w:t>
      </w:r>
    </w:p>
    <w:p>
      <w:pPr>
        <w:pStyle w:val="CMT"/>
        <w:rPr/>
      </w:pPr>
      <w:r>
        <w:rPr/>
        <w:t>Retain this article if precast concrete units are prestressed, either pretensioned or post-tensioned.</w:t>
      </w:r>
    </w:p>
    <w:p>
      <w:pPr>
        <w:pStyle w:val="PR1"/>
        <w:numPr>
          <w:ilvl w:val="4"/>
          <w:numId w:val="1"/>
        </w:numPr>
        <w:rPr/>
      </w:pPr>
      <w:r>
        <w:rPr/>
        <w:t xml:space="preserve">Prestressing Strand: ASTM A416/A416M, </w:t>
      </w:r>
      <w:r>
        <w:rPr>
          <w:rStyle w:val="IP"/>
        </w:rPr>
        <w:t>Grade 270</w:t>
      </w:r>
      <w:r>
        <w:rPr>
          <w:rStyle w:val="SI"/>
        </w:rPr>
        <w:t xml:space="preserve"> (Grade 1860)</w:t>
      </w:r>
      <w:r>
        <w:rPr/>
        <w:t>, uncoated, seven-wire, low-relaxation strand.</w:t>
      </w:r>
    </w:p>
    <w:p>
      <w:pPr>
        <w:pStyle w:val="CMT"/>
        <w:rPr/>
      </w:pPr>
      <w:r>
        <w:rPr/>
        <w:t>For aggressive climates, revise subparagraph below by adding an anchorage device encapsulation system consisting of caps and sleeves.</w:t>
      </w:r>
    </w:p>
    <w:p>
      <w:pPr>
        <w:pStyle w:val="PR2"/>
        <w:numPr>
          <w:ilvl w:val="5"/>
          <w:numId w:val="1"/>
        </w:numPr>
        <w:spacing w:before="240" w:after="0"/>
        <w:rPr/>
      </w:pPr>
      <w:r>
        <w:rPr/>
        <w:t>Coat unbonded post-tensioning strand with post-tensioning coating and sheath with polypropylene tendon sheathing in compliance with ACI 423.7. Include anchorage devices and coupler assemblies.</w:t>
      </w:r>
    </w:p>
    <w:p>
      <w:pPr>
        <w:pStyle w:val="PR1"/>
        <w:numPr>
          <w:ilvl w:val="4"/>
          <w:numId w:val="1"/>
        </w:numPr>
        <w:rPr/>
      </w:pPr>
      <w:r>
        <w:rPr/>
        <w:t>Post-Tensioning Bars: ASTM A722/A722M, uncoated high-strength steel bars.</w:t>
      </w:r>
    </w:p>
    <w:p>
      <w:pPr>
        <w:pStyle w:val="ART"/>
        <w:numPr>
          <w:ilvl w:val="3"/>
          <w:numId w:val="1"/>
        </w:numPr>
        <w:ind w:hanging="0" w:left="0"/>
        <w:rPr/>
      </w:pPr>
      <w:r>
        <w:rPr/>
        <w:t>CONCRETE MATERIALS</w:t>
      </w:r>
    </w:p>
    <w:p>
      <w:pPr>
        <w:pStyle w:val="CMT"/>
        <w:rPr/>
      </w:pPr>
      <w:r>
        <w:rPr/>
        <w:t>Retain materials in this article that are required; revise to suit Project.</w:t>
      </w:r>
    </w:p>
    <w:p>
      <w:pPr>
        <w:pStyle w:val="PR1"/>
        <w:numPr>
          <w:ilvl w:val="4"/>
          <w:numId w:val="1"/>
        </w:numPr>
        <w:rPr/>
      </w:pPr>
      <w:hyperlink r:id="rId12">
        <w:r>
          <w:rPr>
            <w:rStyle w:val="Hyperlink"/>
          </w:rPr>
          <w:t>&lt;Double click to insert sustainable design text for regional materials (concrete).&gt;</w:t>
        </w:r>
      </w:hyperlink>
    </w:p>
    <w:p>
      <w:pPr>
        <w:pStyle w:val="PR1"/>
        <w:numPr>
          <w:ilvl w:val="4"/>
          <w:numId w:val="1"/>
        </w:numPr>
        <w:rPr/>
      </w:pPr>
      <w:r>
        <w:rPr/>
        <w:t>Portland Cement: ASTM C150/C150M, Type I or Type III.</w:t>
      </w:r>
    </w:p>
    <w:p>
      <w:pPr>
        <w:pStyle w:val="CMT"/>
        <w:rPr/>
      </w:pPr>
      <w:r>
        <w:rPr/>
        <w:t>Select portland cement color from options in subparagraph below. White cement has greater color consistency than grey cement. Blending white and grey cement will improve the color uniformity of grey cement. For darker colors, the variations of gray cement have less effect on the final color hue</w:t>
      </w:r>
    </w:p>
    <w:p>
      <w:pPr>
        <w:pStyle w:val="PR2"/>
        <w:numPr>
          <w:ilvl w:val="5"/>
          <w:numId w:val="1"/>
        </w:numPr>
        <w:spacing w:before="240" w:after="0"/>
        <w:rPr/>
      </w:pPr>
      <w:r>
        <w:rPr/>
        <w:t>For surfaces exposed to view in finished structure, use [</w:t>
      </w:r>
      <w:r>
        <w:rPr>
          <w:b/>
        </w:rPr>
        <w:t>gray</w:t>
      </w:r>
      <w:r>
        <w:rPr/>
        <w:t>] [</w:t>
      </w:r>
      <w:r>
        <w:rPr>
          <w:b/>
        </w:rPr>
        <w:t>and</w:t>
      </w:r>
      <w:r>
        <w:rPr/>
        <w:t>] [</w:t>
      </w:r>
      <w:r>
        <w:rPr>
          <w:b/>
        </w:rPr>
        <w:t>white</w:t>
      </w:r>
      <w:r>
        <w:rPr/>
        <w:t>] cement, of same type, brand, and mill source.</w:t>
      </w:r>
    </w:p>
    <w:p>
      <w:pPr>
        <w:pStyle w:val="PR3"/>
        <w:numPr>
          <w:ilvl w:val="6"/>
          <w:numId w:val="1"/>
        </w:numPr>
        <w:spacing w:before="240" w:after="0"/>
        <w:rPr/>
      </w:pPr>
      <w:r>
        <w:rPr/>
        <w:t>Standard gray cement is acceptable for use where not exposed to view.</w:t>
      </w:r>
    </w:p>
    <w:p>
      <w:pPr>
        <w:pStyle w:val="PR1"/>
        <w:numPr>
          <w:ilvl w:val="4"/>
          <w:numId w:val="1"/>
        </w:numPr>
        <w:rPr/>
      </w:pPr>
      <w:r>
        <w:rPr/>
        <w:t>Supplementary Cementitious Materials:</w:t>
      </w:r>
    </w:p>
    <w:p>
      <w:pPr>
        <w:pStyle w:val="CMT"/>
        <w:rPr/>
      </w:pPr>
      <w:r>
        <w:rPr/>
        <w:t>Retain mineral or cementitious admixtures from first four subparagraphs below; consult with fabricator for availability. These materials may affect concrete appearance, set times, and cost. PCI does not recommend the use of fly ash or gray silica fume where appearance is important, due to their effect on color uniformity.</w:t>
      </w:r>
    </w:p>
    <w:p>
      <w:pPr>
        <w:pStyle w:val="PR2"/>
        <w:numPr>
          <w:ilvl w:val="5"/>
          <w:numId w:val="1"/>
        </w:numPr>
        <w:spacing w:before="240" w:after="0"/>
        <w:rPr/>
      </w:pPr>
      <w:r>
        <w:rPr/>
        <w:t>Fly Ash: ASTM C618, Class C or F, with maximum loss on ignition of 3 percent.</w:t>
      </w:r>
    </w:p>
    <w:p>
      <w:pPr>
        <w:pStyle w:val="PR2"/>
        <w:numPr>
          <w:ilvl w:val="5"/>
          <w:numId w:val="1"/>
        </w:numPr>
        <w:rPr/>
      </w:pPr>
      <w:r>
        <w:rPr/>
        <w:t>Metakaolin: ASTM C618, Class N.</w:t>
      </w:r>
    </w:p>
    <w:p>
      <w:pPr>
        <w:pStyle w:val="PR2"/>
        <w:numPr>
          <w:ilvl w:val="5"/>
          <w:numId w:val="1"/>
        </w:numPr>
        <w:rPr/>
      </w:pPr>
      <w:r>
        <w:rPr/>
        <w:t>Silica Fume: ASTM C1240, with optional chemical and physical requirement[</w:t>
      </w:r>
      <w:r>
        <w:rPr>
          <w:b/>
        </w:rPr>
        <w:t>, white</w:t>
      </w:r>
      <w:r>
        <w:rPr/>
        <w:t>].</w:t>
      </w:r>
    </w:p>
    <w:p>
      <w:pPr>
        <w:pStyle w:val="PR2"/>
        <w:numPr>
          <w:ilvl w:val="5"/>
          <w:numId w:val="1"/>
        </w:numPr>
        <w:rPr/>
      </w:pPr>
      <w:r>
        <w:rPr/>
        <w:t>Ground Granulated Blast-Furnace Slag: ASTM C989/C989M, Grade 100 or 120.</w:t>
      </w:r>
    </w:p>
    <w:p>
      <w:pPr>
        <w:pStyle w:val="CMT"/>
        <w:rPr/>
      </w:pPr>
      <w:r>
        <w:rPr/>
        <w:t>Retain "Blended Hydraulic Cement" Subparagraph below if factory-blended cement is required. This cement type is occasionally used for structural precast; verify availability of options with local fabricator. Fly ash, slag, or pozzolanic materials in blended hydraulic cement may slow rate of concrete strengthening and affect color uniformity.</w:t>
      </w:r>
    </w:p>
    <w:p>
      <w:pPr>
        <w:pStyle w:val="PR2"/>
        <w:numPr>
          <w:ilvl w:val="5"/>
          <w:numId w:val="1"/>
        </w:numPr>
        <w:rPr/>
      </w:pPr>
      <w:r>
        <w:rPr/>
        <w:t>Blended Hydraulic Cement: ASTM C595/C595M, [</w:t>
      </w:r>
      <w:r>
        <w:rPr>
          <w:b/>
        </w:rPr>
        <w:t>Type IS, portland blast-furnace slag</w:t>
      </w:r>
      <w:r>
        <w:rPr/>
        <w:t>] [</w:t>
      </w:r>
      <w:r>
        <w:rPr>
          <w:b/>
        </w:rPr>
        <w:t>Type IP, portland-pozzolan</w:t>
      </w:r>
      <w:r>
        <w:rPr/>
        <w:t>] [</w:t>
      </w:r>
      <w:r>
        <w:rPr>
          <w:b/>
        </w:rPr>
        <w:t>Type I (PM), pozzolan-modified portland</w:t>
      </w:r>
      <w:r>
        <w:rPr/>
        <w:t>] [</w:t>
      </w:r>
      <w:r>
        <w:rPr>
          <w:b/>
        </w:rPr>
        <w:t>Type I (SM), slag-modified portland</w:t>
      </w:r>
      <w:r>
        <w:rPr/>
        <w:t>] cement.</w:t>
      </w:r>
    </w:p>
    <w:p>
      <w:pPr>
        <w:pStyle w:val="CMT"/>
        <w:rPr/>
      </w:pPr>
      <w:r>
        <w:rPr/>
        <w:t>ASTM C33/C33M limits deleterious substances in coarse aggregate depending on climate severity and in-service location of concrete. Class 5S is the most restrictive designation for architectural concrete exposed to severe weathering. PCI MNL 117 establishes stricter limits on deleterious substances for fine and coarse aggregates.</w:t>
      </w:r>
    </w:p>
    <w:p>
      <w:pPr>
        <w:pStyle w:val="PR1"/>
        <w:numPr>
          <w:ilvl w:val="4"/>
          <w:numId w:val="1"/>
        </w:numPr>
        <w:rPr/>
      </w:pPr>
      <w:r>
        <w:rPr/>
        <w:t>Normal-Weight Aggregates: Except as modified by PCI MNL 117, ASTM C33/C33M, with coarse aggregates complying with Class 5S. Stockpile fine and coarse aggregates for each type of exposed finish from a single source (pit or quarry) for Project.</w:t>
      </w:r>
    </w:p>
    <w:p>
      <w:pPr>
        <w:pStyle w:val="CMT"/>
        <w:rPr/>
      </w:pPr>
      <w:r>
        <w:rPr/>
        <w:t>Revise "Face-Mixture-Coarse Aggregates" and "Face-Mixture-Fine Aggregates" subparagraphs below to add descriptions of selected face aggregate colors, sizes, and sources if required.</w:t>
      </w:r>
    </w:p>
    <w:p>
      <w:pPr>
        <w:pStyle w:val="PR2"/>
        <w:numPr>
          <w:ilvl w:val="5"/>
          <w:numId w:val="1"/>
        </w:numPr>
        <w:spacing w:before="240" w:after="0"/>
        <w:rPr/>
      </w:pPr>
      <w:r>
        <w:rPr/>
        <w:t>Face-Mixture-Coarse Aggregates: Selected, hard, and durable; free of material that reacts with cement or causes staining; to match approved finish sample.</w:t>
      </w:r>
    </w:p>
    <w:p>
      <w:pPr>
        <w:pStyle w:val="CMT"/>
        <w:rPr/>
      </w:pPr>
      <w:r>
        <w:rPr/>
        <w:t>Retain one option in "Gradation" Subparagraph below or insert gradation and maximum aggregate size if known. Fine and coarse aggregates are not always from same source.</w:t>
      </w:r>
    </w:p>
    <w:p>
      <w:pPr>
        <w:pStyle w:val="PR3"/>
        <w:numPr>
          <w:ilvl w:val="6"/>
          <w:numId w:val="1"/>
        </w:numPr>
        <w:spacing w:before="240" w:after="0"/>
        <w:rPr/>
      </w:pPr>
      <w:r>
        <w:rPr/>
        <w:t>Gradation: [</w:t>
      </w:r>
      <w:r>
        <w:rPr>
          <w:b/>
        </w:rPr>
        <w:t>Uniformly graded</w:t>
      </w:r>
      <w:r>
        <w:rPr/>
        <w:t>] [</w:t>
      </w:r>
      <w:r>
        <w:rPr>
          <w:b/>
        </w:rPr>
        <w:t>Gap graded</w:t>
      </w:r>
      <w:r>
        <w:rPr/>
        <w:t>] [</w:t>
      </w:r>
      <w:r>
        <w:rPr>
          <w:b/>
        </w:rPr>
        <w:t>To match design reference sample</w:t>
      </w:r>
      <w:r>
        <w:rPr/>
        <w:t>].</w:t>
      </w:r>
    </w:p>
    <w:p>
      <w:pPr>
        <w:pStyle w:val="PR2"/>
        <w:numPr>
          <w:ilvl w:val="5"/>
          <w:numId w:val="1"/>
        </w:numPr>
        <w:spacing w:before="240" w:after="0"/>
        <w:rPr/>
      </w:pPr>
      <w:r>
        <w:rPr/>
        <w:t>Face-Mixture-Fine Aggregates: Selected, natural or manufactured sand compatible with coarse aggregate; to match approved finish sample.</w:t>
      </w:r>
    </w:p>
    <w:p>
      <w:pPr>
        <w:pStyle w:val="CMT"/>
        <w:rPr/>
      </w:pPr>
      <w:r>
        <w:rPr/>
        <w:t>Lightweight aggregates in a face mixture are not recommended in cold or humid climates (if exposed to the weather) unless their performance has been verified by tests or records of previous satisfactory usage in similar environments. If normal-weight aggregates are used in face mixture, PCI does not recommend lightweight aggregates in backup mixture due to bowing potential.</w:t>
      </w:r>
    </w:p>
    <w:p>
      <w:pPr>
        <w:pStyle w:val="PR1"/>
        <w:numPr>
          <w:ilvl w:val="4"/>
          <w:numId w:val="1"/>
        </w:numPr>
        <w:rPr/>
      </w:pPr>
      <w:r>
        <w:rPr/>
        <w:t>Lightweight Aggregates: Except as modified by PCI MNL 117, ASTM C330/C330M, with absorption of less than 11 percent.</w:t>
      </w:r>
    </w:p>
    <w:p>
      <w:pPr>
        <w:pStyle w:val="CMT"/>
        <w:rPr/>
      </w:pPr>
      <w:r>
        <w:rPr/>
        <w:t>Retain "Coloring Admixture" Paragraph below if required, and add color selection if known.</w:t>
      </w:r>
    </w:p>
    <w:p>
      <w:pPr>
        <w:pStyle w:val="PR1"/>
        <w:numPr>
          <w:ilvl w:val="4"/>
          <w:numId w:val="1"/>
        </w:numPr>
        <w:rPr/>
      </w:pPr>
      <w:r>
        <w:rPr/>
        <w:t>Coloring Admixture: ASTM C979/C979M, synthetic or natural mineral-oxide pigments or colored water-reducing admixtures, temperature stable, and nonfading[</w:t>
      </w:r>
      <w:r>
        <w:rPr>
          <w:b/>
        </w:rPr>
        <w:t>.</w:t>
      </w:r>
      <w:r>
        <w:rPr/>
        <w:t>] &lt;</w:t>
      </w:r>
      <w:r>
        <w:rPr>
          <w:b/>
        </w:rPr>
        <w:t>Insert color</w:t>
      </w:r>
      <w:r>
        <w:rPr/>
        <w:t>&gt;.</w:t>
      </w:r>
    </w:p>
    <w:p>
      <w:pPr>
        <w:pStyle w:val="PR1"/>
        <w:numPr>
          <w:ilvl w:val="4"/>
          <w:numId w:val="1"/>
        </w:numPr>
        <w:rPr/>
      </w:pPr>
      <w:r>
        <w:rPr/>
        <w:t>Water: Potable; free from deleterious material that may affect color stability, setting, or strength of concrete and complying with chemical limits of PCI MNL 117[</w:t>
      </w:r>
      <w:r>
        <w:rPr>
          <w:b/>
        </w:rPr>
        <w:t> and ASTM C1602/C1602M</w:t>
      </w:r>
      <w:r>
        <w:rPr/>
        <w:t>].</w:t>
      </w:r>
    </w:p>
    <w:p>
      <w:pPr>
        <w:pStyle w:val="CMT"/>
        <w:rPr/>
      </w:pPr>
      <w:r>
        <w:rPr/>
        <w:t>Retain "Air-Entraining Admixture" Paragraph below if required to increase resistance to freezing and thawing where environmental conditions dictate.</w:t>
      </w:r>
    </w:p>
    <w:p>
      <w:pPr>
        <w:pStyle w:val="PR1"/>
        <w:numPr>
          <w:ilvl w:val="4"/>
          <w:numId w:val="1"/>
        </w:numPr>
        <w:rPr/>
      </w:pPr>
      <w:r>
        <w:rPr/>
        <w:t>Air-Entraining Admixture: ASTM C260/C260M, certified by manufacturer to be compatible with other required admixtures.</w:t>
      </w:r>
    </w:p>
    <w:p>
      <w:pPr>
        <w:pStyle w:val="PR1"/>
        <w:numPr>
          <w:ilvl w:val="4"/>
          <w:numId w:val="1"/>
        </w:numPr>
        <w:rPr/>
      </w:pPr>
      <w:r>
        <w:rPr/>
        <w:t>Chemical Admixtures: Certified by manufacturer to be compatible with other admixtures and to not contain calcium chloride, or more than 0.15 percent chloride ions or other salts by weight of admixture.</w:t>
      </w:r>
    </w:p>
    <w:p>
      <w:pPr>
        <w:pStyle w:val="CMT"/>
        <w:rPr/>
      </w:pPr>
      <w:r>
        <w:rPr/>
        <w:t>Retain one or more chemical admixtures from nine subparagraphs below; limit admixture types if required. Water-reducing admixtures, Types A, D, and E, or high-range water reducer, Type F, predominate.</w:t>
      </w:r>
    </w:p>
    <w:p>
      <w:pPr>
        <w:pStyle w:val="PR2"/>
        <w:numPr>
          <w:ilvl w:val="5"/>
          <w:numId w:val="1"/>
        </w:numPr>
        <w:spacing w:before="240" w:after="0"/>
        <w:rPr/>
      </w:pPr>
      <w:r>
        <w:rPr/>
        <w:t>Water-Reducing Admixtures: ASTM C494/C494M, Type A.</w:t>
      </w:r>
    </w:p>
    <w:p>
      <w:pPr>
        <w:pStyle w:val="PR2"/>
        <w:numPr>
          <w:ilvl w:val="5"/>
          <w:numId w:val="1"/>
        </w:numPr>
        <w:rPr/>
      </w:pPr>
      <w:r>
        <w:rPr/>
        <w:t>Retarding Admixture: ASTM C494/C494M, Type B.</w:t>
      </w:r>
    </w:p>
    <w:p>
      <w:pPr>
        <w:pStyle w:val="PR2"/>
        <w:numPr>
          <w:ilvl w:val="5"/>
          <w:numId w:val="1"/>
        </w:numPr>
        <w:rPr/>
      </w:pPr>
      <w:r>
        <w:rPr/>
        <w:t>Water-Reducing and -Retarding Admixture: ASTM C494/C494M, Type D.</w:t>
      </w:r>
    </w:p>
    <w:p>
      <w:pPr>
        <w:pStyle w:val="PR2"/>
        <w:numPr>
          <w:ilvl w:val="5"/>
          <w:numId w:val="1"/>
        </w:numPr>
        <w:rPr/>
      </w:pPr>
      <w:r>
        <w:rPr/>
        <w:t>Water-Reducing and -Accelerating Admixture: ASTM C494/C494M, Type E.</w:t>
      </w:r>
    </w:p>
    <w:p>
      <w:pPr>
        <w:pStyle w:val="PR2"/>
        <w:numPr>
          <w:ilvl w:val="5"/>
          <w:numId w:val="1"/>
        </w:numPr>
        <w:rPr/>
      </w:pPr>
      <w:r>
        <w:rPr/>
        <w:t>High-Range, Water-Reducing Admixture: ASTM C494/C494M, Type F.</w:t>
      </w:r>
    </w:p>
    <w:p>
      <w:pPr>
        <w:pStyle w:val="PR2"/>
        <w:numPr>
          <w:ilvl w:val="5"/>
          <w:numId w:val="1"/>
        </w:numPr>
        <w:rPr/>
      </w:pPr>
      <w:r>
        <w:rPr/>
        <w:t>High-Range, Water-Reducing and -Retarding Admixture: ASTM C494/C494M, Type G.</w:t>
      </w:r>
    </w:p>
    <w:p>
      <w:pPr>
        <w:pStyle w:val="PR2"/>
        <w:numPr>
          <w:ilvl w:val="5"/>
          <w:numId w:val="1"/>
        </w:numPr>
        <w:rPr/>
      </w:pPr>
      <w:r>
        <w:rPr/>
        <w:t>Plasticizing Admixture: ASTM C1017/C1017M, Type I.</w:t>
      </w:r>
    </w:p>
    <w:p>
      <w:pPr>
        <w:pStyle w:val="PR2"/>
        <w:numPr>
          <w:ilvl w:val="5"/>
          <w:numId w:val="1"/>
        </w:numPr>
        <w:rPr/>
      </w:pPr>
      <w:r>
        <w:rPr/>
        <w:t>Plasticizing and Retarding Admixture: ASTM C1017/C1017M, Type II.</w:t>
      </w:r>
    </w:p>
    <w:p>
      <w:pPr>
        <w:pStyle w:val="PR2"/>
        <w:numPr>
          <w:ilvl w:val="5"/>
          <w:numId w:val="1"/>
        </w:numPr>
        <w:rPr/>
      </w:pPr>
      <w:r>
        <w:rPr/>
        <w:t>Corrosion-Inhibiting Admixture: ASTM C1582/C1582M.</w:t>
      </w:r>
    </w:p>
    <w:p>
      <w:pPr>
        <w:pStyle w:val="ART"/>
        <w:numPr>
          <w:ilvl w:val="3"/>
          <w:numId w:val="1"/>
        </w:numPr>
        <w:ind w:hanging="0" w:left="0"/>
        <w:rPr/>
      </w:pPr>
      <w:r>
        <w:rPr/>
        <w:t>STEEL CONNECTION MATERIALS</w:t>
      </w:r>
    </w:p>
    <w:p>
      <w:pPr>
        <w:pStyle w:val="CMT"/>
        <w:rPr/>
      </w:pPr>
      <w:r>
        <w:rPr/>
        <w:t>Revise this article to suit Project. Add other materials as required.</w:t>
      </w:r>
    </w:p>
    <w:p>
      <w:pPr>
        <w:pStyle w:val="PR1"/>
        <w:numPr>
          <w:ilvl w:val="4"/>
          <w:numId w:val="1"/>
        </w:numPr>
        <w:rPr/>
      </w:pPr>
      <w:r>
        <w:rPr/>
        <w:t>Carbon Steel Shapes and Plates: ASTM A36/A36M.</w:t>
      </w:r>
    </w:p>
    <w:p>
      <w:pPr>
        <w:pStyle w:val="PR1"/>
        <w:numPr>
          <w:ilvl w:val="4"/>
          <w:numId w:val="1"/>
        </w:numPr>
        <w:rPr/>
      </w:pPr>
      <w:r>
        <w:rPr/>
        <w:t>Carbon Steel-Headed Studs: ASTM A108, Grades 1010 through 1020, cold finished, AWS D1.1/D1.1M, Type A or Type B, with arc shields and with minimum mechanical properties of PCI MNL 117, Table 3.2.3.</w:t>
      </w:r>
    </w:p>
    <w:p>
      <w:pPr>
        <w:pStyle w:val="PR1"/>
        <w:numPr>
          <w:ilvl w:val="4"/>
          <w:numId w:val="1"/>
        </w:numPr>
        <w:rPr/>
      </w:pPr>
      <w:r>
        <w:rPr/>
        <w:t>Carbon Steel Plate: ASTM A283/A283M, Grade C.</w:t>
      </w:r>
    </w:p>
    <w:p>
      <w:pPr>
        <w:pStyle w:val="PR1"/>
        <w:numPr>
          <w:ilvl w:val="4"/>
          <w:numId w:val="1"/>
        </w:numPr>
        <w:rPr/>
      </w:pPr>
      <w:r>
        <w:rPr/>
        <w:t>Malleable Iron Castings: ASTM A47/A47M, Grade 32510 or Grade 35028.</w:t>
      </w:r>
    </w:p>
    <w:p>
      <w:pPr>
        <w:pStyle w:val="PR1"/>
        <w:numPr>
          <w:ilvl w:val="4"/>
          <w:numId w:val="1"/>
        </w:numPr>
        <w:rPr/>
      </w:pPr>
      <w:r>
        <w:rPr/>
        <w:t xml:space="preserve">Carbon Steel Castings: ASTM A27/A27M, </w:t>
      </w:r>
      <w:r>
        <w:rPr>
          <w:rStyle w:val="IP"/>
        </w:rPr>
        <w:t>Grade 60-30</w:t>
      </w:r>
      <w:r>
        <w:rPr>
          <w:rStyle w:val="SI"/>
        </w:rPr>
        <w:t xml:space="preserve"> (Grade 415-205)</w:t>
      </w:r>
      <w:r>
        <w:rPr/>
        <w:t>.</w:t>
      </w:r>
    </w:p>
    <w:p>
      <w:pPr>
        <w:pStyle w:val="PR1"/>
        <w:numPr>
          <w:ilvl w:val="4"/>
          <w:numId w:val="1"/>
        </w:numPr>
        <w:rPr/>
      </w:pPr>
      <w:r>
        <w:rPr/>
        <w:t>High-Strength, Low-Alloy Structural Steel: ASTM A572/A572M.</w:t>
      </w:r>
    </w:p>
    <w:p>
      <w:pPr>
        <w:pStyle w:val="PR1"/>
        <w:numPr>
          <w:ilvl w:val="4"/>
          <w:numId w:val="1"/>
        </w:numPr>
        <w:rPr/>
      </w:pPr>
      <w:r>
        <w:rPr/>
        <w:t>Carbon Steel Structural Tubing: ASTM A500/A500M, Grade B or Grade C.</w:t>
      </w:r>
    </w:p>
    <w:p>
      <w:pPr>
        <w:pStyle w:val="PR1"/>
        <w:numPr>
          <w:ilvl w:val="4"/>
          <w:numId w:val="1"/>
        </w:numPr>
        <w:rPr/>
      </w:pPr>
      <w:r>
        <w:rPr/>
        <w:t xml:space="preserve">Wrought Carbon Steel Bars: ASTM A675/A675M, </w:t>
      </w:r>
      <w:r>
        <w:rPr>
          <w:rStyle w:val="IP"/>
        </w:rPr>
        <w:t>Grade 65</w:t>
      </w:r>
      <w:r>
        <w:rPr>
          <w:rStyle w:val="SI"/>
        </w:rPr>
        <w:t xml:space="preserve"> (Grade 450)</w:t>
      </w:r>
      <w:r>
        <w:rPr/>
        <w:t>.</w:t>
      </w:r>
    </w:p>
    <w:p>
      <w:pPr>
        <w:pStyle w:val="PR1"/>
        <w:numPr>
          <w:ilvl w:val="4"/>
          <w:numId w:val="1"/>
        </w:numPr>
        <w:rPr/>
      </w:pPr>
      <w:r>
        <w:rPr/>
        <w:t>Deformed-Steel Wire or Bar Anchors: ASTM A1064/A1064M or ASTM A706/A706M.</w:t>
      </w:r>
    </w:p>
    <w:p>
      <w:pPr>
        <w:pStyle w:val="CMT"/>
        <w:rPr/>
      </w:pPr>
      <w:r>
        <w:rPr/>
        <w:t>ASTM A307 defines the term "studs" to include stud stock and threaded rods.</w:t>
      </w:r>
    </w:p>
    <w:p>
      <w:pPr>
        <w:pStyle w:val="PR1"/>
        <w:numPr>
          <w:ilvl w:val="4"/>
          <w:numId w:val="1"/>
        </w:numPr>
        <w:rPr/>
      </w:pPr>
      <w:r>
        <w:rPr/>
        <w:t xml:space="preserve">Carbon Steel Bolts and Studs: ASTM A307, Grade A, or ASTM F1554, Grade 36; carbon steel, hex-head bolts and studs; carbon steel nuts, </w:t>
      </w:r>
      <w:r>
        <w:rPr>
          <w:rStyle w:val="IP"/>
        </w:rPr>
        <w:t>ASTM A563</w:t>
      </w:r>
      <w:r>
        <w:rPr>
          <w:rStyle w:val="SI"/>
        </w:rPr>
        <w:t xml:space="preserve"> (ASTM A563M)</w:t>
      </w:r>
      <w:r>
        <w:rPr/>
        <w:t>; and flat, unhardened steel washers, ASTM F844.</w:t>
      </w:r>
    </w:p>
    <w:p>
      <w:pPr>
        <w:pStyle w:val="CMT"/>
        <w:rPr/>
      </w:pPr>
      <w:r>
        <w:rPr/>
        <w:t>High-strength bolts are used for friction-type connections between steel members and are not recommended by PCI between steel and concrete because concrete creep and crushing of concrete during bolt tightening reduce effectiveness.</w:t>
      </w:r>
    </w:p>
    <w:p>
      <w:pPr>
        <w:pStyle w:val="PR1"/>
        <w:numPr>
          <w:ilvl w:val="4"/>
          <w:numId w:val="1"/>
        </w:numPr>
        <w:rPr/>
      </w:pPr>
      <w:r>
        <w:rPr/>
        <w:t xml:space="preserve">High-Strength Bolts, Nuts, and Washers: ASTM F3125/F3125M, </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xml:space="preserve"> heavy-hex carbon steel nuts; and ASTM F436/F436M, Type 1, hardened carbon steel washers.</w:t>
      </w:r>
    </w:p>
    <w:p>
      <w:pPr>
        <w:pStyle w:val="CMT"/>
        <w:rPr/>
      </w:pPr>
      <w:r>
        <w:rPr/>
        <w:t>Retain "Zinc-Coated Finish" Paragraph if galvanized finish is required. Revise locations of galvanized items if required. Field welding should generally not be permitted on galvanized elements unless galvanizing is removed or acceptable welding procedures are submitted. Hot-dip galvanized finish provides greater corrosion resistance than electrodeposited zinc coating. Electrodeposition is usually limited to threaded fasteners.</w:t>
      </w:r>
    </w:p>
    <w:p>
      <w:pPr>
        <w:pStyle w:val="PR1"/>
        <w:numPr>
          <w:ilvl w:val="4"/>
          <w:numId w:val="1"/>
        </w:numPr>
        <w:rPr/>
      </w:pPr>
      <w:r>
        <w:rPr/>
        <w:t>Zinc-Coated Finish: For exterior steel items[</w:t>
      </w:r>
      <w:r>
        <w:rPr>
          <w:b/>
        </w:rPr>
        <w:t>, steel in exterior walls,</w:t>
      </w:r>
      <w:r>
        <w:rPr/>
        <w:t>] and items indicated for galvanizing, apply zinc coating by [</w:t>
      </w:r>
      <w:r>
        <w:rPr>
          <w:b/>
        </w:rPr>
        <w:t>hot-dip process in accordance with ASTM A123/A123M or ASTM A153/A153M</w:t>
      </w:r>
      <w:r>
        <w:rPr/>
        <w:t>] [</w:t>
      </w:r>
      <w:r>
        <w:rPr>
          <w:b/>
        </w:rPr>
        <w:t>electrodeposition in accordance with ASTM B633, SC 3, Types 1 and 2</w:t>
      </w:r>
      <w:r>
        <w:rPr/>
        <w:t>].</w:t>
      </w:r>
    </w:p>
    <w:p>
      <w:pPr>
        <w:pStyle w:val="PR2"/>
        <w:numPr>
          <w:ilvl w:val="5"/>
          <w:numId w:val="1"/>
        </w:numPr>
        <w:spacing w:before="240" w:after="0"/>
        <w:rPr/>
      </w:pPr>
      <w:r>
        <w:rPr/>
        <w:t>For steel shapes, plates, and tubing to be galvanized, limit silicon content of steel to less than 0.03 percent or to between 0.15 and 0.25 percent, or limit sum of silicon and 2.5 times phosphorous content to 0.09 percent.</w:t>
      </w:r>
    </w:p>
    <w:p>
      <w:pPr>
        <w:pStyle w:val="PR2"/>
        <w:numPr>
          <w:ilvl w:val="5"/>
          <w:numId w:val="1"/>
        </w:numPr>
        <w:rPr/>
      </w:pPr>
      <w:r>
        <w:rPr/>
        <w:t>Galvanizing Repair Paint: High-zinc-dust-content paint with dry film containing not less than 94 percent zinc dust by weight, and complying with MIL-P-21035B or SSPC-Paint 20.</w:t>
      </w:r>
    </w:p>
    <w:p>
      <w:pPr>
        <w:pStyle w:val="CMT"/>
        <w:rPr/>
      </w:pPr>
      <w:r>
        <w:rPr/>
        <w:t>Retain "Shop-Primed Finish" Paragraph below if paint finish is required. Revise locations of priming if required. MPI 79 in first option below provides some corrosion protection, while SSPC-Paint 23, without topcoating, provides minimal corrosion protection.</w:t>
      </w:r>
    </w:p>
    <w:p>
      <w:pPr>
        <w:pStyle w:val="PR1"/>
        <w:numPr>
          <w:ilvl w:val="4"/>
          <w:numId w:val="1"/>
        </w:numPr>
        <w:rPr/>
      </w:pPr>
      <w:r>
        <w:rPr/>
        <w:t>Shop-Primed Finish: Prepare surfaces of nongalvanized-steel items, except those surfaces to be embedded in concrete, in accordance with requirements in SSPC-SP 3, and shop-apply [</w:t>
      </w:r>
      <w:r>
        <w:rPr>
          <w:b/>
        </w:rPr>
        <w:t>lead- and chromate-free, rust-inhibitive primer, complying with performance requirements in MPI 79</w:t>
      </w:r>
      <w:r>
        <w:rPr/>
        <w:t>] [</w:t>
      </w:r>
      <w:r>
        <w:rPr>
          <w:b/>
        </w:rPr>
        <w:t>SSPC-Paint 23</w:t>
      </w:r>
      <w:r>
        <w:rPr/>
        <w:t>] in accordance with SSPC-PA 1.</w:t>
      </w:r>
    </w:p>
    <w:p>
      <w:pPr>
        <w:pStyle w:val="PR1"/>
        <w:numPr>
          <w:ilvl w:val="4"/>
          <w:numId w:val="1"/>
        </w:numPr>
        <w:rPr/>
      </w:pPr>
      <w:r>
        <w:rPr/>
        <w:t>Welding Electrodes: Comply with AWS standards.</w:t>
      </w:r>
    </w:p>
    <w:p>
      <w:pPr>
        <w:pStyle w:val="ART"/>
        <w:numPr>
          <w:ilvl w:val="3"/>
          <w:numId w:val="1"/>
        </w:numPr>
        <w:ind w:hanging="0" w:left="0"/>
        <w:rPr/>
      </w:pPr>
      <w:r>
        <w:rPr/>
        <w:t>STAINLESS STEEL CONNECTION MATERIALS</w:t>
      </w:r>
    </w:p>
    <w:p>
      <w:pPr>
        <w:pStyle w:val="CMT"/>
        <w:rPr/>
      </w:pPr>
      <w:r>
        <w:rPr/>
        <w:t>Retain this article if required. Retain when resistance to staining merits extra cost in parking structures and other high-moisture or corrosive areas.</w:t>
      </w:r>
    </w:p>
    <w:p>
      <w:pPr>
        <w:pStyle w:val="PR1"/>
        <w:numPr>
          <w:ilvl w:val="4"/>
          <w:numId w:val="1"/>
        </w:numPr>
        <w:rPr/>
      </w:pPr>
      <w:r>
        <w:rPr/>
        <w:t>Stainless Steel Plate: ASTM A240/A240M or ASTM A666, Type 304, Type 316, or Type 201.</w:t>
      </w:r>
    </w:p>
    <w:p>
      <w:pPr>
        <w:pStyle w:val="PR1"/>
        <w:numPr>
          <w:ilvl w:val="4"/>
          <w:numId w:val="1"/>
        </w:numPr>
        <w:rPr/>
      </w:pPr>
      <w:r>
        <w:rPr/>
        <w:t xml:space="preserve">Stainless Steel Bolts and Studs: ASTM F593, Alloy Group 1 or 2) hex-head bolts and studs; </w:t>
      </w:r>
      <w:r>
        <w:rPr>
          <w:rStyle w:val="IP"/>
        </w:rPr>
        <w:t>ASTM F594, Alloy Group 1 or 2</w:t>
      </w:r>
      <w:r>
        <w:rPr>
          <w:rStyle w:val="SI"/>
        </w:rPr>
        <w:t xml:space="preserve"> (ASTM F836M, Grade A1 or A4)</w:t>
      </w:r>
      <w:r>
        <w:rPr/>
        <w:t xml:space="preserve"> stainless steel nuts; and flat, stainless steel washers.</w:t>
      </w:r>
    </w:p>
    <w:p>
      <w:pPr>
        <w:pStyle w:val="PR2"/>
        <w:numPr>
          <w:ilvl w:val="5"/>
          <w:numId w:val="1"/>
        </w:numPr>
        <w:spacing w:before="240" w:after="0"/>
        <w:rPr/>
      </w:pPr>
      <w:r>
        <w:rPr/>
        <w:t>Lubricate threaded parts of stainless steel bolts with an antiseize thread lubricant during assembly.</w:t>
      </w:r>
    </w:p>
    <w:p>
      <w:pPr>
        <w:pStyle w:val="PR1"/>
        <w:numPr>
          <w:ilvl w:val="4"/>
          <w:numId w:val="1"/>
        </w:numPr>
        <w:rPr/>
      </w:pPr>
      <w:r>
        <w:rPr/>
        <w:t>Stainless Steel-Headed Studs: ASTM A276/A276M, Alloy 304 or Alloy 316, with minimum mechanical properties of PCI MNL 117, Table 3.2.3.</w:t>
      </w:r>
    </w:p>
    <w:p>
      <w:pPr>
        <w:pStyle w:val="ART"/>
        <w:numPr>
          <w:ilvl w:val="3"/>
          <w:numId w:val="1"/>
        </w:numPr>
        <w:ind w:hanging="0" w:left="0"/>
        <w:rPr/>
      </w:pPr>
      <w:r>
        <w:rPr/>
        <w:t>ACCESSORIES</w:t>
      </w:r>
    </w:p>
    <w:p>
      <w:pPr>
        <w:pStyle w:val="CMT"/>
        <w:rPr/>
      </w:pPr>
      <w:r>
        <w:rPr/>
        <w:t>Retain "Bearing Pads" Paragraph below if applicable. Choice of bearing pad can usually be left to fabricator; coordinate selection with structural engineer if required.</w:t>
      </w:r>
    </w:p>
    <w:p>
      <w:pPr>
        <w:pStyle w:val="PR1"/>
        <w:numPr>
          <w:ilvl w:val="4"/>
          <w:numId w:val="1"/>
        </w:numPr>
        <w:rPr/>
      </w:pPr>
      <w:r>
        <w:rPr/>
        <w:t>Bearing Pads: Provide one of the following for architectural precast concrete units[</w:t>
      </w:r>
      <w:r>
        <w:rPr>
          <w:b/>
        </w:rPr>
        <w:t> as recommended by precast fabricator for application</w:t>
      </w:r>
      <w:r>
        <w:rPr/>
        <w:t>]:</w:t>
      </w:r>
    </w:p>
    <w:p>
      <w:pPr>
        <w:pStyle w:val="PR2"/>
        <w:numPr>
          <w:ilvl w:val="5"/>
          <w:numId w:val="1"/>
        </w:numPr>
        <w:spacing w:before="240" w:after="0"/>
        <w:rPr/>
      </w:pPr>
      <w:r>
        <w:rPr/>
        <w:t xml:space="preserve">Elastomeric Pads: AASHTO M 251, plain, vulcanized, 100 percent polychloroprene (neoprene) elastomer, molded to size or cut from a molded sheet, Type A durometer hardness of 50 to 70, ASTM D2240, minimum tensile strength </w:t>
      </w:r>
      <w:r>
        <w:rPr>
          <w:rStyle w:val="IP"/>
        </w:rPr>
        <w:t>2250 psi</w:t>
      </w:r>
      <w:r>
        <w:rPr>
          <w:rStyle w:val="SI"/>
        </w:rPr>
        <w:t xml:space="preserve"> (15.5 MPa)</w:t>
      </w:r>
      <w:r>
        <w:rPr/>
        <w:t>, ASTM D412.</w:t>
      </w:r>
    </w:p>
    <w:p>
      <w:pPr>
        <w:pStyle w:val="PR2"/>
        <w:numPr>
          <w:ilvl w:val="5"/>
          <w:numId w:val="1"/>
        </w:numPr>
        <w:rPr/>
      </w:pPr>
      <w:r>
        <w:rPr/>
        <w:t xml:space="preserve">Random-Oriented-Fiber-Reinforced Elastomeric Pads: Preformed, randomly oriented synthetic fibers set in elastomer; Type A durometer hardness of 70 to 90, ASTM D2240; capable of supporting a compressive stress of </w:t>
      </w:r>
      <w:r>
        <w:rPr>
          <w:rStyle w:val="IP"/>
        </w:rPr>
        <w:t>3000 psi</w:t>
      </w:r>
      <w:r>
        <w:rPr>
          <w:rStyle w:val="SI"/>
        </w:rPr>
        <w:t xml:space="preserve"> (20.7 MPa)</w:t>
      </w:r>
      <w:r>
        <w:rPr/>
        <w:t xml:space="preserve"> with no cracking, splitting, or delaminating in the internal portions of pad. Test one specimen for every 200 pads used in Project.</w:t>
      </w:r>
    </w:p>
    <w:p>
      <w:pPr>
        <w:pStyle w:val="PR2"/>
        <w:numPr>
          <w:ilvl w:val="5"/>
          <w:numId w:val="1"/>
        </w:numPr>
        <w:rPr/>
      </w:pPr>
      <w:r>
        <w:rPr/>
        <w:t>Cotton-Duck-Fabric-Reinforced Elastomeric Pads: Preformed, horizontally layered cotton-duck fabric bonded to an elastomer; Type A durometer hardness of 80 to 100, ASTM D2240; in compliance with AASHTO LRFDBDS, Division II, Section 18.10.2; or with MIL-C-882E.</w:t>
      </w:r>
    </w:p>
    <w:p>
      <w:pPr>
        <w:pStyle w:val="PR2"/>
        <w:numPr>
          <w:ilvl w:val="5"/>
          <w:numId w:val="1"/>
        </w:numPr>
        <w:rPr/>
      </w:pPr>
      <w:r>
        <w:rPr/>
        <w:t>Frictionless Pads: PTFE, glass-fiber reinforced, bonded to stainless or mild-steel plate, or random-oriented-fiber-reinforced elastomeric pads; of type required for in-service stress.</w:t>
      </w:r>
    </w:p>
    <w:p>
      <w:pPr>
        <w:pStyle w:val="PR2"/>
        <w:numPr>
          <w:ilvl w:val="5"/>
          <w:numId w:val="1"/>
        </w:numPr>
        <w:rPr/>
      </w:pPr>
      <w:r>
        <w:rPr/>
        <w:t>High-Density Plastic: Multimonomer, nonleaching, plastic strip.</w:t>
      </w:r>
    </w:p>
    <w:p>
      <w:pPr>
        <w:pStyle w:val="CMT"/>
        <w:rPr/>
      </w:pPr>
      <w:r>
        <w:rPr/>
        <w:t>Retain "Reglets Specified Elsewhere" or "Reglets" Paragraph below if applicable. Coordinate reglet material with counterflashing materials and details. Delete both paragraphs if specifying surface-applied reglets in Section 076200 "Sheet Metal Flashing and Trim," which avoids misalignment from one panel to the next.</w:t>
      </w:r>
    </w:p>
    <w:p>
      <w:pPr>
        <w:pStyle w:val="PR1"/>
        <w:numPr>
          <w:ilvl w:val="4"/>
          <w:numId w:val="1"/>
        </w:numPr>
        <w:rPr/>
      </w:pPr>
      <w:r>
        <w:rPr/>
        <w:t>Reglets Specified Elsewhere: Specified in Section 076200 "Sheet Metal Flashing and Trim."</w:t>
      </w:r>
    </w:p>
    <w:p>
      <w:pPr>
        <w:pStyle w:val="PR1"/>
        <w:numPr>
          <w:ilvl w:val="4"/>
          <w:numId w:val="1"/>
        </w:numPr>
        <w:rPr/>
      </w:pPr>
      <w:r>
        <w:rPr/>
        <w:t>Reglets: [</w:t>
      </w:r>
      <w:r>
        <w:rPr>
          <w:b/>
        </w:rPr>
        <w:t>PVC extrusions,</w:t>
      </w:r>
      <w:r>
        <w:rPr/>
        <w:t>] [</w:t>
      </w:r>
      <w:r>
        <w:rPr>
          <w:b/>
        </w:rPr>
        <w:t>Stainless steel, Type 302 or Type 304,</w:t>
      </w:r>
      <w:r>
        <w:rPr/>
        <w:t>] [</w:t>
      </w:r>
      <w:r>
        <w:rPr>
          <w:b/>
        </w:rPr>
        <w:t>Copper,</w:t>
      </w:r>
      <w:r>
        <w:rPr/>
        <w:t>] felt or fiber filled, or with face opening of slots covered.</w:t>
      </w:r>
    </w:p>
    <w:p>
      <w:pPr>
        <w:pStyle w:val="PR1"/>
        <w:numPr>
          <w:ilvl w:val="4"/>
          <w:numId w:val="1"/>
        </w:numPr>
        <w:rPr/>
      </w:pPr>
      <w:r>
        <w:rPr/>
        <w:t>Precast Accessories: Provide clips, hangers, high-density plastic or steel shims, and other accessories required to install architectural precast concrete units.</w:t>
      </w:r>
    </w:p>
    <w:p>
      <w:pPr>
        <w:pStyle w:val="ART"/>
        <w:numPr>
          <w:ilvl w:val="3"/>
          <w:numId w:val="1"/>
        </w:numPr>
        <w:ind w:hanging="0" w:left="0"/>
        <w:rPr/>
      </w:pPr>
      <w:r>
        <w:rPr/>
        <w:t>GROUT MATERIALS</w:t>
      </w:r>
    </w:p>
    <w:p>
      <w:pPr>
        <w:pStyle w:val="CMT"/>
        <w:rPr/>
      </w:pPr>
      <w:r>
        <w:rPr/>
        <w:t>Add other proprietary grout systems to suit Project. Indicate locations of each type of grout in this article or on Drawings if retaining more than one type.</w:t>
      </w:r>
    </w:p>
    <w:p>
      <w:pPr>
        <w:pStyle w:val="PR1"/>
        <w:numPr>
          <w:ilvl w:val="4"/>
          <w:numId w:val="1"/>
        </w:numPr>
        <w:rPr/>
      </w:pPr>
      <w:r>
        <w:rPr/>
        <w:t>Sand-Cement Grout: Portland cement, ASTM C150/C150M, Type I, and clean, natural sand, ASTM C144 or ASTM C404. Mix at ratio of 1 part cement to 2-1/2 to 3 parts sand, by volume, with minimum water required for placement and hydration. Water-soluble chloride ion content is to be less than 0.06 percent by weight of cement when tested in accordance with ASTM C1218/C1218M.</w:t>
      </w:r>
    </w:p>
    <w:p>
      <w:pPr>
        <w:pStyle w:val="CMT"/>
        <w:rPr/>
      </w:pPr>
      <w:r>
        <w:rPr/>
        <w:t>Retain "Nonmetallic, Nonshrink Grout" Paragraph below if required or if cement-grout shrinkage could cause structural deficiency. For critical installations, require manufacturer to provide field supervision.</w:t>
      </w:r>
    </w:p>
    <w:p>
      <w:pPr>
        <w:pStyle w:val="PR1"/>
        <w:numPr>
          <w:ilvl w:val="4"/>
          <w:numId w:val="1"/>
        </w:numPr>
        <w:rPr/>
      </w:pPr>
      <w:r>
        <w:rPr/>
        <w:t>Nonmetallic, Nonshrink Grout: Packaged, nonmetallic, noncorrosive, nonstaining grout containing selected silica sands, portland cement, shrinkage-compensating agents, plasticizing and water-reducing agents, complying with ASTM C1107/C1107M, Grade A for dry pack and Grades B and C for flowable grout, and of consistency suitable for application within a 30-minute working time. Water-soluble chloride ion content is to be less than 0.06 percent by weight of cement when tested in accordance with ASTM C1218/C1218M.</w:t>
      </w:r>
    </w:p>
    <w:p>
      <w:pPr>
        <w:pStyle w:val="PR1"/>
        <w:numPr>
          <w:ilvl w:val="4"/>
          <w:numId w:val="1"/>
        </w:numPr>
        <w:rPr/>
      </w:pPr>
      <w:r>
        <w:rPr/>
        <w:t>Epoxy-Resin Grout: Two-component, mineral-filled epoxy resin; ASTM C881/C881M, of type, grade, and class to suit requirements.</w:t>
      </w:r>
    </w:p>
    <w:p>
      <w:pPr>
        <w:pStyle w:val="ART"/>
        <w:numPr>
          <w:ilvl w:val="3"/>
          <w:numId w:val="1"/>
        </w:numPr>
        <w:ind w:hanging="0" w:left="0"/>
        <w:rPr/>
      </w:pPr>
      <w:r>
        <w:rPr/>
        <w:t>CLAY FACING MATERIALS</w:t>
      </w:r>
    </w:p>
    <w:p>
      <w:pPr>
        <w:pStyle w:val="PR1"/>
        <w:numPr>
          <w:ilvl w:val="4"/>
          <w:numId w:val="1"/>
        </w:numPr>
        <w:rPr/>
      </w:pPr>
      <w:r>
        <w:rPr/>
        <w:t xml:space="preserve">Thin Brick: Not less than </w:t>
      </w:r>
      <w:r>
        <w:rPr>
          <w:rStyle w:val="IP"/>
        </w:rPr>
        <w:t>1/2 inch</w:t>
      </w:r>
      <w:r>
        <w:rPr>
          <w:rStyle w:val="SI"/>
        </w:rPr>
        <w:t xml:space="preserve"> (13 mm)</w:t>
      </w:r>
      <w:r>
        <w:rPr/>
        <w:t xml:space="preserve"> or more than </w:t>
      </w:r>
      <w:r>
        <w:rPr>
          <w:rStyle w:val="IP"/>
        </w:rPr>
        <w:t>1 inch</w:t>
      </w:r>
      <w:r>
        <w:rPr>
          <w:rStyle w:val="SI"/>
        </w:rPr>
        <w:t xml:space="preserve"> (25 mm)</w:t>
      </w:r>
      <w:r>
        <w:rPr/>
        <w:t xml:space="preserve"> thick, and as follows: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Thin-brick units that comply with ASTM C1088 Type TBX, may be too dimensionally variable to fit securely within form liner templates.</w:t>
      </w:r>
    </w:p>
    <w:p>
      <w:pPr>
        <w:pStyle w:val="PR2"/>
        <w:numPr>
          <w:ilvl w:val="5"/>
          <w:numId w:val="1"/>
        </w:numPr>
        <w:rPr/>
      </w:pPr>
      <w:r>
        <w:rPr/>
        <w:t xml:space="preserve">Dimensional Tolerances: Plus </w:t>
      </w:r>
      <w:r>
        <w:rPr>
          <w:rStyle w:val="IP"/>
        </w:rPr>
        <w:t>0 inch</w:t>
      </w:r>
      <w:r>
        <w:rPr>
          <w:rStyle w:val="SI"/>
        </w:rPr>
        <w:t xml:space="preserve"> (0 mm)</w:t>
      </w:r>
      <w:r>
        <w:rPr/>
        <w:t xml:space="preserve"> or minus </w:t>
      </w:r>
      <w:r>
        <w:rPr>
          <w:rStyle w:val="IP"/>
        </w:rPr>
        <w:t>1/16 inch</w:t>
      </w:r>
      <w:r>
        <w:rPr>
          <w:rStyle w:val="SI"/>
        </w:rPr>
        <w:t xml:space="preserve"> (1.6 mm)</w:t>
      </w:r>
      <w:r>
        <w:rPr/>
        <w:t xml:space="preserve"> for any dimension </w:t>
      </w:r>
      <w:r>
        <w:rPr>
          <w:rStyle w:val="IP"/>
        </w:rPr>
        <w:t>8 inches</w:t>
      </w:r>
      <w:r>
        <w:rPr>
          <w:rStyle w:val="SI"/>
        </w:rPr>
        <w:t xml:space="preserve"> (203 mm)</w:t>
      </w:r>
      <w:r>
        <w:rPr/>
        <w:t xml:space="preserve"> or less and plus </w:t>
      </w:r>
      <w:r>
        <w:rPr>
          <w:rStyle w:val="IP"/>
        </w:rPr>
        <w:t>0 inch</w:t>
      </w:r>
      <w:r>
        <w:rPr>
          <w:rStyle w:val="SI"/>
        </w:rPr>
        <w:t xml:space="preserve"> (0 mm)</w:t>
      </w:r>
      <w:r>
        <w:rPr/>
        <w:t xml:space="preserve"> or minus </w:t>
      </w:r>
      <w:r>
        <w:rPr>
          <w:rStyle w:val="IP"/>
        </w:rPr>
        <w:t>3/32 inch</w:t>
      </w:r>
      <w:r>
        <w:rPr>
          <w:rStyle w:val="SI"/>
        </w:rPr>
        <w:t xml:space="preserve"> (2.4 mm)</w:t>
      </w:r>
      <w:r>
        <w:rPr/>
        <w:t xml:space="preserve"> for any dimension of more than </w:t>
      </w:r>
      <w:r>
        <w:rPr>
          <w:rStyle w:val="IP"/>
        </w:rPr>
        <w:t>8 inches</w:t>
      </w:r>
      <w:r>
        <w:rPr>
          <w:rStyle w:val="SI"/>
        </w:rPr>
        <w:t xml:space="preserve"> (203 mm)</w:t>
      </w:r>
      <w:r>
        <w:rPr/>
        <w:t>.</w:t>
      </w:r>
    </w:p>
    <w:p>
      <w:pPr>
        <w:pStyle w:val="PR2"/>
        <w:numPr>
          <w:ilvl w:val="5"/>
          <w:numId w:val="1"/>
        </w:numPr>
        <w:rPr/>
      </w:pPr>
      <w:r>
        <w:rPr/>
        <w:t xml:space="preserve">Out-of-Square Tolerance: Plus or minus </w:t>
      </w:r>
      <w:r>
        <w:rPr>
          <w:rStyle w:val="IP"/>
        </w:rPr>
        <w:t>1/16 inch</w:t>
      </w:r>
      <w:r>
        <w:rPr>
          <w:rStyle w:val="SI"/>
        </w:rPr>
        <w:t xml:space="preserve"> (1.6 mm)</w:t>
      </w:r>
      <w:r>
        <w:rPr/>
        <w:t>.</w:t>
      </w:r>
    </w:p>
    <w:p>
      <w:pPr>
        <w:pStyle w:val="PR2"/>
        <w:numPr>
          <w:ilvl w:val="5"/>
          <w:numId w:val="1"/>
        </w:numPr>
        <w:rPr/>
      </w:pPr>
      <w:r>
        <w:rPr/>
        <w:t xml:space="preserve">Warpage Tolerance: Not more than </w:t>
      </w:r>
      <w:r>
        <w:rPr>
          <w:rStyle w:val="IP"/>
        </w:rPr>
        <w:t>1/16 inch</w:t>
      </w:r>
      <w:r>
        <w:rPr>
          <w:rStyle w:val="SI"/>
        </w:rPr>
        <w:t xml:space="preserve"> (1.6 mm)</w:t>
      </w:r>
      <w:r>
        <w:rPr/>
        <w:t xml:space="preserve"> either concave or convex from consistent plane.</w:t>
      </w:r>
    </w:p>
    <w:p>
      <w:pPr>
        <w:pStyle w:val="PR2"/>
        <w:numPr>
          <w:ilvl w:val="5"/>
          <w:numId w:val="1"/>
        </w:numPr>
        <w:rPr/>
      </w:pPr>
      <w:r>
        <w:rPr/>
        <w:t>Variation of Shape from Specified Angle: Plus or minus one degree.</w:t>
      </w:r>
    </w:p>
    <w:p>
      <w:pPr>
        <w:pStyle w:val="PR2"/>
        <w:numPr>
          <w:ilvl w:val="5"/>
          <w:numId w:val="1"/>
        </w:numPr>
        <w:rPr/>
      </w:pPr>
      <w:r>
        <w:rPr/>
        <w:t xml:space="preserve">Modulus of Rupture: Not less than </w:t>
      </w:r>
      <w:r>
        <w:rPr>
          <w:rStyle w:val="IP"/>
        </w:rPr>
        <w:t>250 psi</w:t>
      </w:r>
      <w:r>
        <w:rPr>
          <w:rStyle w:val="SI"/>
        </w:rPr>
        <w:t xml:space="preserve"> (1.7 MPa)</w:t>
      </w:r>
      <w:r>
        <w:rPr/>
        <w:t xml:space="preserve"> when tested in accordance with ASTM C67/C67M.</w:t>
      </w:r>
    </w:p>
    <w:p>
      <w:pPr>
        <w:pStyle w:val="PR2"/>
        <w:numPr>
          <w:ilvl w:val="5"/>
          <w:numId w:val="1"/>
        </w:numPr>
        <w:rPr/>
      </w:pPr>
      <w:r>
        <w:rPr/>
        <w:t xml:space="preserve">Tensile Bond Strength: Not less than </w:t>
      </w:r>
      <w:r>
        <w:rPr>
          <w:rStyle w:val="IP"/>
        </w:rPr>
        <w:t>150 psi</w:t>
      </w:r>
      <w:r>
        <w:rPr>
          <w:rStyle w:val="SI"/>
        </w:rPr>
        <w:t xml:space="preserve"> (1.0 MPa)</w:t>
      </w:r>
      <w:r>
        <w:rPr/>
        <w:t xml:space="preserve"> when tested before and after freeze-thaw test in accordance with ASTM E488/E488M as modified: Adhere a steel plate with a welded rod on a single thin-brick face with epoxy for each test.</w:t>
      </w:r>
    </w:p>
    <w:p>
      <w:pPr>
        <w:pStyle w:val="CMT"/>
        <w:rPr/>
      </w:pPr>
      <w:r>
        <w:rPr/>
        <w:t>Retain first option in "24-Hour Cold-Water Absorption" Subparagraph below for nonglazed thin brick, second option for glazed thin brick.</w:t>
      </w:r>
    </w:p>
    <w:p>
      <w:pPr>
        <w:pStyle w:val="PR2"/>
        <w:numPr>
          <w:ilvl w:val="5"/>
          <w:numId w:val="1"/>
        </w:numPr>
        <w:rPr/>
      </w:pPr>
      <w:r>
        <w:rPr/>
        <w:t>24-Hour Cold-Water Absorption: Not more than [</w:t>
      </w:r>
      <w:r>
        <w:rPr>
          <w:b/>
        </w:rPr>
        <w:t>6 percent when tested in accordance with ASTM C67/C67M</w:t>
      </w:r>
      <w:r>
        <w:rPr/>
        <w:t>] [</w:t>
      </w:r>
      <w:r>
        <w:rPr>
          <w:b/>
        </w:rPr>
        <w:t>5 percent when tested in accordance with ASTM C373</w:t>
      </w:r>
      <w:r>
        <w:rPr/>
        <w:t>].</w:t>
      </w:r>
    </w:p>
    <w:p>
      <w:pPr>
        <w:pStyle w:val="PR2"/>
        <w:numPr>
          <w:ilvl w:val="5"/>
          <w:numId w:val="1"/>
        </w:numPr>
        <w:rPr/>
      </w:pPr>
      <w:r>
        <w:rPr/>
        <w:t>Freeze-Thaw Resistance: No detectable disintegration or separation after 300 cycles when tested in accordance with ASTM C666/C666M, Method A or B.</w:t>
      </w:r>
    </w:p>
    <w:p>
      <w:pPr>
        <w:pStyle w:val="PR2"/>
        <w:numPr>
          <w:ilvl w:val="5"/>
          <w:numId w:val="1"/>
        </w:numPr>
        <w:rPr/>
      </w:pPr>
      <w:r>
        <w:rPr/>
        <w:t>Chemical Resistance: Tested in accordance with ASTM C650 and rated "not affected."</w:t>
      </w:r>
    </w:p>
    <w:p>
      <w:pPr>
        <w:pStyle w:val="PR2"/>
        <w:numPr>
          <w:ilvl w:val="5"/>
          <w:numId w:val="1"/>
        </w:numPr>
        <w:rPr/>
      </w:pPr>
      <w:r>
        <w:rPr/>
        <w:t>Efflorescence: Tested in accordance with ASTM C67/C67M and rated "not effloresced."</w:t>
      </w:r>
    </w:p>
    <w:p>
      <w:pPr>
        <w:pStyle w:val="CMT"/>
        <w:rPr/>
      </w:pPr>
      <w:r>
        <w:rPr/>
        <w:t>Retain "Surface Coating" Subparagraph below if surface-coated thin brick is used.</w:t>
      </w:r>
    </w:p>
    <w:p>
      <w:pPr>
        <w:pStyle w:val="PR2"/>
        <w:numPr>
          <w:ilvl w:val="5"/>
          <w:numId w:val="1"/>
        </w:numPr>
        <w:rPr/>
      </w:pPr>
      <w:r>
        <w:rPr/>
        <w:t xml:space="preserve">Surface Coating: Thin brick with colors or textures applied as coatings to withstand 50 cycles of freezing and thawing; ASTM C67/C67M, with no observable difference in applied finish when viewed from </w:t>
      </w:r>
      <w:r>
        <w:rPr>
          <w:rStyle w:val="IP"/>
        </w:rPr>
        <w:t>10 ft.</w:t>
      </w:r>
      <w:r>
        <w:rPr>
          <w:rStyle w:val="SI"/>
        </w:rPr>
        <w:t xml:space="preserve"> (3 m)</w:t>
      </w:r>
      <w:r>
        <w:rPr/>
        <w:t>.</w:t>
      </w:r>
    </w:p>
    <w:p>
      <w:pPr>
        <w:pStyle w:val="CMT"/>
        <w:rPr/>
      </w:pPr>
      <w:r>
        <w:rPr/>
        <w:t>Retain "Back Surface Texture" Subparagraph below; delete inapplicable descriptions if required.</w:t>
      </w:r>
    </w:p>
    <w:p>
      <w:pPr>
        <w:pStyle w:val="PR2"/>
        <w:numPr>
          <w:ilvl w:val="5"/>
          <w:numId w:val="1"/>
        </w:numPr>
        <w:rPr/>
      </w:pPr>
      <w:r>
        <w:rPr/>
        <w:t>Back Surface Texture: Scored, combed, wire roughened, ribbed, keybacked, or dovetailed.</w:t>
      </w:r>
    </w:p>
    <w:p>
      <w:pPr>
        <w:pStyle w:val="PR2"/>
        <w:numPr>
          <w:ilvl w:val="5"/>
          <w:numId w:val="1"/>
        </w:numPr>
        <w:rPr/>
      </w:pPr>
      <w:r>
        <w:rPr/>
        <w:t>Face Size: [</w:t>
      </w:r>
      <w:r>
        <w:rPr>
          <w:rStyle w:val="IP"/>
          <w:b/>
        </w:rPr>
        <w:t>2-1/4 inches</w:t>
      </w:r>
      <w:r>
        <w:rPr>
          <w:rStyle w:val="SI"/>
          <w:b/>
        </w:rPr>
        <w:t xml:space="preserve"> (57 mm)</w:t>
      </w:r>
      <w:r>
        <w:rPr>
          <w:b/>
        </w:rPr>
        <w:t xml:space="preserve"> high by </w:t>
      </w:r>
      <w:r>
        <w:rPr>
          <w:rStyle w:val="IP"/>
          <w:b/>
        </w:rPr>
        <w:t>7-5/8 inches</w:t>
      </w:r>
      <w:r>
        <w:rPr>
          <w:rStyle w:val="SI"/>
          <w:b/>
        </w:rPr>
        <w:t xml:space="preserve"> (194 mm)</w:t>
      </w:r>
      <w:r>
        <w:rPr>
          <w:b/>
        </w:rPr>
        <w:t xml:space="preserve"> long</w:t>
      </w:r>
      <w:r>
        <w:rPr/>
        <w:t>] [</w:t>
      </w:r>
      <w:r>
        <w:rPr>
          <w:rStyle w:val="IP"/>
          <w:b/>
        </w:rPr>
        <w:t>2-1/4 inches</w:t>
      </w:r>
      <w:r>
        <w:rPr>
          <w:rStyle w:val="SI"/>
          <w:b/>
        </w:rPr>
        <w:t xml:space="preserve"> (57 mm)</w:t>
      </w:r>
      <w:r>
        <w:rPr>
          <w:b/>
        </w:rPr>
        <w:t xml:space="preserve"> high by </w:t>
      </w:r>
      <w:r>
        <w:rPr>
          <w:rStyle w:val="IP"/>
          <w:b/>
        </w:rPr>
        <w:t>11-5/8 inches</w:t>
      </w:r>
      <w:r>
        <w:rPr>
          <w:rStyle w:val="SI"/>
          <w:b/>
        </w:rPr>
        <w:t xml:space="preserve"> (295 mm)</w:t>
      </w:r>
      <w:r>
        <w:rPr>
          <w:b/>
        </w:rPr>
        <w:t xml:space="preserve"> long</w:t>
      </w:r>
      <w:r>
        <w:rPr/>
        <w:t>] [</w:t>
      </w:r>
      <w:r>
        <w:rPr>
          <w:rStyle w:val="IP"/>
          <w:b/>
        </w:rPr>
        <w:t>3-5/8 inches</w:t>
      </w:r>
      <w:r>
        <w:rPr>
          <w:rStyle w:val="SI"/>
          <w:b/>
        </w:rPr>
        <w:t xml:space="preserve"> (92 mm)</w:t>
      </w:r>
      <w:r>
        <w:rPr>
          <w:b/>
        </w:rPr>
        <w:t xml:space="preserve"> high by </w:t>
      </w:r>
      <w:r>
        <w:rPr>
          <w:rStyle w:val="IP"/>
          <w:b/>
        </w:rPr>
        <w:t>7-5/8 inches</w:t>
      </w:r>
      <w:r>
        <w:rPr>
          <w:rStyle w:val="SI"/>
          <w:b/>
        </w:rPr>
        <w:t xml:space="preserve"> (194 mm)</w:t>
      </w:r>
      <w:r>
        <w:rPr>
          <w:b/>
        </w:rPr>
        <w:t xml:space="preserve"> long</w:t>
      </w:r>
      <w:r>
        <w:rPr/>
        <w:t>] [</w:t>
      </w:r>
      <w:r>
        <w:rPr>
          <w:rStyle w:val="IP"/>
          <w:b/>
        </w:rPr>
        <w:t>3-5/8 inches</w:t>
      </w:r>
      <w:r>
        <w:rPr>
          <w:rStyle w:val="SI"/>
          <w:b/>
        </w:rPr>
        <w:t xml:space="preserve"> (92 mm)</w:t>
      </w:r>
      <w:r>
        <w:rPr>
          <w:b/>
        </w:rPr>
        <w:t xml:space="preserve"> high by </w:t>
      </w:r>
      <w:r>
        <w:rPr>
          <w:rStyle w:val="IP"/>
          <w:b/>
        </w:rPr>
        <w:t>11-5/8 inches</w:t>
      </w:r>
      <w:r>
        <w:rPr>
          <w:rStyle w:val="SI"/>
          <w:b/>
        </w:rPr>
        <w:t xml:space="preserve"> (295 mm)</w:t>
      </w:r>
      <w:r>
        <w:rPr>
          <w:b/>
        </w:rPr>
        <w:t xml:space="preserve"> long</w:t>
      </w:r>
      <w:r>
        <w:rPr/>
        <w:t>] &lt;</w:t>
      </w:r>
      <w:r>
        <w:rPr>
          <w:b/>
        </w:rPr>
        <w:t>Insert dimensions</w:t>
      </w:r>
      <w:r>
        <w:rPr/>
        <w:t>&gt;.</w:t>
      </w:r>
    </w:p>
    <w:p>
      <w:pPr>
        <w:pStyle w:val="PR2"/>
        <w:numPr>
          <w:ilvl w:val="5"/>
          <w:numId w:val="1"/>
        </w:numPr>
        <w:rPr/>
      </w:pPr>
      <w:r>
        <w:rPr/>
        <w:t>Special Shapes: Include corners, edge corners, and end edge corners.</w:t>
      </w:r>
    </w:p>
    <w:p>
      <w:pPr>
        <w:pStyle w:val="PR2"/>
        <w:numPr>
          <w:ilvl w:val="5"/>
          <w:numId w:val="1"/>
        </w:numPr>
        <w:rPr/>
      </w:pPr>
      <w:r>
        <w:rPr/>
        <w:t>[</w:t>
      </w:r>
      <w:r>
        <w:rPr>
          <w:b/>
        </w:rPr>
        <w:t>Where indicated to "match existing," </w:t>
      </w:r>
      <w:r>
        <w:rPr/>
        <w:t>]provide thin brick matching color, texture, and face size of existing adjacent brick work.</w:t>
      </w:r>
    </w:p>
    <w:p>
      <w:pPr>
        <w:pStyle w:val="PR3"/>
        <w:numPr>
          <w:ilvl w:val="6"/>
          <w:numId w:val="1"/>
        </w:numPr>
        <w:spacing w:before="240" w:after="0"/>
        <w:rPr/>
      </w:pPr>
      <w:r>
        <w:rPr/>
        <w:t>&lt;</w:t>
      </w:r>
      <w:r>
        <w:rPr>
          <w:b/>
        </w:rPr>
        <w:t>Insert information on existing brick if known</w:t>
      </w:r>
      <w:r>
        <w:rPr/>
        <w:t>&gt;.</w:t>
      </w:r>
    </w:p>
    <w:p>
      <w:pPr>
        <w:pStyle w:val="CMT"/>
        <w:rPr/>
      </w:pPr>
      <w:r>
        <w:rPr/>
        <w:t>Delete "Face Color and Texture" Subparagraph below if thin brick is specified above by product name.</w:t>
      </w:r>
    </w:p>
    <w:p>
      <w:pPr>
        <w:pStyle w:val="PR2"/>
        <w:numPr>
          <w:ilvl w:val="5"/>
          <w:numId w:val="1"/>
        </w:numPr>
        <w:spacing w:before="240" w:after="0"/>
        <w:rPr/>
      </w:pPr>
      <w:r>
        <w:rPr/>
        <w:t>Face Color and Texture: [</w:t>
      </w:r>
      <w:r>
        <w:rPr>
          <w:b/>
        </w:rPr>
        <w:t>Match Architect's samples</w:t>
      </w:r>
      <w:r>
        <w:rPr/>
        <w:t>] [</w:t>
      </w:r>
      <w:r>
        <w:rPr>
          <w:b/>
        </w:rPr>
        <w:t>Match color, texture, and face size of adjacent existing brick</w:t>
      </w:r>
      <w:r>
        <w:rPr/>
        <w:t>] &lt;</w:t>
      </w:r>
      <w:r>
        <w:rPr>
          <w:b/>
        </w:rPr>
        <w:t>Insert color, texture</w:t>
      </w:r>
      <w:r>
        <w:rPr/>
        <w:t>&gt;.</w:t>
      </w:r>
    </w:p>
    <w:p>
      <w:pPr>
        <w:pStyle w:val="PR1"/>
        <w:numPr>
          <w:ilvl w:val="4"/>
          <w:numId w:val="1"/>
        </w:numPr>
        <w:rPr/>
      </w:pPr>
      <w:hyperlink r:id="rId14">
        <w:r>
          <w:rPr>
            <w:rStyle w:val="Hyperlink"/>
          </w:rPr>
          <w:t>&lt;Double click to insert sustainable design text for brick.&gt;</w:t>
        </w:r>
      </w:hyperlink>
    </w:p>
    <w:p>
      <w:pPr>
        <w:pStyle w:val="PR1"/>
        <w:numPr>
          <w:ilvl w:val="4"/>
          <w:numId w:val="1"/>
        </w:numPr>
        <w:rPr/>
      </w:pPr>
      <w:r>
        <w:rPr/>
        <w:t xml:space="preserve">Architectural Terra Cotta: Not less than </w:t>
      </w:r>
      <w:r>
        <w:rPr>
          <w:rStyle w:val="IP"/>
        </w:rPr>
        <w:t>3/4 inch</w:t>
      </w:r>
      <w:r>
        <w:rPr>
          <w:rStyle w:val="SI"/>
        </w:rPr>
        <w:t xml:space="preserve"> (19 mm)</w:t>
      </w:r>
      <w:r>
        <w:rPr/>
        <w:t xml:space="preserve"> or more than </w:t>
      </w:r>
      <w:r>
        <w:rPr>
          <w:rStyle w:val="IP"/>
        </w:rPr>
        <w:t>1-1/2 inch</w:t>
      </w:r>
      <w:r>
        <w:rPr>
          <w:rStyle w:val="SI"/>
        </w:rPr>
        <w:t xml:space="preserve"> (38 mm)</w:t>
      </w:r>
      <w:r>
        <w:rPr/>
        <w:t xml:space="preserve"> thick, and as follows: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Dimensional Tolerances:</w:t>
      </w:r>
    </w:p>
    <w:p>
      <w:pPr>
        <w:pStyle w:val="PR3"/>
        <w:numPr>
          <w:ilvl w:val="6"/>
          <w:numId w:val="1"/>
        </w:numPr>
        <w:spacing w:before="240" w:after="0"/>
        <w:rPr/>
      </w:pPr>
      <w:r>
        <w:rPr/>
        <w:t xml:space="preserve">Height: Plus or minus </w:t>
      </w:r>
      <w:r>
        <w:rPr>
          <w:rStyle w:val="IP"/>
        </w:rPr>
        <w:t>1/16 inch</w:t>
      </w:r>
      <w:r>
        <w:rPr>
          <w:rStyle w:val="SI"/>
        </w:rPr>
        <w:t xml:space="preserve"> (1.6 mm)</w:t>
      </w:r>
      <w:r>
        <w:rPr/>
        <w:t xml:space="preserve"> up to </w:t>
      </w:r>
      <w:r>
        <w:rPr>
          <w:rStyle w:val="IP"/>
        </w:rPr>
        <w:t>10 inches</w:t>
      </w:r>
      <w:r>
        <w:rPr>
          <w:rStyle w:val="SI"/>
        </w:rPr>
        <w:t xml:space="preserve"> (250 mm)</w:t>
      </w:r>
      <w:r>
        <w:rPr/>
        <w:t xml:space="preserve">; </w:t>
      </w:r>
      <w:r>
        <w:rPr>
          <w:rStyle w:val="IP"/>
        </w:rPr>
        <w:t>3/32 inch</w:t>
      </w:r>
      <w:r>
        <w:rPr>
          <w:rStyle w:val="SI"/>
        </w:rPr>
        <w:t xml:space="preserve"> (2.4 mm)</w:t>
      </w:r>
      <w:r>
        <w:rPr/>
        <w:t xml:space="preserve"> up to </w:t>
      </w:r>
      <w:r>
        <w:rPr>
          <w:rStyle w:val="IP"/>
        </w:rPr>
        <w:t>15 inches</w:t>
      </w:r>
      <w:r>
        <w:rPr>
          <w:rStyle w:val="SI"/>
        </w:rPr>
        <w:t xml:space="preserve"> (380 mm)</w:t>
      </w:r>
      <w:r>
        <w:rPr/>
        <w:t xml:space="preserve">; </w:t>
      </w:r>
      <w:r>
        <w:rPr>
          <w:rStyle w:val="IP"/>
        </w:rPr>
        <w:t>1/8 inch</w:t>
      </w:r>
      <w:r>
        <w:rPr>
          <w:rStyle w:val="SI"/>
        </w:rPr>
        <w:t xml:space="preserve"> (3 mm)</w:t>
      </w:r>
      <w:r>
        <w:rPr/>
        <w:t xml:space="preserve"> up to </w:t>
      </w:r>
      <w:r>
        <w:rPr>
          <w:rStyle w:val="IP"/>
        </w:rPr>
        <w:t>20 inches</w:t>
      </w:r>
      <w:r>
        <w:rPr>
          <w:rStyle w:val="SI"/>
        </w:rPr>
        <w:t xml:space="preserve"> (500 mm)</w:t>
      </w:r>
      <w:r>
        <w:rPr/>
        <w:t xml:space="preserve">; </w:t>
      </w:r>
      <w:r>
        <w:rPr>
          <w:rStyle w:val="IP"/>
        </w:rPr>
        <w:t>5/32 inch</w:t>
      </w:r>
      <w:r>
        <w:rPr>
          <w:rStyle w:val="SI"/>
        </w:rPr>
        <w:t xml:space="preserve"> (4 mm)</w:t>
      </w:r>
      <w:r>
        <w:rPr/>
        <w:t xml:space="preserve"> up to </w:t>
      </w:r>
      <w:r>
        <w:rPr>
          <w:rStyle w:val="IP"/>
        </w:rPr>
        <w:t>24 inches</w:t>
      </w:r>
      <w:r>
        <w:rPr>
          <w:rStyle w:val="SI"/>
        </w:rPr>
        <w:t xml:space="preserve"> (600 mm)</w:t>
      </w:r>
      <w:r>
        <w:rPr/>
        <w:t>.</w:t>
      </w:r>
    </w:p>
    <w:p>
      <w:pPr>
        <w:pStyle w:val="PR3"/>
        <w:numPr>
          <w:ilvl w:val="6"/>
          <w:numId w:val="1"/>
        </w:numPr>
        <w:rPr/>
      </w:pPr>
      <w:r>
        <w:rPr/>
        <w:t xml:space="preserve">Thickness: Plus or minus </w:t>
      </w:r>
      <w:r>
        <w:rPr>
          <w:rStyle w:val="IP"/>
        </w:rPr>
        <w:t>1/16 inch</w:t>
      </w:r>
      <w:r>
        <w:rPr>
          <w:rStyle w:val="SI"/>
        </w:rPr>
        <w:t xml:space="preserve"> (1.6 mm)</w:t>
      </w:r>
      <w:r>
        <w:rPr/>
        <w:t>.</w:t>
      </w:r>
    </w:p>
    <w:p>
      <w:pPr>
        <w:pStyle w:val="PR3"/>
        <w:numPr>
          <w:ilvl w:val="6"/>
          <w:numId w:val="1"/>
        </w:numPr>
        <w:rPr/>
      </w:pPr>
      <w:r>
        <w:rPr/>
        <w:t xml:space="preserve">Width: Plus or minus </w:t>
      </w:r>
      <w:r>
        <w:rPr>
          <w:rStyle w:val="IP"/>
        </w:rPr>
        <w:t>0.039 inch</w:t>
      </w:r>
      <w:r>
        <w:rPr>
          <w:rStyle w:val="SI"/>
        </w:rPr>
        <w:t xml:space="preserve"> (1 mm)</w:t>
      </w:r>
      <w:r>
        <w:rPr/>
        <w:t xml:space="preserve"> for lengths up to </w:t>
      </w:r>
      <w:r>
        <w:rPr>
          <w:rStyle w:val="IP"/>
        </w:rPr>
        <w:t>60 inches</w:t>
      </w:r>
      <w:r>
        <w:rPr>
          <w:rStyle w:val="SI"/>
        </w:rPr>
        <w:t xml:space="preserve"> (1524 mm)</w:t>
      </w:r>
      <w:r>
        <w:rPr/>
        <w:t>.</w:t>
      </w:r>
    </w:p>
    <w:p>
      <w:pPr>
        <w:pStyle w:val="PR2"/>
        <w:numPr>
          <w:ilvl w:val="5"/>
          <w:numId w:val="1"/>
        </w:numPr>
        <w:spacing w:before="240" w:after="0"/>
        <w:rPr/>
      </w:pPr>
      <w:r>
        <w:rPr/>
        <w:t xml:space="preserve">Out-of-Square Tolerance: Plus or minus </w:t>
      </w:r>
      <w:r>
        <w:rPr>
          <w:rStyle w:val="IP"/>
        </w:rPr>
        <w:t>1/16 inch</w:t>
      </w:r>
      <w:r>
        <w:rPr>
          <w:rStyle w:val="SI"/>
        </w:rPr>
        <w:t xml:space="preserve"> (1.6 mm)</w:t>
      </w:r>
      <w:r>
        <w:rPr/>
        <w:t>.</w:t>
      </w:r>
    </w:p>
    <w:p>
      <w:pPr>
        <w:pStyle w:val="PR2"/>
        <w:numPr>
          <w:ilvl w:val="5"/>
          <w:numId w:val="1"/>
        </w:numPr>
        <w:rPr/>
      </w:pPr>
      <w:r>
        <w:rPr/>
        <w:t>Warpage Tolerance:</w:t>
      </w:r>
    </w:p>
    <w:p>
      <w:pPr>
        <w:pStyle w:val="PR3"/>
        <w:numPr>
          <w:ilvl w:val="6"/>
          <w:numId w:val="1"/>
        </w:numPr>
        <w:spacing w:before="240" w:after="0"/>
        <w:rPr/>
      </w:pPr>
      <w:r>
        <w:rPr/>
        <w:t>Straightness (Sweep): Plus or minus 0.25 percent of length.</w:t>
      </w:r>
    </w:p>
    <w:p>
      <w:pPr>
        <w:pStyle w:val="PR3"/>
        <w:numPr>
          <w:ilvl w:val="6"/>
          <w:numId w:val="1"/>
        </w:numPr>
        <w:rPr/>
      </w:pPr>
      <w:r>
        <w:rPr/>
        <w:t>Diagonal Flatness: Plus or minus 0.25 percent of diagonal.</w:t>
      </w:r>
    </w:p>
    <w:p>
      <w:pPr>
        <w:pStyle w:val="PR3"/>
        <w:numPr>
          <w:ilvl w:val="6"/>
          <w:numId w:val="1"/>
        </w:numPr>
        <w:rPr/>
      </w:pPr>
      <w:r>
        <w:rPr/>
        <w:t>Vertical Flatness: Plus or minus one percent of height.</w:t>
      </w:r>
    </w:p>
    <w:p>
      <w:pPr>
        <w:pStyle w:val="PR2"/>
        <w:numPr>
          <w:ilvl w:val="5"/>
          <w:numId w:val="1"/>
        </w:numPr>
        <w:spacing w:before="240" w:after="0"/>
        <w:rPr/>
      </w:pPr>
      <w:r>
        <w:rPr/>
        <w:t>Variation of Shape from Specified Angle: Plus or minus one degree.</w:t>
      </w:r>
    </w:p>
    <w:p>
      <w:pPr>
        <w:pStyle w:val="PR2"/>
        <w:numPr>
          <w:ilvl w:val="5"/>
          <w:numId w:val="1"/>
        </w:numPr>
        <w:rPr/>
      </w:pPr>
      <w:r>
        <w:rPr/>
        <w:t xml:space="preserve">Modulus of Rupture: Not less than </w:t>
      </w:r>
      <w:r>
        <w:rPr>
          <w:rStyle w:val="IP"/>
        </w:rPr>
        <w:t>1400 psi</w:t>
      </w:r>
      <w:r>
        <w:rPr>
          <w:rStyle w:val="SI"/>
        </w:rPr>
        <w:t xml:space="preserve"> (9.7 MPa)</w:t>
      </w:r>
      <w:r>
        <w:rPr/>
        <w:t xml:space="preserve"> when tested in accordance with ASTM C67/C67M.</w:t>
      </w:r>
    </w:p>
    <w:p>
      <w:pPr>
        <w:pStyle w:val="PR2"/>
        <w:numPr>
          <w:ilvl w:val="5"/>
          <w:numId w:val="1"/>
        </w:numPr>
        <w:rPr/>
      </w:pPr>
      <w:r>
        <w:rPr/>
        <w:t xml:space="preserve">Compressive strength: Not less than </w:t>
      </w:r>
      <w:r>
        <w:rPr>
          <w:rStyle w:val="IP"/>
        </w:rPr>
        <w:t>6000 psi</w:t>
      </w:r>
      <w:r>
        <w:rPr>
          <w:rStyle w:val="SI"/>
        </w:rPr>
        <w:t xml:space="preserve"> (41.4 MPa)</w:t>
      </w:r>
      <w:r>
        <w:rPr/>
        <w:t xml:space="preserve"> when tested in accordance with ASTM C67/C67M.</w:t>
      </w:r>
    </w:p>
    <w:p>
      <w:pPr>
        <w:pStyle w:val="PR2"/>
        <w:numPr>
          <w:ilvl w:val="5"/>
          <w:numId w:val="1"/>
        </w:numPr>
        <w:rPr/>
      </w:pPr>
      <w:r>
        <w:rPr/>
        <w:t xml:space="preserve">Tensile Bond Strength: Not less than </w:t>
      </w:r>
      <w:r>
        <w:rPr>
          <w:rStyle w:val="IP"/>
        </w:rPr>
        <w:t>150 psi</w:t>
      </w:r>
      <w:r>
        <w:rPr>
          <w:rStyle w:val="SI"/>
        </w:rPr>
        <w:t xml:space="preserve"> (1.0 MPa)</w:t>
      </w:r>
      <w:r>
        <w:rPr/>
        <w:t xml:space="preserve"> when tested before and after freeze-thaw test in accordance with ASTM E488/E488M as modified: Adhere a steel plate with a welded rod on a single terra cotta unit face with epoxy for each test.</w:t>
      </w:r>
    </w:p>
    <w:p>
      <w:pPr>
        <w:pStyle w:val="PR2"/>
        <w:numPr>
          <w:ilvl w:val="5"/>
          <w:numId w:val="1"/>
        </w:numPr>
        <w:rPr/>
      </w:pPr>
      <w:r>
        <w:rPr/>
        <w:t>24-Hour Cold-Water Absorption: Not more than 7.5 percent when tested in accordance with ASTM C67/C67M.</w:t>
      </w:r>
    </w:p>
    <w:p>
      <w:pPr>
        <w:pStyle w:val="PR2"/>
        <w:numPr>
          <w:ilvl w:val="5"/>
          <w:numId w:val="1"/>
        </w:numPr>
        <w:rPr/>
      </w:pPr>
      <w:r>
        <w:rPr/>
        <w:t>Freeze-Thaw Resistance: No detectable disintegration or separation after 300 cycles when tested in accordance with ASTM C666/C666M, Method A or B.</w:t>
      </w:r>
    </w:p>
    <w:p>
      <w:pPr>
        <w:pStyle w:val="PR2"/>
        <w:numPr>
          <w:ilvl w:val="5"/>
          <w:numId w:val="1"/>
        </w:numPr>
        <w:rPr/>
      </w:pPr>
      <w:r>
        <w:rPr/>
        <w:t>Chemical Resistance: Tested in accordance with ASTM C126 and rated "not affected."</w:t>
      </w:r>
    </w:p>
    <w:p>
      <w:pPr>
        <w:pStyle w:val="PR2"/>
        <w:numPr>
          <w:ilvl w:val="5"/>
          <w:numId w:val="1"/>
        </w:numPr>
        <w:rPr/>
      </w:pPr>
      <w:r>
        <w:rPr/>
        <w:t>Efflorescence: Tested in accordance with ASTM C67/C67M and rated "not effloresced."</w:t>
      </w:r>
    </w:p>
    <w:p>
      <w:pPr>
        <w:pStyle w:val="PR2"/>
        <w:numPr>
          <w:ilvl w:val="5"/>
          <w:numId w:val="1"/>
        </w:numPr>
        <w:rPr/>
      </w:pPr>
      <w:r>
        <w:rPr/>
        <w:t>Glaze Resistance to Crazing: Tested in accordance with ASTM C126 and rated "not affected."</w:t>
      </w:r>
    </w:p>
    <w:p>
      <w:pPr>
        <w:pStyle w:val="PR2"/>
        <w:numPr>
          <w:ilvl w:val="5"/>
          <w:numId w:val="1"/>
        </w:numPr>
        <w:rPr/>
      </w:pPr>
      <w:r>
        <w:rPr/>
        <w:t>Back Surface Texture: Dovetailed.</w:t>
      </w:r>
    </w:p>
    <w:p>
      <w:pPr>
        <w:pStyle w:val="PR2"/>
        <w:numPr>
          <w:ilvl w:val="5"/>
          <w:numId w:val="1"/>
        </w:numPr>
        <w:rPr/>
      </w:pPr>
      <w:r>
        <w:rPr/>
        <w:t>Special Shapes: Include corners, edge corners, and end edge corners.</w:t>
      </w:r>
    </w:p>
    <w:p>
      <w:pPr>
        <w:pStyle w:val="PR2"/>
        <w:numPr>
          <w:ilvl w:val="5"/>
          <w:numId w:val="1"/>
        </w:numPr>
        <w:rPr/>
      </w:pPr>
      <w:r>
        <w:rPr/>
        <w:t>[</w:t>
      </w:r>
      <w:r>
        <w:rPr>
          <w:b/>
        </w:rPr>
        <w:t>Where indicated to "match existing," </w:t>
      </w:r>
      <w:r>
        <w:rPr/>
        <w:t>]provide terra cotta matching color, texture, and face size of existing adjacent brick work.</w:t>
      </w:r>
    </w:p>
    <w:p>
      <w:pPr>
        <w:pStyle w:val="PR3"/>
        <w:numPr>
          <w:ilvl w:val="6"/>
          <w:numId w:val="1"/>
        </w:numPr>
        <w:spacing w:before="240" w:after="0"/>
        <w:rPr/>
      </w:pPr>
      <w:r>
        <w:rPr/>
        <w:t>&lt;</w:t>
      </w:r>
      <w:r>
        <w:rPr>
          <w:b/>
        </w:rPr>
        <w:t>Insert information on existing terra cotta if known</w:t>
      </w:r>
      <w:r>
        <w:rPr/>
        <w:t>&gt;.</w:t>
      </w:r>
    </w:p>
    <w:p>
      <w:pPr>
        <w:pStyle w:val="CMT"/>
        <w:rPr/>
      </w:pPr>
      <w:r>
        <w:rPr/>
        <w:t>Delete "Face Color and Texture" Subparagraph below if terra cotta is specified above by product name.</w:t>
      </w:r>
    </w:p>
    <w:p>
      <w:pPr>
        <w:pStyle w:val="PR2"/>
        <w:numPr>
          <w:ilvl w:val="5"/>
          <w:numId w:val="1"/>
        </w:numPr>
        <w:spacing w:before="240" w:after="0"/>
        <w:rPr/>
      </w:pPr>
      <w:r>
        <w:rPr/>
        <w:t>Face Color and Texture: [</w:t>
      </w:r>
      <w:r>
        <w:rPr>
          <w:b/>
        </w:rPr>
        <w:t>Match Architect's samples</w:t>
      </w:r>
      <w:r>
        <w:rPr/>
        <w:t>] [</w:t>
      </w:r>
      <w:r>
        <w:rPr>
          <w:b/>
        </w:rPr>
        <w:t>Match color, texture, and face size of adjacent existing terra cotta</w:t>
      </w:r>
      <w:r>
        <w:rPr/>
        <w:t>] &lt;</w:t>
      </w:r>
      <w:r>
        <w:rPr>
          <w:b/>
        </w:rPr>
        <w:t>Insert color, texture</w:t>
      </w:r>
      <w:r>
        <w:rPr/>
        <w:t>&gt;.</w:t>
      </w:r>
    </w:p>
    <w:p>
      <w:pPr>
        <w:pStyle w:val="CMT"/>
        <w:rPr/>
      </w:pPr>
      <w:r>
        <w:rPr/>
        <w:t>Retain "Sand-Cement Mortar" Paragraph below if filling thin-brick joints with mortar before placing precast concrete mix.</w:t>
      </w:r>
    </w:p>
    <w:p>
      <w:pPr>
        <w:pStyle w:val="PR1"/>
        <w:numPr>
          <w:ilvl w:val="4"/>
          <w:numId w:val="1"/>
        </w:numPr>
        <w:rPr/>
      </w:pPr>
      <w:r>
        <w:rPr/>
        <w:t>Sand-Cement Mortar: Portland cement, ASTM C150/C150M, Type I, and clean, natural sand, ASTM C144. Mix at ratio of 1 part cement to 4 parts sand, by volume, with minimum water required for placement.</w:t>
      </w:r>
    </w:p>
    <w:p>
      <w:pPr>
        <w:pStyle w:val="CMT"/>
        <w:rPr/>
      </w:pPr>
      <w:r>
        <w:rPr/>
        <w:t>Retain "Pointing Grout" Paragraph below if filling thin-brick joints with pointing grout after precast concrete panel production.</w:t>
      </w:r>
    </w:p>
    <w:p>
      <w:pPr>
        <w:pStyle w:val="PR1"/>
        <w:numPr>
          <w:ilvl w:val="4"/>
          <w:numId w:val="1"/>
        </w:numPr>
        <w:rPr/>
      </w:pPr>
      <w:r>
        <w:rPr/>
        <w:t>Pointing Grout: Packaged, polymer-modified, sanded grout complying with ANSI A118.7.</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Polymer Type: Acrylic resin in [</w:t>
      </w:r>
      <w:r>
        <w:rPr>
          <w:b/>
        </w:rPr>
        <w:t>dry, redispersible form, packaged with other dry ingredients</w:t>
      </w:r>
      <w:r>
        <w:rPr/>
        <w:t>] [</w:t>
      </w:r>
      <w:r>
        <w:rPr>
          <w:b/>
        </w:rPr>
        <w:t>liquid-latex form for adding packaged dry-grout mix</w:t>
      </w:r>
      <w:r>
        <w:rPr/>
        <w:t>].</w:t>
      </w:r>
    </w:p>
    <w:p>
      <w:pPr>
        <w:pStyle w:val="PR2"/>
        <w:numPr>
          <w:ilvl w:val="5"/>
          <w:numId w:val="1"/>
        </w:numPr>
        <w:rPr/>
      </w:pPr>
      <w:r>
        <w:rPr/>
        <w:t>Colors: [</w:t>
      </w:r>
      <w:r>
        <w:rPr>
          <w:b/>
        </w:rPr>
        <w:t>As indicated by manufacturer's designations</w:t>
      </w:r>
      <w:r>
        <w:rPr/>
        <w:t>] [</w:t>
      </w:r>
      <w:r>
        <w:rPr>
          <w:b/>
        </w:rPr>
        <w:t>Match Architect's samples</w:t>
      </w:r>
      <w:r>
        <w:rPr/>
        <w:t>] [</w:t>
      </w:r>
      <w:r>
        <w:rPr>
          <w:b/>
        </w:rPr>
        <w:t>As selected by Architect from manufacturer's full range</w:t>
      </w:r>
      <w:r>
        <w:rPr/>
        <w:t>].</w:t>
      </w:r>
    </w:p>
    <w:p>
      <w:pPr>
        <w:pStyle w:val="ART"/>
        <w:numPr>
          <w:ilvl w:val="3"/>
          <w:numId w:val="1"/>
        </w:numPr>
        <w:ind w:hanging="0" w:left="0"/>
        <w:rPr/>
      </w:pPr>
      <w:r>
        <w:rPr/>
        <w:t>STONE FACING MATERIALS</w:t>
      </w:r>
    </w:p>
    <w:p>
      <w:pPr>
        <w:pStyle w:val="CMT"/>
        <w:rPr/>
      </w:pPr>
      <w:r>
        <w:rPr/>
        <w:t>Retain this article if stone facing is required. Performance criteria, preconstruction material testing, material quality, fabrication, and finish requirements are usually specified in Section 044200 "Exterior Stone Cladding." Replace first paragraph below with stone requirements if preferred.</w:t>
      </w:r>
    </w:p>
    <w:p>
      <w:pPr>
        <w:pStyle w:val="PR1"/>
        <w:numPr>
          <w:ilvl w:val="4"/>
          <w:numId w:val="1"/>
        </w:numPr>
        <w:rPr/>
      </w:pPr>
      <w:r>
        <w:rPr/>
        <w:t>Stone facing for architectural precast concrete is specified in Section 044200 "Exterior Stone Cladding."</w:t>
      </w:r>
    </w:p>
    <w:p>
      <w:pPr>
        <w:pStyle w:val="CMT"/>
        <w:rPr/>
      </w:pPr>
      <w:r>
        <w:rPr/>
        <w:t>Anchors are generally supplied by stone fabricator or, in some cases, by precast fabricator. Specify supplier. Anchors may be toe in, toe out, or dowels.</w:t>
      </w:r>
    </w:p>
    <w:p>
      <w:pPr>
        <w:pStyle w:val="PR1"/>
        <w:numPr>
          <w:ilvl w:val="4"/>
          <w:numId w:val="1"/>
        </w:numPr>
        <w:rPr/>
      </w:pPr>
      <w:r>
        <w:rPr/>
        <w:t>Anchors: Stainless steel, ASTM A276/A276M, Type 304 or Type 316, of temper and diameter required to support loads without exceeding allowable design stresses.</w:t>
      </w:r>
    </w:p>
    <w:p>
      <w:pPr>
        <w:pStyle w:val="CMT"/>
        <w:rPr/>
      </w:pPr>
      <w:r>
        <w:rPr/>
        <w:t>Grommets are usually required if filling dowel holes with rigid epoxy.</w:t>
      </w:r>
    </w:p>
    <w:p>
      <w:pPr>
        <w:pStyle w:val="PR2"/>
        <w:numPr>
          <w:ilvl w:val="5"/>
          <w:numId w:val="1"/>
        </w:numPr>
        <w:spacing w:before="240" w:after="0"/>
        <w:rPr/>
      </w:pPr>
      <w:r>
        <w:rPr/>
        <w:t>Fit each anchor leg with neoprene grommet collar of width at least twice the diameter and of length at least 5 times the diameter of anchor.</w:t>
      </w:r>
    </w:p>
    <w:p>
      <w:pPr>
        <w:pStyle w:val="CMT"/>
        <w:rPr/>
      </w:pPr>
      <w:r>
        <w:rPr/>
        <w:t>Anchor hole filling is used to prevent water intrusion into stone and future discoloration at anchor locations. Retain "Silicone Sealant Filler" or "Urethane Sealant Filler" Paragraph below for flexible filler.</w:t>
      </w:r>
    </w:p>
    <w:p>
      <w:pPr>
        <w:pStyle w:val="CMT"/>
        <w:rPr/>
      </w:pPr>
      <w:r>
        <w:rPr/>
        <w:t>Verify suitability of sealant in "Silicone Sealant Filler" Paragraph below before retaining. Silicone sealants often stain porous, light-colored stone.</w:t>
      </w:r>
    </w:p>
    <w:p>
      <w:pPr>
        <w:pStyle w:val="PR1"/>
        <w:numPr>
          <w:ilvl w:val="4"/>
          <w:numId w:val="1"/>
        </w:numPr>
        <w:rPr/>
      </w:pPr>
      <w:r>
        <w:rPr/>
        <w:t>Silicone Sealant Filler: Single-component, nonsag, neutral-curing, silicone sealant; Class 25, Use NT (nontraffic), and Use M (masonry) that complies with applicable requirements in Section 079200 "Joint Sealants" and that does not stain stone: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Urethane Sealant Filler: Single-component, nonsag, urethane sealant; Class 25, Use T (traffic), and Use M (masonry) that complies with applicable requirements in Section 079200 "Joint Sealants" and that does not stain stone:</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Epoxy Filler: ASTM C881/C881M, 100 percent solids, sand-filled nonshrinking, nonstaining of type, class, and grade to suit application.</w:t>
      </w:r>
    </w:p>
    <w:p>
      <w:pPr>
        <w:pStyle w:val="PR2"/>
        <w:numPr>
          <w:ilvl w:val="5"/>
          <w:numId w:val="1"/>
        </w:numPr>
        <w:spacing w:before="240" w:after="0"/>
        <w:rPr/>
      </w:pPr>
      <w:r>
        <w:rPr/>
        <w:t xml:space="preserve">Elastomeric Anchor Sleeve: </w:t>
      </w:r>
      <w:r>
        <w:rPr>
          <w:rStyle w:val="IP"/>
        </w:rPr>
        <w:t>1/2 inch</w:t>
      </w:r>
      <w:r>
        <w:rPr>
          <w:rStyle w:val="SI"/>
        </w:rPr>
        <w:t xml:space="preserve"> (13 mm)</w:t>
      </w:r>
      <w:r>
        <w:rPr/>
        <w:t xml:space="preserve"> long, Type A durometer hardness of 60, ASTM D2240.</w:t>
      </w:r>
    </w:p>
    <w:p>
      <w:pPr>
        <w:pStyle w:val="PR1"/>
        <w:numPr>
          <w:ilvl w:val="4"/>
          <w:numId w:val="1"/>
        </w:numPr>
        <w:rPr/>
      </w:pPr>
      <w:r>
        <w:rPr/>
        <w:t>Bond Breaker: [</w:t>
      </w:r>
      <w:r>
        <w:rPr>
          <w:b/>
        </w:rPr>
        <w:t xml:space="preserve">Preformed, compressible, resilient, nonstaining, nonwaxing, closed-cell polyethylene foam pad, nonabsorbent to liquid and gas, </w:t>
      </w:r>
      <w:r>
        <w:rPr>
          <w:rStyle w:val="IP"/>
          <w:b/>
        </w:rPr>
        <w:t>1/8 inch</w:t>
      </w:r>
      <w:r>
        <w:rPr>
          <w:rStyle w:val="SI"/>
          <w:b/>
        </w:rPr>
        <w:t xml:space="preserve"> (3 mm)</w:t>
      </w:r>
      <w:r>
        <w:rPr>
          <w:b/>
        </w:rPr>
        <w:t xml:space="preserve"> thick</w:t>
      </w:r>
      <w:r>
        <w:rPr/>
        <w:t>] [</w:t>
      </w:r>
      <w:r>
        <w:rPr>
          <w:b/>
        </w:rPr>
        <w:t xml:space="preserve">Polyethylene sheet, ASTM D4397, </w:t>
      </w:r>
      <w:r>
        <w:rPr>
          <w:rStyle w:val="IP"/>
          <w:b/>
        </w:rPr>
        <w:t>6 to 10 mils</w:t>
      </w:r>
      <w:r>
        <w:rPr>
          <w:rStyle w:val="SI"/>
          <w:b/>
        </w:rPr>
        <w:t xml:space="preserve"> (0.15 to 0.25 mm)</w:t>
      </w:r>
      <w:r>
        <w:rPr>
          <w:b/>
        </w:rPr>
        <w:t xml:space="preserve"> thick</w:t>
      </w:r>
      <w:r>
        <w:rPr/>
        <w:t>].</w:t>
      </w:r>
    </w:p>
    <w:p>
      <w:pPr>
        <w:pStyle w:val="ART"/>
        <w:numPr>
          <w:ilvl w:val="3"/>
          <w:numId w:val="1"/>
        </w:numPr>
        <w:ind w:hanging="0" w:left="0"/>
        <w:rPr/>
      </w:pPr>
      <w:r>
        <w:rPr/>
        <w:t>INSULATED PANEL MATERIALS</w:t>
      </w:r>
    </w:p>
    <w:p>
      <w:pPr>
        <w:pStyle w:val="CMT"/>
        <w:rPr/>
      </w:pPr>
      <w:r>
        <w:rPr/>
        <w:t>Retain this article if insulated, architectural precast concrete panels are required.</w:t>
      </w:r>
    </w:p>
    <w:p>
      <w:pPr>
        <w:pStyle w:val="PR1"/>
        <w:numPr>
          <w:ilvl w:val="4"/>
          <w:numId w:val="1"/>
        </w:numPr>
        <w:rPr/>
      </w:pPr>
      <w:r>
        <w:rPr/>
        <w:t>Provide board insulation with regularly spaced [</w:t>
      </w:r>
      <w:r>
        <w:rPr>
          <w:b/>
        </w:rPr>
        <w:t>holes</w:t>
      </w:r>
      <w:r>
        <w:rPr/>
        <w:t>] [</w:t>
      </w:r>
      <w:r>
        <w:rPr>
          <w:b/>
        </w:rPr>
        <w:t>markings</w:t>
      </w:r>
      <w:r>
        <w:rPr/>
        <w:t>] at connector placement locations.</w:t>
      </w:r>
    </w:p>
    <w:p>
      <w:pPr>
        <w:pStyle w:val="CMT"/>
        <w:rPr/>
      </w:pPr>
      <w:r>
        <w:rPr/>
        <w:t>Retain insulation material in "Molded-Polystyrene (EPS) Board Insulation," "Extruded-Polystyrene (XPS) Board Insulation," or "Polyisocyanurate Board Insulation" Paragraph below; if using more than one type of material, indicate location of each on Drawings. Type IV XPS is the industry standard according to PCI; confirm selection with local fabricator.</w:t>
      </w:r>
    </w:p>
    <w:p>
      <w:pPr>
        <w:pStyle w:val="PR1"/>
        <w:numPr>
          <w:ilvl w:val="4"/>
          <w:numId w:val="1"/>
        </w:numPr>
        <w:rPr/>
      </w:pPr>
      <w:r>
        <w:rPr/>
        <w:t>Molded-Polystyrene (EPS) Board Insulation: ASTM C578, [</w:t>
      </w:r>
      <w:r>
        <w:rPr>
          <w:b/>
        </w:rPr>
        <w:t xml:space="preserve">Type XI, </w:t>
      </w:r>
      <w:r>
        <w:rPr>
          <w:rStyle w:val="IP"/>
          <w:b/>
        </w:rPr>
        <w:t>0.70 lb/cu. ft.</w:t>
      </w:r>
      <w:r>
        <w:rPr>
          <w:rStyle w:val="SI"/>
          <w:b/>
        </w:rPr>
        <w:t xml:space="preserve"> (12 kg/cu. m)</w:t>
      </w:r>
      <w:r>
        <w:rPr/>
        <w:t>] [</w:t>
      </w:r>
      <w:r>
        <w:rPr>
          <w:b/>
        </w:rPr>
        <w:t xml:space="preserve">Type I, </w:t>
      </w:r>
      <w:r>
        <w:rPr>
          <w:rStyle w:val="IP"/>
          <w:b/>
        </w:rPr>
        <w:t>0.90 lb/cu. ft.</w:t>
      </w:r>
      <w:r>
        <w:rPr>
          <w:rStyle w:val="SI"/>
          <w:b/>
        </w:rPr>
        <w:t xml:space="preserve"> (15 kg/cu. m)</w:t>
      </w:r>
      <w:r>
        <w:rPr/>
        <w:t>] [</w:t>
      </w:r>
      <w:r>
        <w:rPr>
          <w:b/>
        </w:rPr>
        <w:t xml:space="preserve">Type VIII, </w:t>
      </w:r>
      <w:r>
        <w:rPr>
          <w:rStyle w:val="IP"/>
          <w:b/>
        </w:rPr>
        <w:t>1.15 lb/cu. ft.</w:t>
      </w:r>
      <w:r>
        <w:rPr>
          <w:rStyle w:val="SI"/>
          <w:b/>
        </w:rPr>
        <w:t xml:space="preserve"> (18 kg/cu. m)</w:t>
      </w:r>
      <w:r>
        <w:rPr/>
        <w:t>] [</w:t>
      </w:r>
      <w:r>
        <w:rPr>
          <w:b/>
        </w:rPr>
        <w:t xml:space="preserve">Type II, </w:t>
      </w:r>
      <w:r>
        <w:rPr>
          <w:rStyle w:val="IP"/>
          <w:b/>
        </w:rPr>
        <w:t>1.35 lb/cu. ft.</w:t>
      </w:r>
      <w:r>
        <w:rPr>
          <w:rStyle w:val="SI"/>
          <w:b/>
        </w:rPr>
        <w:t xml:space="preserve"> (22 kg/cu. m)</w:t>
      </w:r>
      <w:r>
        <w:rPr/>
        <w:t>] [</w:t>
      </w:r>
      <w:r>
        <w:rPr>
          <w:b/>
        </w:rPr>
        <w:t xml:space="preserve">Type IX, </w:t>
      </w:r>
      <w:r>
        <w:rPr>
          <w:rStyle w:val="IP"/>
          <w:b/>
        </w:rPr>
        <w:t>1.80 lb/cu. ft.</w:t>
      </w:r>
      <w:r>
        <w:rPr>
          <w:rStyle w:val="SI"/>
          <w:b/>
        </w:rPr>
        <w:t xml:space="preserve"> (29 kg/cu. m)</w:t>
      </w:r>
      <w:r>
        <w:rPr/>
        <w:t>]; [</w:t>
      </w:r>
      <w:r>
        <w:rPr>
          <w:b/>
        </w:rPr>
        <w:t>square</w:t>
      </w:r>
      <w:r>
        <w:rPr/>
        <w:t>] [</w:t>
      </w:r>
      <w:r>
        <w:rPr>
          <w:b/>
        </w:rPr>
        <w:t>ship-lap</w:t>
      </w:r>
      <w:r>
        <w:rPr/>
        <w:t>] edges; with thickness of &lt;</w:t>
      </w:r>
      <w:r>
        <w:rPr>
          <w:b/>
        </w:rPr>
        <w:t>Insert dimension</w:t>
      </w:r>
      <w:r>
        <w:rPr/>
        <w:t>&gt;.</w:t>
      </w:r>
    </w:p>
    <w:p>
      <w:pPr>
        <w:pStyle w:val="PR1"/>
        <w:numPr>
          <w:ilvl w:val="4"/>
          <w:numId w:val="1"/>
        </w:numPr>
        <w:rPr/>
      </w:pPr>
      <w:r>
        <w:rPr/>
        <w:t>Extruded-Polystyrene (XPS) Board Insulation: ASTM C578, [</w:t>
      </w:r>
      <w:r>
        <w:rPr>
          <w:b/>
        </w:rPr>
        <w:t xml:space="preserve">Type X, </w:t>
      </w:r>
      <w:r>
        <w:rPr>
          <w:rStyle w:val="IP"/>
          <w:b/>
        </w:rPr>
        <w:t>1.30 lb/cu. ft.</w:t>
      </w:r>
      <w:r>
        <w:rPr>
          <w:rStyle w:val="SI"/>
          <w:b/>
        </w:rPr>
        <w:t xml:space="preserve"> (21 kg/cu. m)</w:t>
      </w:r>
      <w:r>
        <w:rPr/>
        <w:t>] [</w:t>
      </w:r>
      <w:r>
        <w:rPr>
          <w:b/>
        </w:rPr>
        <w:t xml:space="preserve">Type IV, </w:t>
      </w:r>
      <w:r>
        <w:rPr>
          <w:rStyle w:val="IP"/>
          <w:b/>
        </w:rPr>
        <w:t>1.55 lb/cu. ft.</w:t>
      </w:r>
      <w:r>
        <w:rPr>
          <w:rStyle w:val="SI"/>
          <w:b/>
        </w:rPr>
        <w:t xml:space="preserve"> (25 kg/cu. m)</w:t>
      </w:r>
      <w:r>
        <w:rPr/>
        <w:t>] [</w:t>
      </w:r>
      <w:r>
        <w:rPr>
          <w:b/>
        </w:rPr>
        <w:t xml:space="preserve">Type VI, </w:t>
      </w:r>
      <w:r>
        <w:rPr>
          <w:rStyle w:val="IP"/>
          <w:b/>
        </w:rPr>
        <w:t>1.80 lb/cu. ft.</w:t>
      </w:r>
      <w:r>
        <w:rPr>
          <w:rStyle w:val="SI"/>
          <w:b/>
        </w:rPr>
        <w:t xml:space="preserve"> (29 kg/cu. m)</w:t>
      </w:r>
      <w:r>
        <w:rPr/>
        <w:t>] [</w:t>
      </w:r>
      <w:r>
        <w:rPr>
          <w:b/>
        </w:rPr>
        <w:t xml:space="preserve">Type VII, </w:t>
      </w:r>
      <w:r>
        <w:rPr>
          <w:rStyle w:val="IP"/>
          <w:b/>
        </w:rPr>
        <w:t>2.20 lb/cu. ft.</w:t>
      </w:r>
      <w:r>
        <w:rPr>
          <w:rStyle w:val="SI"/>
          <w:b/>
        </w:rPr>
        <w:t xml:space="preserve"> (35 kg/cu. m)</w:t>
      </w:r>
      <w:r>
        <w:rPr/>
        <w:t>] [</w:t>
      </w:r>
      <w:r>
        <w:rPr>
          <w:b/>
        </w:rPr>
        <w:t xml:space="preserve">Type V, </w:t>
      </w:r>
      <w:r>
        <w:rPr>
          <w:rStyle w:val="IP"/>
          <w:b/>
        </w:rPr>
        <w:t>3.00 lb/cu. ft.</w:t>
      </w:r>
      <w:r>
        <w:rPr>
          <w:rStyle w:val="SI"/>
          <w:b/>
        </w:rPr>
        <w:t xml:space="preserve"> (48 kg/cu. m)</w:t>
      </w:r>
      <w:r>
        <w:rPr/>
        <w:t>]; [</w:t>
      </w:r>
      <w:r>
        <w:rPr>
          <w:b/>
        </w:rPr>
        <w:t>square</w:t>
      </w:r>
      <w:r>
        <w:rPr/>
        <w:t>] [</w:t>
      </w:r>
      <w:r>
        <w:rPr>
          <w:b/>
        </w:rPr>
        <w:t>ship-lap</w:t>
      </w:r>
      <w:r>
        <w:rPr/>
        <w:t>] edges; with thickness of &lt;</w:t>
      </w:r>
      <w:r>
        <w:rPr>
          <w:b/>
        </w:rPr>
        <w:t>Insert dimension</w:t>
      </w:r>
      <w:r>
        <w:rPr/>
        <w:t>&gt;.</w:t>
      </w:r>
    </w:p>
    <w:p>
      <w:pPr>
        <w:pStyle w:val="PR1"/>
        <w:numPr>
          <w:ilvl w:val="4"/>
          <w:numId w:val="1"/>
        </w:numPr>
        <w:rPr/>
      </w:pPr>
      <w:r>
        <w:rPr/>
        <w:t>Polyisocyanurate Board Insulation: ASTM C591, [</w:t>
      </w:r>
      <w:r>
        <w:rPr>
          <w:b/>
        </w:rPr>
        <w:t xml:space="preserve">Type I, </w:t>
      </w:r>
      <w:r>
        <w:rPr>
          <w:rStyle w:val="IP"/>
          <w:b/>
        </w:rPr>
        <w:t>1.8 lb/cu. ft.</w:t>
      </w:r>
      <w:r>
        <w:rPr>
          <w:rStyle w:val="SI"/>
          <w:b/>
        </w:rPr>
        <w:t xml:space="preserve"> (29 kg/cu. m)</w:t>
      </w:r>
      <w:r>
        <w:rPr/>
        <w:t>] [</w:t>
      </w:r>
      <w:r>
        <w:rPr>
          <w:b/>
        </w:rPr>
        <w:t xml:space="preserve">Type II, </w:t>
      </w:r>
      <w:r>
        <w:rPr>
          <w:rStyle w:val="IP"/>
          <w:b/>
        </w:rPr>
        <w:t>2.5 lb/cu. ft.</w:t>
      </w:r>
      <w:r>
        <w:rPr>
          <w:rStyle w:val="SI"/>
          <w:b/>
        </w:rPr>
        <w:t xml:space="preserve"> (40 kg/cu. m)</w:t>
      </w:r>
      <w:r>
        <w:rPr/>
        <w:t>] [</w:t>
      </w:r>
      <w:r>
        <w:rPr>
          <w:b/>
        </w:rPr>
        <w:t xml:space="preserve">Type III, </w:t>
      </w:r>
      <w:r>
        <w:rPr>
          <w:rStyle w:val="IP"/>
          <w:b/>
        </w:rPr>
        <w:t>3.0 lb/cu. ft.</w:t>
      </w:r>
      <w:r>
        <w:rPr>
          <w:rStyle w:val="SI"/>
          <w:b/>
        </w:rPr>
        <w:t xml:space="preserve"> (48 kg/cu. m)</w:t>
      </w:r>
      <w:r>
        <w:rPr/>
        <w:t>] unfaced, with thickness of &lt;</w:t>
      </w:r>
      <w:r>
        <w:rPr>
          <w:b/>
        </w:rPr>
        <w:t>Insert dimension</w:t>
      </w:r>
      <w:r>
        <w:rPr/>
        <w:t>&gt;.</w:t>
      </w:r>
    </w:p>
    <w:p>
      <w:pPr>
        <w:pStyle w:val="CMT"/>
        <w:rPr/>
      </w:pPr>
      <w:r>
        <w:rPr/>
        <w:t>Retain connectors from "Wythe Connectors" Paragraph below.</w:t>
      </w:r>
    </w:p>
    <w:p>
      <w:pPr>
        <w:pStyle w:val="PR1"/>
        <w:numPr>
          <w:ilvl w:val="4"/>
          <w:numId w:val="1"/>
        </w:numPr>
        <w:rPr/>
      </w:pPr>
      <w:r>
        <w:rPr/>
        <w:t>Wythe Connectors: [</w:t>
      </w:r>
      <w:r>
        <w:rPr>
          <w:b/>
        </w:rPr>
        <w:t>Glass-fiber-reinforced vinylester connectors</w:t>
      </w:r>
      <w:r>
        <w:rPr/>
        <w:t>] [</w:t>
      </w:r>
      <w:r>
        <w:rPr>
          <w:b/>
        </w:rPr>
        <w:t>Polypropylene pin connectors</w:t>
      </w:r>
      <w:r>
        <w:rPr/>
        <w:t>] [</w:t>
      </w:r>
      <w:r>
        <w:rPr>
          <w:b/>
        </w:rPr>
        <w:t>Stainless steel pin connectors</w:t>
      </w:r>
      <w:r>
        <w:rPr/>
        <w:t>] [</w:t>
      </w:r>
      <w:r>
        <w:rPr>
          <w:b/>
        </w:rPr>
        <w:t>Bent galvanized reinforcing bars or galvanized welded-wire trusses</w:t>
      </w:r>
      <w:r>
        <w:rPr/>
        <w:t>] [</w:t>
      </w:r>
      <w:r>
        <w:rPr>
          <w:b/>
        </w:rPr>
        <w:t>Epoxy-coated carbon-fiber grid</w:t>
      </w:r>
      <w:r>
        <w:rPr/>
        <w:t>] [</w:t>
      </w:r>
      <w:r>
        <w:rPr>
          <w:b/>
        </w:rPr>
        <w:t>Fiberglass trusses</w:t>
      </w:r>
      <w:r>
        <w:rPr/>
        <w:t>] manufactured to connect wythes of precast concrete panels.</w:t>
      </w:r>
    </w:p>
    <w:p>
      <w:pPr>
        <w:pStyle w:val="ART"/>
        <w:numPr>
          <w:ilvl w:val="3"/>
          <w:numId w:val="1"/>
        </w:numPr>
        <w:ind w:hanging="0" w:left="0"/>
        <w:rPr/>
      </w:pPr>
      <w:r>
        <w:rPr/>
        <w:t>CONCRETE MIXTURES</w:t>
      </w:r>
    </w:p>
    <w:p>
      <w:pPr>
        <w:pStyle w:val="PR1"/>
        <w:numPr>
          <w:ilvl w:val="4"/>
          <w:numId w:val="1"/>
        </w:numPr>
        <w:rPr/>
      </w:pPr>
      <w:r>
        <w:rPr/>
        <w:t>Prepare design mixtures for each type of precast concrete required.</w:t>
      </w:r>
    </w:p>
    <w:p>
      <w:pPr>
        <w:pStyle w:val="PR2"/>
        <w:numPr>
          <w:ilvl w:val="5"/>
          <w:numId w:val="1"/>
        </w:numPr>
        <w:spacing w:before="240" w:after="0"/>
        <w:rPr/>
      </w:pPr>
      <w:r>
        <w:rPr/>
        <w:t>Use a single design mixture for units with more than one major face or edge exposed.</w:t>
      </w:r>
    </w:p>
    <w:p>
      <w:pPr>
        <w:pStyle w:val="PR2"/>
        <w:numPr>
          <w:ilvl w:val="5"/>
          <w:numId w:val="1"/>
        </w:numPr>
        <w:rPr/>
      </w:pPr>
      <w:r>
        <w:rPr/>
        <w:t>Where only one face of unit is exposed, use either a single design mixture or separate mixtures for face and backup.</w:t>
      </w:r>
    </w:p>
    <w:p>
      <w:pPr>
        <w:pStyle w:val="CMT"/>
        <w:rPr/>
      </w:pPr>
      <w:r>
        <w:rPr/>
        <w:t>Retain first paragraph below if fly ash, ground granulated blast-furnace slag, or metakaolin and silica fume are permitted. Revise percentages to suit Project. White silica fume is available.</w:t>
      </w:r>
    </w:p>
    <w:p>
      <w:pPr>
        <w:pStyle w:val="PR1"/>
        <w:numPr>
          <w:ilvl w:val="4"/>
          <w:numId w:val="1"/>
        </w:numPr>
        <w:rPr/>
      </w:pPr>
      <w:r>
        <w:rPr/>
        <w:t>Limit use of fly ash and ground granulated blast-furnace slag to 20 percent of portland cement by weight; limit metakaolin and silica fume to 10 percent of portland cement by weight.</w:t>
      </w:r>
    </w:p>
    <w:p>
      <w:pPr>
        <w:pStyle w:val="PR1"/>
        <w:numPr>
          <w:ilvl w:val="4"/>
          <w:numId w:val="1"/>
        </w:numPr>
        <w:rPr/>
      </w:pPr>
      <w:r>
        <w:rPr/>
        <w:t>Design mixtures may be prepared by a qualified independent testing agency or by qualified precast plant personnel at architectural precast concrete fabricator's option.</w:t>
      </w:r>
    </w:p>
    <w:p>
      <w:pPr>
        <w:pStyle w:val="PR1"/>
        <w:numPr>
          <w:ilvl w:val="4"/>
          <w:numId w:val="1"/>
        </w:numPr>
        <w:rPr/>
      </w:pPr>
      <w:r>
        <w:rPr/>
        <w:t>Limit water-soluble chloride ions to maximum percentage by weight of cement permitted by ACI 318 or PCI MNL 117 when tested in accordance with ASTM C1218/C1218M.</w:t>
      </w:r>
    </w:p>
    <w:p>
      <w:pPr>
        <w:pStyle w:val="CMT"/>
        <w:rPr/>
      </w:pPr>
      <w:r>
        <w:rPr/>
        <w:t>Architectural precast concrete units may be manufactured with a separate architectural face mixture and a structural backup mixture. Face and backup mixtures should have similar shrinkage and expansion coefficients. Similar water-cementitious material ratios and cement-aggregate ratios are recommended by PCI to limit bowing or warping. Retain first option in "Normal-Weight Concrete Mixtures" Paragraph below if lightweight backup concrete mix is required; retain second option if normal-weight face and backup mixtures are required; retain third option if full-depth, normal-weight mixture is required; or retain fourth option if choice of normal-weight face and backup mixtures or full-depth mixtures is fabricator's option.</w:t>
      </w:r>
    </w:p>
    <w:p>
      <w:pPr>
        <w:pStyle w:val="PR1"/>
        <w:numPr>
          <w:ilvl w:val="4"/>
          <w:numId w:val="1"/>
        </w:numPr>
        <w:rPr/>
      </w:pPr>
      <w:r>
        <w:rPr/>
        <w:t>Normal-Weight Concrete Mixtures: Proportion [</w:t>
      </w:r>
      <w:r>
        <w:rPr>
          <w:b/>
        </w:rPr>
        <w:t>face mixtures</w:t>
      </w:r>
      <w:r>
        <w:rPr/>
        <w:t>] [</w:t>
      </w:r>
      <w:r>
        <w:rPr>
          <w:b/>
        </w:rPr>
        <w:t>face and backup mixtures</w:t>
      </w:r>
      <w:r>
        <w:rPr/>
        <w:t>] [</w:t>
      </w:r>
      <w:r>
        <w:rPr>
          <w:b/>
        </w:rPr>
        <w:t>full-depth mixture</w:t>
      </w:r>
      <w:r>
        <w:rPr/>
        <w:t>] [</w:t>
      </w:r>
      <w:r>
        <w:rPr>
          <w:b/>
        </w:rPr>
        <w:t>face and backup mixtures or full-depth mixtures, at fabricator's option</w:t>
      </w:r>
      <w:r>
        <w:rPr/>
        <w:t>] by either laboratory trial batch or field test data methods in accordance with ACI 211.1, with materials to be used on Project, to provide normal-weight concrete with the following properties:</w:t>
      </w:r>
    </w:p>
    <w:p>
      <w:pPr>
        <w:pStyle w:val="CMT"/>
        <w:rPr/>
      </w:pPr>
      <w:r>
        <w:rPr/>
        <w:t>Retain "Compressive Strength (28 Days)" Subparagraph below or revise to suit Project. Higher-strength mixtures may be available; verify availability with fabricators.</w:t>
      </w:r>
    </w:p>
    <w:p>
      <w:pPr>
        <w:pStyle w:val="PR2"/>
        <w:numPr>
          <w:ilvl w:val="5"/>
          <w:numId w:val="1"/>
        </w:numPr>
        <w:spacing w:before="240" w:after="0"/>
        <w:rPr/>
      </w:pPr>
      <w:r>
        <w:rPr/>
        <w:t xml:space="preserve">Compressive Strength (28 Days): </w:t>
      </w:r>
      <w:r>
        <w:rPr>
          <w:rStyle w:val="IP"/>
        </w:rPr>
        <w:t>5000 psi</w:t>
      </w:r>
      <w:r>
        <w:rPr>
          <w:rStyle w:val="SI"/>
        </w:rPr>
        <w:t xml:space="preserve"> (34.5 MPa)</w:t>
      </w:r>
      <w:r>
        <w:rPr/>
        <w:t xml:space="preserve"> minimum.</w:t>
      </w:r>
    </w:p>
    <w:p>
      <w:pPr>
        <w:pStyle w:val="CMT"/>
        <w:rPr/>
      </w:pPr>
      <w:r>
        <w:rPr/>
        <w:t>Water-cementitious material ratio of 0.40 to 0.45 is usual for architectural precast concrete. Lower ratios may be possible with use of high-range water reducers. Revise ratio in "Maximum Water-Cementitious Materials Ratio" Subparagraph below to suit Project.</w:t>
      </w:r>
    </w:p>
    <w:p>
      <w:pPr>
        <w:pStyle w:val="PR2"/>
        <w:numPr>
          <w:ilvl w:val="5"/>
          <w:numId w:val="1"/>
        </w:numPr>
        <w:rPr/>
      </w:pPr>
      <w:r>
        <w:rPr/>
        <w:t>Maximum Water-Cementitious Materials Ratio: 0.45.</w:t>
      </w:r>
    </w:p>
    <w:p>
      <w:pPr>
        <w:pStyle w:val="CMT"/>
        <w:rPr/>
      </w:pPr>
      <w:r>
        <w:rPr/>
        <w:t>Water absorption indicates susceptibility to weather staining. PCI states that limits in "Water Absorption" Paragraph below are suitable for average exposures. Different parts of a single panel cannot be produced with different absorptions. Verify that fabricators can produce units with lower water absorption because special consolidation techniques to increase concrete density are required.</w:t>
      </w:r>
    </w:p>
    <w:p>
      <w:pPr>
        <w:pStyle w:val="PR1"/>
        <w:numPr>
          <w:ilvl w:val="4"/>
          <w:numId w:val="1"/>
        </w:numPr>
        <w:rPr/>
      </w:pPr>
      <w:r>
        <w:rPr/>
        <w:t>Water Absorption: Six percent by weight or 14 percent by volume, tested in accordance with ASTM C642, except for boiling requirement.</w:t>
      </w:r>
    </w:p>
    <w:p>
      <w:pPr>
        <w:pStyle w:val="CMT"/>
        <w:rPr/>
      </w:pPr>
      <w:r>
        <w:rPr/>
        <w:t>Lightweight backup mixtures must be compatible with normal-weight face mixtures to minimize bowing or warping. Retain "Lightweight Concrete Backup Mixtures" Paragraph below if required or as an option if satisfactory durability and in-service performance are verified by fabricator. Coordinate with option retained in "Normal-Weight Concrete Mixtures" Paragraph above.</w:t>
      </w:r>
    </w:p>
    <w:p>
      <w:pPr>
        <w:pStyle w:val="PR1"/>
        <w:numPr>
          <w:ilvl w:val="4"/>
          <w:numId w:val="1"/>
        </w:numPr>
        <w:rPr/>
      </w:pPr>
      <w:r>
        <w:rPr/>
        <w:t>Lightweight Concrete Backup Mixtures: Proportion mixtures by either laboratory trial batch or field test data methods in accordance with ACI 213R, with materials to be used on Project, to provide lightweight concrete with the following properties:</w:t>
      </w:r>
    </w:p>
    <w:p>
      <w:pPr>
        <w:pStyle w:val="CMT"/>
        <w:rPr/>
      </w:pPr>
      <w:r>
        <w:rPr/>
        <w:t>Retain "Compressive Strength (28 Days)" Subparagraph below or revise to suit Project. Higher-strength mixtures may be available; verify availability with fabricators.</w:t>
      </w:r>
    </w:p>
    <w:p>
      <w:pPr>
        <w:pStyle w:val="PR2"/>
        <w:numPr>
          <w:ilvl w:val="5"/>
          <w:numId w:val="1"/>
        </w:numPr>
        <w:spacing w:before="240" w:after="0"/>
        <w:rPr/>
      </w:pPr>
      <w:r>
        <w:rPr/>
        <w:t xml:space="preserve">Compressive Strength (28 Days): </w:t>
      </w:r>
      <w:r>
        <w:rPr>
          <w:rStyle w:val="IP"/>
        </w:rPr>
        <w:t>5000 psi</w:t>
      </w:r>
      <w:r>
        <w:rPr>
          <w:rStyle w:val="SI"/>
        </w:rPr>
        <w:t xml:space="preserve"> (34.5 MPa)</w:t>
      </w:r>
      <w:r>
        <w:rPr/>
        <w:t>.</w:t>
      </w:r>
    </w:p>
    <w:p>
      <w:pPr>
        <w:pStyle w:val="CMT"/>
        <w:rPr/>
      </w:pPr>
      <w:r>
        <w:rPr/>
        <w:t>Increase or decrease weight in "Unit Weight" Subparagraph below to suit Project. Coordinate with lightweight-aggregate supplier and architectural precast concrete fabricator. Lightweight concretes with lightweight and normal-weight aggregate in mixture are usually heavier than unit weight below.</w:t>
      </w:r>
    </w:p>
    <w:p>
      <w:pPr>
        <w:pStyle w:val="PR2"/>
        <w:numPr>
          <w:ilvl w:val="5"/>
          <w:numId w:val="1"/>
        </w:numPr>
        <w:rPr/>
      </w:pPr>
      <w:r>
        <w:rPr/>
        <w:t xml:space="preserve">Unit Weight: Calculated equilibrium unit weight of </w:t>
      </w:r>
      <w:r>
        <w:rPr>
          <w:rStyle w:val="IP"/>
        </w:rPr>
        <w:t>115 lb/cu. ft.</w:t>
      </w:r>
      <w:r>
        <w:rPr>
          <w:rStyle w:val="SI"/>
        </w:rPr>
        <w:t xml:space="preserve"> (1842 kg/cu. m)</w:t>
      </w:r>
      <w:r>
        <w:rPr/>
        <w:t xml:space="preserve">, plus or minus </w:t>
      </w:r>
      <w:r>
        <w:rPr>
          <w:rStyle w:val="IP"/>
        </w:rPr>
        <w:t>3 lb/cu. ft.</w:t>
      </w:r>
      <w:r>
        <w:rPr>
          <w:rStyle w:val="SI"/>
        </w:rPr>
        <w:t xml:space="preserve"> (48 kg/cu. m)</w:t>
      </w:r>
      <w:r>
        <w:rPr/>
        <w:t>, in accordance with ASTM C567/C567M.</w:t>
      </w:r>
    </w:p>
    <w:p>
      <w:pPr>
        <w:pStyle w:val="PR1"/>
        <w:numPr>
          <w:ilvl w:val="4"/>
          <w:numId w:val="1"/>
        </w:numPr>
        <w:rPr/>
      </w:pPr>
      <w:r>
        <w:rPr/>
        <w:t>Add air-entraining admixture at manufacturer's prescribed rate to result in concrete at point of placement having an air content complying with PCI MNL 117.</w:t>
      </w:r>
    </w:p>
    <w:p>
      <w:pPr>
        <w:pStyle w:val="PR1"/>
        <w:numPr>
          <w:ilvl w:val="4"/>
          <w:numId w:val="1"/>
        </w:numPr>
        <w:rPr/>
      </w:pPr>
      <w:r>
        <w:rPr/>
        <w:t>When included in design mixtures, add other admixtures to concrete mixtures in accordance with manufacturer's written instructions.</w:t>
      </w:r>
    </w:p>
    <w:p>
      <w:pPr>
        <w:pStyle w:val="ART"/>
        <w:numPr>
          <w:ilvl w:val="3"/>
          <w:numId w:val="1"/>
        </w:numPr>
        <w:ind w:hanging="0" w:left="0"/>
        <w:rPr/>
      </w:pPr>
      <w:r>
        <w:rPr/>
        <w:t>FABRICATION OF MOLDS</w:t>
      </w:r>
    </w:p>
    <w:p>
      <w:pPr>
        <w:pStyle w:val="PR1"/>
        <w:numPr>
          <w:ilvl w:val="4"/>
          <w:numId w:val="1"/>
        </w:numPr>
        <w:rPr/>
      </w:pPr>
      <w:r>
        <w:rPr/>
        <w:t>Molds: Accurately construct molds, mortar tight, of sufficient strength to withstand pressures due to concrete-placement operations and temperature changes and for prestressing and detensioning operations. Coat contact surfaces of molds with release agent before reinforcement is placed. Avoid contamination of reinforcement and prestressing tendons by release agent.</w:t>
      </w:r>
    </w:p>
    <w:p>
      <w:pPr>
        <w:pStyle w:val="CMT"/>
        <w:rPr/>
      </w:pPr>
      <w:r>
        <w:rPr/>
        <w:t>Delete form liners in subparagraph below unless needed to produce exposed surface finish.</w:t>
      </w:r>
    </w:p>
    <w:p>
      <w:pPr>
        <w:pStyle w:val="PR2"/>
        <w:numPr>
          <w:ilvl w:val="5"/>
          <w:numId w:val="1"/>
        </w:numPr>
        <w:spacing w:before="240" w:after="0"/>
        <w:rPr/>
      </w:pPr>
      <w:r>
        <w:rPr/>
        <w:t>Place form liners accurately to provide finished surface texture indicated. Provide solid backing and supports to maintain stability of liners during concrete placement. Coat form liner with form-release agent.</w:t>
      </w:r>
    </w:p>
    <w:p>
      <w:pPr>
        <w:pStyle w:val="PR1"/>
        <w:numPr>
          <w:ilvl w:val="4"/>
          <w:numId w:val="1"/>
        </w:numPr>
        <w:rPr/>
      </w:pPr>
      <w:r>
        <w:rPr/>
        <w:t>Maintain molds to provide completed architectural precast concrete units of shapes, lines, and dimensions indicated, within fabrication tolerances specified.</w:t>
      </w:r>
    </w:p>
    <w:p>
      <w:pPr>
        <w:pStyle w:val="PR2"/>
        <w:numPr>
          <w:ilvl w:val="5"/>
          <w:numId w:val="1"/>
        </w:numPr>
        <w:spacing w:before="240" w:after="0"/>
        <w:rPr/>
      </w:pPr>
      <w:r>
        <w:rPr/>
        <w:t>Form joints are not permitted on faces exposed to view in the finished Project.</w:t>
      </w:r>
    </w:p>
    <w:p>
      <w:pPr>
        <w:pStyle w:val="CMT"/>
        <w:rPr/>
      </w:pPr>
      <w:r>
        <w:rPr/>
        <w:t>Retain one option in "Edge and Corner Treatment" Subparagraph below; indicate details on Drawings or revise description to add dimensions. Sharp edges or corners of precast concrete units are vulnerable to chipping.</w:t>
      </w:r>
    </w:p>
    <w:p>
      <w:pPr>
        <w:pStyle w:val="PR2"/>
        <w:numPr>
          <w:ilvl w:val="5"/>
          <w:numId w:val="1"/>
        </w:numPr>
        <w:rPr/>
      </w:pPr>
      <w:r>
        <w:rPr/>
        <w:t>Edge and Corner Treatment: Uniformly [</w:t>
      </w:r>
      <w:r>
        <w:rPr>
          <w:b/>
        </w:rPr>
        <w:t>chamfered</w:t>
      </w:r>
      <w:r>
        <w:rPr/>
        <w:t>] [</w:t>
      </w:r>
      <w:r>
        <w:rPr>
          <w:b/>
        </w:rPr>
        <w:t>radiused</w:t>
      </w:r>
      <w:r>
        <w:rPr/>
        <w:t>].</w:t>
      </w:r>
    </w:p>
    <w:p>
      <w:pPr>
        <w:pStyle w:val="ART"/>
        <w:numPr>
          <w:ilvl w:val="3"/>
          <w:numId w:val="1"/>
        </w:numPr>
        <w:ind w:hanging="0" w:left="0"/>
        <w:rPr/>
      </w:pPr>
      <w:r>
        <w:rPr/>
        <w:t>FABRICATION OF CLAY FACING</w:t>
      </w:r>
    </w:p>
    <w:p>
      <w:pPr>
        <w:pStyle w:val="CMT"/>
        <w:rPr/>
      </w:pPr>
      <w:r>
        <w:rPr/>
        <w:t>Retain this article if using thin-brick facings on architectural precast concrete units.</w:t>
      </w:r>
    </w:p>
    <w:p>
      <w:pPr>
        <w:pStyle w:val="PR1"/>
        <w:numPr>
          <w:ilvl w:val="4"/>
          <w:numId w:val="1"/>
        </w:numPr>
        <w:rPr/>
      </w:pPr>
      <w:r>
        <w:rPr/>
        <w:t>Place form liner templates accurately to provide grid for thin-brick facings. Provide solid backing and supports to maintain stability of liners while placing thin bricks and during concrete placement.</w:t>
      </w:r>
    </w:p>
    <w:p>
      <w:pPr>
        <w:pStyle w:val="PR1"/>
        <w:numPr>
          <w:ilvl w:val="4"/>
          <w:numId w:val="1"/>
        </w:numPr>
        <w:rPr/>
      </w:pPr>
      <w:r>
        <w:rPr/>
        <w:t>Securely place thin-brick units face down into form liner pockets, and place concrete backing mixture.</w:t>
      </w:r>
    </w:p>
    <w:p>
      <w:pPr>
        <w:pStyle w:val="CMT"/>
        <w:rPr/>
      </w:pPr>
      <w:r>
        <w:rPr/>
        <w:t>Delete first two paragraphs below if joint cavities are filled with concrete instead of using mortar or pointing grout.</w:t>
      </w:r>
    </w:p>
    <w:p>
      <w:pPr>
        <w:pStyle w:val="PR1"/>
        <w:numPr>
          <w:ilvl w:val="4"/>
          <w:numId w:val="1"/>
        </w:numPr>
        <w:rPr/>
      </w:pPr>
      <w:r>
        <w:rPr/>
        <w:t>Completely fill joint cavities between thin-brick units with sand-cement mortar, and place precast concrete backing mixture while sand-cement mortar is still fluid enough to ensure bond.</w:t>
      </w:r>
    </w:p>
    <w:p>
      <w:pPr>
        <w:pStyle w:val="CMT"/>
        <w:rPr/>
      </w:pPr>
      <w:r>
        <w:rPr/>
        <w:t>Retain first paragraph below if grouting is required. Delete if joints remain as cast.</w:t>
      </w:r>
    </w:p>
    <w:p>
      <w:pPr>
        <w:pStyle w:val="PR1"/>
        <w:numPr>
          <w:ilvl w:val="4"/>
          <w:numId w:val="1"/>
        </w:numPr>
        <w:rPr/>
      </w:pPr>
      <w:r>
        <w:rPr/>
        <w:t>Mix and install pointing grout in accordance with ANSI A108.10. Completely fill joint cavities between thin-brick units with pointing grout, and compress into place without spreading grout onto faces of thin-brick units. Remove excess grout immediately to prevent staining of thin brick.</w:t>
      </w:r>
    </w:p>
    <w:p>
      <w:pPr>
        <w:pStyle w:val="CMT"/>
        <w:rPr/>
      </w:pPr>
      <w:r>
        <w:rPr/>
        <w:t>Retain joint profile from options in subparagraph below or revise to suit Project. Joint shapes are listed in order of decreasing weathertightness in accordance with BIA Technical Note 28C.</w:t>
      </w:r>
    </w:p>
    <w:p>
      <w:pPr>
        <w:pStyle w:val="PR2"/>
        <w:numPr>
          <w:ilvl w:val="5"/>
          <w:numId w:val="1"/>
        </w:numPr>
        <w:spacing w:before="240" w:after="0"/>
        <w:rPr/>
      </w:pPr>
      <w:r>
        <w:rPr/>
        <w:t>Tool joints to a [</w:t>
      </w:r>
      <w:r>
        <w:rPr>
          <w:b/>
        </w:rPr>
        <w:t>slightly concave</w:t>
      </w:r>
      <w:r>
        <w:rPr/>
        <w:t>] [</w:t>
      </w:r>
      <w:r>
        <w:rPr>
          <w:b/>
        </w:rPr>
        <w:t>V-</w:t>
      </w:r>
      <w:r>
        <w:rPr/>
        <w:t>]shape when pointing grout is thumbprint hard.</w:t>
      </w:r>
    </w:p>
    <w:p>
      <w:pPr>
        <w:pStyle w:val="PR1"/>
        <w:numPr>
          <w:ilvl w:val="4"/>
          <w:numId w:val="1"/>
        </w:numPr>
        <w:rPr/>
      </w:pPr>
      <w:r>
        <w:rPr/>
        <w:t>Clean faces and joints of thin-brick facing.</w:t>
      </w:r>
    </w:p>
    <w:p>
      <w:pPr>
        <w:pStyle w:val="ART"/>
        <w:numPr>
          <w:ilvl w:val="3"/>
          <w:numId w:val="1"/>
        </w:numPr>
        <w:ind w:hanging="0" w:left="0"/>
        <w:rPr/>
      </w:pPr>
      <w:r>
        <w:rPr/>
        <w:t>FABRICATION OF STONE FACING</w:t>
      </w:r>
    </w:p>
    <w:p>
      <w:pPr>
        <w:pStyle w:val="CMT"/>
        <w:rPr/>
      </w:pPr>
      <w:r>
        <w:rPr/>
        <w:t>Retain this article if stone facing is required.</w:t>
      </w:r>
    </w:p>
    <w:p>
      <w:pPr>
        <w:pStyle w:val="PR1"/>
        <w:numPr>
          <w:ilvl w:val="4"/>
          <w:numId w:val="1"/>
        </w:numPr>
        <w:rPr/>
      </w:pPr>
      <w:r>
        <w:rPr/>
        <w:t xml:space="preserve">Accurately position stone facings to comply with requirements and in locations indicated on Shop Drawings. Install anchors, supports, and other attachments indicated or necessary to secure stone in place. Keep concrete reinforcement a minimum of </w:t>
      </w:r>
      <w:r>
        <w:rPr>
          <w:rStyle w:val="IP"/>
        </w:rPr>
        <w:t>3/4 inch</w:t>
      </w:r>
      <w:r>
        <w:rPr>
          <w:rStyle w:val="SI"/>
        </w:rPr>
        <w:t xml:space="preserve"> (19 mm)</w:t>
      </w:r>
      <w:r>
        <w:rPr/>
        <w:t xml:space="preserve"> from the back surface of stone. Use continuous spacers to obtain uniform joints of widths indicated and with edges and faces aligned in accordance with established relationships and indicated tolerances.</w:t>
      </w:r>
    </w:p>
    <w:p>
      <w:pPr>
        <w:pStyle w:val="CMT"/>
        <w:rPr/>
      </w:pPr>
      <w:r>
        <w:rPr/>
        <w:t>"Stone to Precast Anchorages" Subparagraph below is based on anchorage requirement in the International Building Code for slab-type exterior veneer panels not more than 20 sq. ft. (1.86 sq. m) in area; revise anchor spacing if required.</w:t>
      </w:r>
    </w:p>
    <w:p>
      <w:pPr>
        <w:pStyle w:val="PR2"/>
        <w:numPr>
          <w:ilvl w:val="5"/>
          <w:numId w:val="1"/>
        </w:numPr>
        <w:spacing w:before="240" w:after="0"/>
        <w:rPr/>
      </w:pPr>
      <w:r>
        <w:rPr/>
        <w:t xml:space="preserve">Stone to Precast Anchorages: Provide anchors in numbers, types, and locations required to satisfy specified performance criteria, but not more than </w:t>
      </w:r>
      <w:r>
        <w:rPr>
          <w:rStyle w:val="IP"/>
        </w:rPr>
        <w:t>24 inches</w:t>
      </w:r>
      <w:r>
        <w:rPr>
          <w:rStyle w:val="SI"/>
        </w:rPr>
        <w:t xml:space="preserve"> (600 mm)</w:t>
      </w:r>
      <w:r>
        <w:rPr/>
        <w:t xml:space="preserve"> o.c. around perimeter of stone facing panels with a minimum of four anchors per panel.</w:t>
      </w:r>
    </w:p>
    <w:p>
      <w:pPr>
        <w:pStyle w:val="CMT"/>
        <w:rPr/>
      </w:pPr>
      <w:r>
        <w:rPr/>
        <w:t>Retain one of two options in paragraph below if sealing dowel holes. Use sealant if flexible filler is required; use epoxy if rigid filler is required.</w:t>
      </w:r>
    </w:p>
    <w:p>
      <w:pPr>
        <w:pStyle w:val="PR1"/>
        <w:numPr>
          <w:ilvl w:val="4"/>
          <w:numId w:val="1"/>
        </w:numPr>
        <w:rPr/>
      </w:pPr>
      <w:r>
        <w:rPr/>
        <w:t>Fill anchor holes with [</w:t>
      </w:r>
      <w:r>
        <w:rPr>
          <w:b/>
        </w:rPr>
        <w:t>sealant filler and install anchors</w:t>
      </w:r>
      <w:r>
        <w:rPr/>
        <w:t>] [</w:t>
      </w:r>
      <w:r>
        <w:rPr>
          <w:b/>
        </w:rPr>
        <w:t>epoxy filler and install anchors with elastomeric anchor sleeve at back surface of stone</w:t>
      </w:r>
      <w:r>
        <w:rPr/>
        <w:t>].</w:t>
      </w:r>
    </w:p>
    <w:p>
      <w:pPr>
        <w:pStyle w:val="CMT"/>
        <w:rPr/>
      </w:pPr>
      <w:r>
        <w:rPr/>
        <w:t>Retain one of two subparagraphs below. PCI recommends no bonding between stone facing and precast concrete to minimize bowing, cracking, and staining of stone.</w:t>
      </w:r>
    </w:p>
    <w:p>
      <w:pPr>
        <w:pStyle w:val="PR2"/>
        <w:numPr>
          <w:ilvl w:val="5"/>
          <w:numId w:val="1"/>
        </w:numPr>
        <w:spacing w:before="240" w:after="0"/>
        <w:rPr/>
      </w:pPr>
      <w:r>
        <w:rPr/>
        <w:t xml:space="preserve">Install minimum </w:t>
      </w:r>
      <w:r>
        <w:rPr>
          <w:rStyle w:val="IP"/>
        </w:rPr>
        <w:t>0.006-inch-</w:t>
      </w:r>
      <w:r>
        <w:rPr>
          <w:rStyle w:val="SI"/>
        </w:rPr>
        <w:t xml:space="preserve"> (0.15-mm-)</w:t>
      </w:r>
      <w:r>
        <w:rPr/>
        <w:t xml:space="preserve"> thick polyethylene sheet to prevent bond between back of stone facing and concrete substrate and to ensure no passage of precast matrix to stone surface.</w:t>
      </w:r>
    </w:p>
    <w:p>
      <w:pPr>
        <w:pStyle w:val="PR2"/>
        <w:numPr>
          <w:ilvl w:val="5"/>
          <w:numId w:val="1"/>
        </w:numPr>
        <w:rPr/>
      </w:pPr>
      <w:r>
        <w:rPr/>
        <w:t xml:space="preserve">Install </w:t>
      </w:r>
      <w:r>
        <w:rPr>
          <w:rStyle w:val="IP"/>
        </w:rPr>
        <w:t>1/8-inch</w:t>
      </w:r>
      <w:r>
        <w:rPr>
          <w:rStyle w:val="SI"/>
        </w:rPr>
        <w:t xml:space="preserve"> (3-mm)</w:t>
      </w:r>
      <w:r>
        <w:rPr/>
        <w:t xml:space="preserve"> polyethylene-foam bond breaker to prevent bond between back of stone facing and concrete substrate and to ensure no passage of precast matrix to stone surface. Maintain minimum projection requirements of stone anchors into concrete substrate.</w:t>
      </w:r>
    </w:p>
    <w:p>
      <w:pPr>
        <w:pStyle w:val="ART"/>
        <w:numPr>
          <w:ilvl w:val="3"/>
          <w:numId w:val="1"/>
        </w:numPr>
        <w:ind w:hanging="0" w:left="0"/>
        <w:rPr/>
      </w:pPr>
      <w:r>
        <w:rPr/>
        <w:t>FABRICATION OF PRECAST ARCHITECTURAL CONCRETE</w:t>
      </w:r>
    </w:p>
    <w:p>
      <w:pPr>
        <w:pStyle w:val="PR1"/>
        <w:numPr>
          <w:ilvl w:val="4"/>
          <w:numId w:val="1"/>
        </w:numPr>
        <w:rPr/>
      </w:pPr>
      <w:r>
        <w:rPr/>
        <w:t>Cast-in Anchors, Inserts, Plates, Angles, and Other Anchorage Hardware: Fabricate anchorage hardware with sufficient anchorage and embedment to comply with design requirements. Accurately position for attachment of loose hardware, and secure in place during precasting operations. Locate anchorage hardware where it does not affect position of main reinforcement or concrete placement.</w:t>
      </w:r>
    </w:p>
    <w:p>
      <w:pPr>
        <w:pStyle w:val="PR2"/>
        <w:numPr>
          <w:ilvl w:val="5"/>
          <w:numId w:val="1"/>
        </w:numPr>
        <w:spacing w:before="240" w:after="0"/>
        <w:rPr/>
      </w:pPr>
      <w:r>
        <w:rPr/>
        <w:t>Weld-headed studs and deformed bar anchors used for anchorage in accordance with AWS D1.1/D1.1M and AWS C5.4.</w:t>
      </w:r>
    </w:p>
    <w:p>
      <w:pPr>
        <w:pStyle w:val="CMT"/>
        <w:rPr/>
      </w:pPr>
      <w:r>
        <w:rPr/>
        <w:t>Coordinate first paragraph below with Section 055000 "Metal Fabrications" for furnishing and installing loose hardware items.</w:t>
      </w:r>
    </w:p>
    <w:p>
      <w:pPr>
        <w:pStyle w:val="PR1"/>
        <w:numPr>
          <w:ilvl w:val="4"/>
          <w:numId w:val="1"/>
        </w:numPr>
        <w:rPr/>
      </w:pPr>
      <w:r>
        <w:rPr/>
        <w:t>Furnish loose hardware items, including steel plates, clip angles, seat angles, anchors, dowels, cramps, hangers, and other hardware shapes for securing architectural precast concrete units to supporting and adjacent construction.</w:t>
      </w:r>
    </w:p>
    <w:p>
      <w:pPr>
        <w:pStyle w:val="PR1"/>
        <w:numPr>
          <w:ilvl w:val="4"/>
          <w:numId w:val="1"/>
        </w:numPr>
        <w:rPr/>
      </w:pPr>
      <w:r>
        <w:rPr/>
        <w:t>Cast-in reglets, slots, holes, and other accessories in architectural precast concrete units, as indicated on the Drawings.</w:t>
      </w:r>
    </w:p>
    <w:p>
      <w:pPr>
        <w:pStyle w:val="CMT"/>
        <w:rPr/>
      </w:pPr>
      <w:r>
        <w:rPr/>
        <w:t>Retain first paragraph below if applicable.</w:t>
      </w:r>
    </w:p>
    <w:p>
      <w:pPr>
        <w:pStyle w:val="PR1"/>
        <w:numPr>
          <w:ilvl w:val="4"/>
          <w:numId w:val="1"/>
        </w:numPr>
        <w:rPr/>
      </w:pPr>
      <w:r>
        <w:rPr/>
        <w:t xml:space="preserve">Cast-in openings larger than </w:t>
      </w:r>
      <w:r>
        <w:rPr>
          <w:rStyle w:val="IP"/>
        </w:rPr>
        <w:t>10 inches</w:t>
      </w:r>
      <w:r>
        <w:rPr>
          <w:rStyle w:val="SI"/>
        </w:rPr>
        <w:t xml:space="preserve"> (250 mm)</w:t>
      </w:r>
      <w:r>
        <w:rPr/>
        <w:t xml:space="preserve"> in any dimension. Do not drill or cut openings or prestressing strand without Architect's approval.</w:t>
      </w:r>
    </w:p>
    <w:p>
      <w:pPr>
        <w:pStyle w:val="PR1"/>
        <w:numPr>
          <w:ilvl w:val="4"/>
          <w:numId w:val="1"/>
        </w:numPr>
        <w:rPr/>
      </w:pPr>
      <w:r>
        <w:rPr/>
        <w:t>Reinforcement: Comply with recommendations in PCI MNL 117 for fabricating, placing, and supporting reinforcement.</w:t>
      </w:r>
    </w:p>
    <w:p>
      <w:pPr>
        <w:pStyle w:val="PR2"/>
        <w:numPr>
          <w:ilvl w:val="5"/>
          <w:numId w:val="1"/>
        </w:numPr>
        <w:spacing w:before="240" w:after="0"/>
        <w:rPr/>
      </w:pPr>
      <w:r>
        <w:rPr/>
        <w:t>Clean reinforcement of loose rust and mill scale, earth, and other materials that reduce or destroy the bond with concrete. When damage to epoxy-coated reinforcing exceeds limits specified in ASTM A775/A775M, repair with patching material compatible with coating material and epoxy coat bar ends after cutting.</w:t>
      </w:r>
    </w:p>
    <w:p>
      <w:pPr>
        <w:pStyle w:val="PR2"/>
        <w:numPr>
          <w:ilvl w:val="5"/>
          <w:numId w:val="1"/>
        </w:numPr>
        <w:rPr/>
      </w:pPr>
      <w:r>
        <w:rPr/>
        <w:t>Accurately position, support, and secure reinforcement against displacement during concrete-placement and consolidation operations. Completely conceal support devices to prevent exposure on finished surfaces.</w:t>
      </w:r>
    </w:p>
    <w:p>
      <w:pPr>
        <w:pStyle w:val="PR2"/>
        <w:numPr>
          <w:ilvl w:val="5"/>
          <w:numId w:val="1"/>
        </w:numPr>
        <w:rPr/>
      </w:pPr>
      <w:r>
        <w:rPr/>
        <w:t xml:space="preserve">Place reinforcing steel and prestressing strands to maintain at least </w:t>
      </w:r>
      <w:r>
        <w:rPr>
          <w:rStyle w:val="IP"/>
        </w:rPr>
        <w:t>3/4-inch</w:t>
      </w:r>
      <w:r>
        <w:rPr>
          <w:rStyle w:val="SI"/>
        </w:rPr>
        <w:t xml:space="preserve"> (19-mm)</w:t>
      </w:r>
      <w:r>
        <w:rPr/>
        <w:t xml:space="preserve"> minimum concrete cover. Increase cover requirements for reinforcing steel to </w:t>
      </w:r>
      <w:r>
        <w:rPr>
          <w:rStyle w:val="IP"/>
        </w:rPr>
        <w:t>1-1/2 inches</w:t>
      </w:r>
      <w:r>
        <w:rPr>
          <w:rStyle w:val="SI"/>
        </w:rPr>
        <w:t xml:space="preserve"> (38 mm)</w:t>
      </w:r>
      <w:r>
        <w:rPr/>
        <w:t xml:space="preserve"> when units are exposed to corrosive environment or severe exposure conditions. Arrange, space, and securely tie bars and bar supports to hold reinforcement in position while placing concrete. Direct wire tie ends away from finished, exposed concrete surfaces.</w:t>
      </w:r>
    </w:p>
    <w:p>
      <w:pPr>
        <w:pStyle w:val="PR2"/>
        <w:numPr>
          <w:ilvl w:val="5"/>
          <w:numId w:val="1"/>
        </w:numPr>
        <w:rPr/>
      </w:pPr>
      <w:r>
        <w:rPr/>
        <w:t>Install welded-wire reinforcement in lengths as long as practicable. Lap adjoining pieces at least one full mesh spacing and wire tie laps, where required by design. Offset laps of adjoining widths to prevent continuous laps in either direction.</w:t>
      </w:r>
    </w:p>
    <w:p>
      <w:pPr>
        <w:pStyle w:val="PR1"/>
        <w:numPr>
          <w:ilvl w:val="4"/>
          <w:numId w:val="1"/>
        </w:numPr>
        <w:rPr/>
      </w:pPr>
      <w:r>
        <w:rPr/>
        <w:t>Reinforce architectural precast concrete units to resist handling, transportation, and erection stresses and specified in-place loads.</w:t>
      </w:r>
    </w:p>
    <w:p>
      <w:pPr>
        <w:pStyle w:val="CMT"/>
        <w:rPr/>
      </w:pPr>
      <w:r>
        <w:rPr/>
        <w:t>Retain first paragraph below for precast, prestressed architectural concrete units. Option to prestress may be left to fabricator if objective is to aid handling and to control cracking of units during installation.</w:t>
      </w:r>
    </w:p>
    <w:p>
      <w:pPr>
        <w:pStyle w:val="PR1"/>
        <w:numPr>
          <w:ilvl w:val="4"/>
          <w:numId w:val="1"/>
        </w:numPr>
        <w:rPr/>
      </w:pPr>
      <w:r>
        <w:rPr/>
        <w:t>Prestress tendons for architectural precast concrete units by either pretensioning or post-tensioning methods. Comply with PCI MNL 117.</w:t>
      </w:r>
    </w:p>
    <w:p>
      <w:pPr>
        <w:pStyle w:val="CMT"/>
        <w:rPr/>
      </w:pPr>
      <w:r>
        <w:rPr/>
        <w:t>Revise release or post-tensioning strength in first subparagraph below to an actual compressive strength if required. Concrete strength in the range of 2500 to 4000 psi (17.2 to 27.6 MPa) at release does not appreciably affect bond transfer length.</w:t>
      </w:r>
    </w:p>
    <w:p>
      <w:pPr>
        <w:pStyle w:val="PR2"/>
        <w:numPr>
          <w:ilvl w:val="5"/>
          <w:numId w:val="1"/>
        </w:numPr>
        <w:spacing w:before="240" w:after="0"/>
        <w:rPr/>
      </w:pPr>
      <w:r>
        <w:rPr/>
        <w:t>Delay detensioning or post-tensioning of precast, prestressed architectural concrete units until concrete has reached its indicated minimum design release compressive strength as established by test cylinders cured under same conditions as concrete unit.</w:t>
      </w:r>
    </w:p>
    <w:p>
      <w:pPr>
        <w:pStyle w:val="PR2"/>
        <w:numPr>
          <w:ilvl w:val="5"/>
          <w:numId w:val="1"/>
        </w:numPr>
        <w:rPr/>
      </w:pPr>
      <w:r>
        <w:rPr/>
        <w:t>Detension pretensioned tendons either by gradually releasing tensioning jacks or by heat-cutting tendons, using a sequence and pattern to prevent shock or unbalanced loading.</w:t>
      </w:r>
    </w:p>
    <w:p>
      <w:pPr>
        <w:pStyle w:val="PR2"/>
        <w:numPr>
          <w:ilvl w:val="5"/>
          <w:numId w:val="1"/>
        </w:numPr>
        <w:rPr/>
      </w:pPr>
      <w:r>
        <w:rPr/>
        <w:t>If concrete has been heat cured, detension while concrete is still warm and moist to avoid dimensional changes that may cause cracking or undesirable stresses.</w:t>
      </w:r>
    </w:p>
    <w:p>
      <w:pPr>
        <w:pStyle w:val="PR2"/>
        <w:numPr>
          <w:ilvl w:val="5"/>
          <w:numId w:val="1"/>
        </w:numPr>
        <w:rPr/>
      </w:pPr>
      <w:r>
        <w:rPr/>
        <w:t>Protect strand ends and anchorages with bituminous, zinc-rich, or epoxy paint to avoid corrosion and possible rust spots.</w:t>
      </w:r>
    </w:p>
    <w:p>
      <w:pPr>
        <w:pStyle w:val="PR1"/>
        <w:numPr>
          <w:ilvl w:val="4"/>
          <w:numId w:val="1"/>
        </w:numPr>
        <w:rPr/>
      </w:pPr>
      <w:r>
        <w:rPr/>
        <w:t>Comply with requirements in PCI MNL 117 and requirements in this Section for measuring, mixing, transporting, and placing concrete. After concrete batching, no additional water may be added.</w:t>
      </w:r>
    </w:p>
    <w:p>
      <w:pPr>
        <w:pStyle w:val="CMT"/>
        <w:rPr/>
      </w:pPr>
      <w:r>
        <w:rPr/>
        <w:t>Retain first paragraph below if a separate face mixture is required or is Contractor's option.</w:t>
      </w:r>
    </w:p>
    <w:p>
      <w:pPr>
        <w:pStyle w:val="PR1"/>
        <w:numPr>
          <w:ilvl w:val="4"/>
          <w:numId w:val="1"/>
        </w:numPr>
        <w:rPr/>
      </w:pPr>
      <w:r>
        <w:rPr/>
        <w:t xml:space="preserve">Place face mixture to a minimum thickness after consolidation of the greater of </w:t>
      </w:r>
      <w:r>
        <w:rPr>
          <w:rStyle w:val="IP"/>
        </w:rPr>
        <w:t>1 inch</w:t>
      </w:r>
      <w:r>
        <w:rPr>
          <w:rStyle w:val="SI"/>
        </w:rPr>
        <w:t xml:space="preserve"> (25 mm)</w:t>
      </w:r>
      <w:r>
        <w:rPr/>
        <w:t xml:space="preserve"> or 1.5 times the maximum aggregate size, but not less than the minimum reinforcing cover specified.</w:t>
      </w:r>
    </w:p>
    <w:p>
      <w:pPr>
        <w:pStyle w:val="PR1"/>
        <w:numPr>
          <w:ilvl w:val="4"/>
          <w:numId w:val="1"/>
        </w:numPr>
        <w:rPr/>
      </w:pPr>
      <w:r>
        <w:rPr/>
        <w:t>Place concrete in a continuous operation to prevent cold joints or planes of weakness from forming in precast concrete units.</w:t>
      </w:r>
    </w:p>
    <w:p>
      <w:pPr>
        <w:pStyle w:val="PR2"/>
        <w:numPr>
          <w:ilvl w:val="5"/>
          <w:numId w:val="1"/>
        </w:numPr>
        <w:spacing w:before="240" w:after="0"/>
        <w:rPr/>
      </w:pPr>
      <w:r>
        <w:rPr/>
        <w:t>Place backup concrete mixture to ensure bond with face-mixture concrete.</w:t>
      </w:r>
    </w:p>
    <w:p>
      <w:pPr>
        <w:pStyle w:val="PR1"/>
        <w:numPr>
          <w:ilvl w:val="4"/>
          <w:numId w:val="1"/>
        </w:numPr>
        <w:rPr/>
      </w:pPr>
      <w:r>
        <w:rPr/>
        <w:t>Thoroughly consolidate placed concrete by internal and external vibration without dislocating or damaging reinforcement and built-in items, and minimize pour lines, honeycombing, or entrapped air voids on surfaces. Use equipment and procedures complying with PCI MNL 117.</w:t>
      </w:r>
    </w:p>
    <w:p>
      <w:pPr>
        <w:pStyle w:val="PR2"/>
        <w:numPr>
          <w:ilvl w:val="5"/>
          <w:numId w:val="1"/>
        </w:numPr>
        <w:spacing w:before="240" w:after="0"/>
        <w:rPr/>
      </w:pPr>
      <w:r>
        <w:rPr/>
        <w:t>Place self-consolidating concrete without vibration in accordance with PCI TR-6. Ensure adequate bond between face and backup concrete, if used.</w:t>
      </w:r>
    </w:p>
    <w:p>
      <w:pPr>
        <w:pStyle w:val="PR1"/>
        <w:numPr>
          <w:ilvl w:val="4"/>
          <w:numId w:val="1"/>
        </w:numPr>
        <w:rPr/>
      </w:pPr>
      <w:r>
        <w:rPr/>
        <w:t>Comply with PCI MNL 117 for hot- and cold-weather concrete placement.</w:t>
      </w:r>
    </w:p>
    <w:p>
      <w:pPr>
        <w:pStyle w:val="PR1"/>
        <w:numPr>
          <w:ilvl w:val="4"/>
          <w:numId w:val="1"/>
        </w:numPr>
        <w:rPr/>
      </w:pPr>
      <w:r>
        <w:rPr/>
        <w:t>Identify pickup points of architectural precast concrete units and orientation in structure with permanent markings, complying with markings indicated on Shop Drawings. Imprint or permanently mark casting date on each architectural precast concrete unit on a surface that does not show in finished structure.</w:t>
      </w:r>
    </w:p>
    <w:p>
      <w:pPr>
        <w:pStyle w:val="PR1"/>
        <w:numPr>
          <w:ilvl w:val="4"/>
          <w:numId w:val="1"/>
        </w:numPr>
        <w:rPr/>
      </w:pPr>
      <w:r>
        <w:rPr/>
        <w:t>Cure concrete, in accordance with PCI MNL 117, by moisture retention without heat or by accelerated heat curing using low-pressure live steam or radiant heat and moisture. Cure units until compressive strength is high enough to ensure that stripping does not have an effect on performance or appearance of final product.</w:t>
      </w:r>
    </w:p>
    <w:p>
      <w:pPr>
        <w:pStyle w:val="PR1"/>
        <w:numPr>
          <w:ilvl w:val="4"/>
          <w:numId w:val="1"/>
        </w:numPr>
        <w:rPr/>
      </w:pPr>
      <w:r>
        <w:rPr/>
        <w:t>Discard and replace architectural precast concrete units that do not comply with requirements, including structural, manufacturing tolerance, and appearance, unless repairs comply with requirements in PCI MNL 117 and Architect's approval.</w:t>
      </w:r>
    </w:p>
    <w:p>
      <w:pPr>
        <w:pStyle w:val="ART"/>
        <w:numPr>
          <w:ilvl w:val="3"/>
          <w:numId w:val="1"/>
        </w:numPr>
        <w:ind w:hanging="0" w:left="0"/>
        <w:rPr/>
      </w:pPr>
      <w:r>
        <w:rPr/>
        <w:t>FABRICATION OF INSULATED PANELS</w:t>
      </w:r>
    </w:p>
    <w:p>
      <w:pPr>
        <w:pStyle w:val="CMT"/>
        <w:rPr/>
      </w:pPr>
      <w:r>
        <w:rPr/>
        <w:t>Retain this article if integrally insulated panels are required.</w:t>
      </w:r>
    </w:p>
    <w:p>
      <w:pPr>
        <w:pStyle w:val="PR1"/>
        <w:numPr>
          <w:ilvl w:val="4"/>
          <w:numId w:val="1"/>
        </w:numPr>
        <w:rPr/>
      </w:pPr>
      <w:r>
        <w:rPr/>
        <w:t>Cast, screed, and consolidate bottom concrete wythe supported by mold.</w:t>
      </w:r>
    </w:p>
    <w:p>
      <w:pPr>
        <w:pStyle w:val="PR1"/>
        <w:numPr>
          <w:ilvl w:val="4"/>
          <w:numId w:val="1"/>
        </w:numPr>
        <w:rPr/>
      </w:pPr>
      <w:r>
        <w:rPr/>
        <w:t>Place insulation boards abutting edges and ends of adjacent boards. Insert wythe connectors through insulation holes, and consolidate concrete around connectors in accordance with connector manufacturer's written instructions.</w:t>
      </w:r>
    </w:p>
    <w:p>
      <w:pPr>
        <w:pStyle w:val="PR1"/>
        <w:numPr>
          <w:ilvl w:val="4"/>
          <w:numId w:val="1"/>
        </w:numPr>
        <w:rPr/>
      </w:pPr>
      <w:r>
        <w:rPr/>
        <w:t>Ensure bottom wythe and insulation layer are not disturbed after bottom wythe reaches initial set.</w:t>
      </w:r>
    </w:p>
    <w:p>
      <w:pPr>
        <w:pStyle w:val="PR1"/>
        <w:numPr>
          <w:ilvl w:val="4"/>
          <w:numId w:val="1"/>
        </w:numPr>
        <w:rPr/>
      </w:pPr>
      <w:r>
        <w:rPr/>
        <w:t>Cast, screed, and consolidate top wythe to meet required finish.</w:t>
      </w:r>
    </w:p>
    <w:p>
      <w:pPr>
        <w:pStyle w:val="PR1"/>
        <w:numPr>
          <w:ilvl w:val="4"/>
          <w:numId w:val="1"/>
        </w:numPr>
        <w:rPr/>
      </w:pPr>
      <w:r>
        <w:rPr/>
        <w:t xml:space="preserve">Maintain temperature below </w:t>
      </w:r>
      <w:r>
        <w:rPr>
          <w:rStyle w:val="IP"/>
        </w:rPr>
        <w:t>150 deg F</w:t>
      </w:r>
      <w:r>
        <w:rPr>
          <w:rStyle w:val="SI"/>
        </w:rPr>
        <w:t xml:space="preserve"> (65 deg C)</w:t>
      </w:r>
      <w:r>
        <w:rPr/>
        <w:t xml:space="preserve"> in bottom concrete wythe.</w:t>
      </w:r>
    </w:p>
    <w:p>
      <w:pPr>
        <w:pStyle w:val="ART"/>
        <w:numPr>
          <w:ilvl w:val="3"/>
          <w:numId w:val="1"/>
        </w:numPr>
        <w:ind w:hanging="0" w:left="0"/>
        <w:rPr/>
      </w:pPr>
      <w:r>
        <w:rPr/>
        <w:t>FABRICATION TOLERANCES</w:t>
      </w:r>
    </w:p>
    <w:p>
      <w:pPr>
        <w:pStyle w:val="CMT"/>
        <w:rPr/>
      </w:pPr>
      <w:r>
        <w:rPr/>
        <w:t>Retain PCI MNL 117 product tolerances for Categories AA-AC and AT; retain PCI MNL 116 for Category AD. PCI MNL 135 also covers production tolerances for all categories.</w:t>
      </w:r>
    </w:p>
    <w:p>
      <w:pPr>
        <w:pStyle w:val="PR1"/>
        <w:numPr>
          <w:ilvl w:val="4"/>
          <w:numId w:val="1"/>
        </w:numPr>
        <w:rPr/>
      </w:pPr>
      <w:r>
        <w:rPr/>
        <w:t>Fabricate architectural precast concrete units to shapes, lines, and dimensions indicated so each finished unit complies with [</w:t>
      </w:r>
      <w:r>
        <w:rPr>
          <w:b/>
        </w:rPr>
        <w:t>PCI MNL 117</w:t>
      </w:r>
      <w:r>
        <w:rPr/>
        <w:t>] [</w:t>
      </w:r>
      <w:r>
        <w:rPr>
          <w:b/>
        </w:rPr>
        <w:t>PCI MNL 116</w:t>
      </w:r>
      <w:r>
        <w:rPr/>
        <w:t>] [</w:t>
      </w:r>
      <w:r>
        <w:rPr>
          <w:b/>
        </w:rPr>
        <w:t>PCI MNL 135</w:t>
      </w:r>
      <w:r>
        <w:rPr/>
        <w:t>] product tolerances as well as position tolerances for cast-in items.</w:t>
      </w:r>
    </w:p>
    <w:p>
      <w:pPr>
        <w:pStyle w:val="CMT"/>
        <w:rPr/>
      </w:pPr>
      <w:r>
        <w:rPr/>
        <w:t>Retain paragraph above or first paragraph below. PCI MNL 117 product tolerances, referenced above and listed below, are standardized throughout the industry.</w:t>
      </w:r>
    </w:p>
    <w:p>
      <w:pPr>
        <w:pStyle w:val="PR1"/>
        <w:numPr>
          <w:ilvl w:val="4"/>
          <w:numId w:val="1"/>
        </w:numPr>
        <w:rPr/>
      </w:pPr>
      <w:r>
        <w:rPr/>
        <w:t>Fabricate architectural precast concrete units to shapes, lines, and dimensions indicated so each finished unit complies with the following product tolerances:</w:t>
      </w:r>
    </w:p>
    <w:p>
      <w:pPr>
        <w:pStyle w:val="PR2"/>
        <w:numPr>
          <w:ilvl w:val="5"/>
          <w:numId w:val="1"/>
        </w:numPr>
        <w:spacing w:before="240" w:after="0"/>
        <w:rPr/>
      </w:pPr>
      <w:r>
        <w:rPr/>
        <w:t>Overall Height and Width of Units, Measured at the Face Exposed to View: As follows:</w:t>
      </w:r>
    </w:p>
    <w:p>
      <w:pPr>
        <w:pStyle w:val="PR3"/>
        <w:numPr>
          <w:ilvl w:val="6"/>
          <w:numId w:val="1"/>
        </w:numPr>
        <w:spacing w:before="240" w:after="0"/>
        <w:rPr/>
      </w:pPr>
      <w:r>
        <w:rPr>
          <w:rStyle w:val="IP"/>
        </w:rPr>
        <w:t>10 ft.</w:t>
      </w:r>
      <w:r>
        <w:rPr>
          <w:rStyle w:val="SI"/>
        </w:rPr>
        <w:t xml:space="preserve"> (3 m)</w:t>
      </w:r>
      <w:r>
        <w:rPr/>
        <w:t xml:space="preserve"> or under, plus or minus </w:t>
      </w:r>
      <w:r>
        <w:rPr>
          <w:rStyle w:val="IP"/>
        </w:rPr>
        <w:t>1/8 inch</w:t>
      </w:r>
      <w:r>
        <w:rPr>
          <w:rStyle w:val="SI"/>
        </w:rPr>
        <w:t xml:space="preserve"> (3 mm)</w:t>
      </w:r>
      <w:r>
        <w:rPr/>
        <w:t>.</w:t>
      </w:r>
    </w:p>
    <w:p>
      <w:pPr>
        <w:pStyle w:val="PR3"/>
        <w:numPr>
          <w:ilvl w:val="6"/>
          <w:numId w:val="1"/>
        </w:numPr>
        <w:rPr/>
      </w:pPr>
      <w:r>
        <w:rPr>
          <w:rStyle w:val="IP"/>
        </w:rPr>
        <w:t>10 to 20 ft.</w:t>
      </w:r>
      <w:r>
        <w:rPr>
          <w:rStyle w:val="SI"/>
        </w:rPr>
        <w:t xml:space="preserve"> (3 to 6 m)</w:t>
      </w:r>
      <w:r>
        <w:rPr/>
        <w:t xml:space="preserve">, plus </w:t>
      </w:r>
      <w:r>
        <w:rPr>
          <w:rStyle w:val="IP"/>
        </w:rPr>
        <w:t>1/8 inch</w:t>
      </w:r>
      <w:r>
        <w:rPr>
          <w:rStyle w:val="SI"/>
        </w:rPr>
        <w:t xml:space="preserve"> (3 mm)</w:t>
      </w:r>
      <w:r>
        <w:rPr/>
        <w:t xml:space="preserve">, minus </w:t>
      </w:r>
      <w:r>
        <w:rPr>
          <w:rStyle w:val="IP"/>
        </w:rPr>
        <w:t>3/16 inch</w:t>
      </w:r>
      <w:r>
        <w:rPr>
          <w:rStyle w:val="SI"/>
        </w:rPr>
        <w:t xml:space="preserve"> (5 mm)</w:t>
      </w:r>
      <w:r>
        <w:rPr/>
        <w:t>.</w:t>
      </w:r>
    </w:p>
    <w:p>
      <w:pPr>
        <w:pStyle w:val="CMT"/>
        <w:rPr/>
      </w:pPr>
      <w:r>
        <w:rPr/>
        <w:t>Retain first subparagraph below for PCI Categories AB or AC.</w:t>
      </w:r>
    </w:p>
    <w:p>
      <w:pPr>
        <w:pStyle w:val="PR3"/>
        <w:numPr>
          <w:ilvl w:val="6"/>
          <w:numId w:val="1"/>
        </w:numPr>
        <w:rPr/>
      </w:pPr>
      <w:r>
        <w:rPr>
          <w:rStyle w:val="IP"/>
        </w:rPr>
        <w:t>20 to 40 ft.</w:t>
      </w:r>
      <w:r>
        <w:rPr>
          <w:rStyle w:val="SI"/>
        </w:rPr>
        <w:t xml:space="preserve"> (6 to 12 m)</w:t>
      </w:r>
      <w:r>
        <w:rPr/>
        <w:t xml:space="preserve">, plus or minus </w:t>
      </w:r>
      <w:r>
        <w:rPr>
          <w:rStyle w:val="IP"/>
        </w:rPr>
        <w:t>1/4 inch</w:t>
      </w:r>
      <w:r>
        <w:rPr>
          <w:rStyle w:val="SI"/>
        </w:rPr>
        <w:t xml:space="preserve"> (6 mm)</w:t>
      </w:r>
      <w:r>
        <w:rPr/>
        <w:t>.</w:t>
      </w:r>
    </w:p>
    <w:p>
      <w:pPr>
        <w:pStyle w:val="CMT"/>
        <w:rPr/>
      </w:pPr>
      <w:r>
        <w:rPr/>
        <w:t>Retain first subparagraph below for PCI Category AA; retain second subparagraph for Categories AB or AC.</w:t>
      </w:r>
    </w:p>
    <w:p>
      <w:pPr>
        <w:pStyle w:val="PR3"/>
        <w:numPr>
          <w:ilvl w:val="6"/>
          <w:numId w:val="1"/>
        </w:numPr>
        <w:rPr/>
      </w:pPr>
      <w:r>
        <w:rPr/>
        <w:t xml:space="preserve">Greater Than 20 ft. (6 m): Each additional </w:t>
      </w:r>
      <w:r>
        <w:rPr>
          <w:rStyle w:val="IP"/>
        </w:rPr>
        <w:t>10 ft.</w:t>
      </w:r>
      <w:r>
        <w:rPr>
          <w:rStyle w:val="SI"/>
        </w:rPr>
        <w:t xml:space="preserve"> (3 m)</w:t>
      </w:r>
      <w:r>
        <w:rPr/>
        <w:t xml:space="preserve">, plus or minus </w:t>
      </w:r>
      <w:r>
        <w:rPr>
          <w:rStyle w:val="IP"/>
        </w:rPr>
        <w:t>1/16 inch</w:t>
      </w:r>
      <w:r>
        <w:rPr>
          <w:rStyle w:val="SI"/>
        </w:rPr>
        <w:t xml:space="preserve"> (1.6 mm)</w:t>
      </w:r>
      <w:r>
        <w:rPr/>
        <w:t>.</w:t>
      </w:r>
    </w:p>
    <w:p>
      <w:pPr>
        <w:pStyle w:val="PR3"/>
        <w:numPr>
          <w:ilvl w:val="6"/>
          <w:numId w:val="1"/>
        </w:numPr>
        <w:rPr/>
      </w:pPr>
      <w:r>
        <w:rPr/>
        <w:t xml:space="preserve">Greater Than 40 ft. (12 m): Each additional </w:t>
      </w:r>
      <w:r>
        <w:rPr>
          <w:rStyle w:val="IP"/>
        </w:rPr>
        <w:t>10 ft.</w:t>
      </w:r>
      <w:r>
        <w:rPr>
          <w:rStyle w:val="SI"/>
        </w:rPr>
        <w:t xml:space="preserve"> (3 m)</w:t>
      </w:r>
      <w:r>
        <w:rPr/>
        <w:t xml:space="preserve">, plus or minus </w:t>
      </w:r>
      <w:r>
        <w:rPr>
          <w:rStyle w:val="IP"/>
        </w:rPr>
        <w:t>1/16 inch</w:t>
      </w:r>
      <w:r>
        <w:rPr>
          <w:rStyle w:val="SI"/>
        </w:rPr>
        <w:t xml:space="preserve"> (1.6 mm)</w:t>
      </w:r>
      <w:r>
        <w:rPr/>
        <w:t>.</w:t>
      </w:r>
    </w:p>
    <w:p>
      <w:pPr>
        <w:pStyle w:val="PR2"/>
        <w:numPr>
          <w:ilvl w:val="5"/>
          <w:numId w:val="1"/>
        </w:numPr>
        <w:spacing w:before="240" w:after="0"/>
        <w:rPr/>
      </w:pPr>
      <w:r>
        <w:rPr/>
        <w:t>Overall Height and Width of Units, Measured at the Face Not Exposed to View: As follows:</w:t>
      </w:r>
    </w:p>
    <w:p>
      <w:pPr>
        <w:pStyle w:val="PR3"/>
        <w:numPr>
          <w:ilvl w:val="6"/>
          <w:numId w:val="1"/>
        </w:numPr>
        <w:spacing w:before="240" w:after="0"/>
        <w:rPr/>
      </w:pPr>
      <w:r>
        <w:rPr>
          <w:rStyle w:val="IP"/>
        </w:rPr>
        <w:t>10 ft.</w:t>
      </w:r>
      <w:r>
        <w:rPr>
          <w:rStyle w:val="SI"/>
        </w:rPr>
        <w:t xml:space="preserve"> (3 m)</w:t>
      </w:r>
      <w:r>
        <w:rPr/>
        <w:t xml:space="preserve"> or under, plus or minus </w:t>
      </w:r>
      <w:r>
        <w:rPr>
          <w:rStyle w:val="IP"/>
        </w:rPr>
        <w:t>1/4 inch</w:t>
      </w:r>
      <w:r>
        <w:rPr>
          <w:rStyle w:val="SI"/>
        </w:rPr>
        <w:t xml:space="preserve"> (6 mm)</w:t>
      </w:r>
      <w:r>
        <w:rPr/>
        <w:t>.</w:t>
      </w:r>
    </w:p>
    <w:p>
      <w:pPr>
        <w:pStyle w:val="PR3"/>
        <w:numPr>
          <w:ilvl w:val="6"/>
          <w:numId w:val="1"/>
        </w:numPr>
        <w:rPr/>
      </w:pPr>
      <w:r>
        <w:rPr>
          <w:rStyle w:val="IP"/>
        </w:rPr>
        <w:t>10 to 20 ft.</w:t>
      </w:r>
      <w:r>
        <w:rPr>
          <w:rStyle w:val="SI"/>
        </w:rPr>
        <w:t xml:space="preserve"> (3 to 6 m)</w:t>
      </w:r>
      <w:r>
        <w:rPr/>
        <w:t xml:space="preserve">, plus </w:t>
      </w:r>
      <w:r>
        <w:rPr>
          <w:rStyle w:val="IP"/>
        </w:rPr>
        <w:t>1/4 inch</w:t>
      </w:r>
      <w:r>
        <w:rPr>
          <w:rStyle w:val="SI"/>
        </w:rPr>
        <w:t xml:space="preserve"> (6 mm)</w:t>
      </w:r>
      <w:r>
        <w:rPr/>
        <w:t xml:space="preserve">, minus </w:t>
      </w:r>
      <w:r>
        <w:rPr>
          <w:rStyle w:val="IP"/>
        </w:rPr>
        <w:t>3/8 inch</w:t>
      </w:r>
      <w:r>
        <w:rPr>
          <w:rStyle w:val="SI"/>
        </w:rPr>
        <w:t xml:space="preserve"> (10 mm)</w:t>
      </w:r>
      <w:r>
        <w:rPr/>
        <w:t>.</w:t>
      </w:r>
    </w:p>
    <w:p>
      <w:pPr>
        <w:pStyle w:val="CMT"/>
        <w:rPr/>
      </w:pPr>
      <w:r>
        <w:rPr/>
        <w:t>Retain first subparagraph below for PCI Categories AB or AC.</w:t>
      </w:r>
    </w:p>
    <w:p>
      <w:pPr>
        <w:pStyle w:val="PR3"/>
        <w:numPr>
          <w:ilvl w:val="6"/>
          <w:numId w:val="1"/>
        </w:numPr>
        <w:rPr/>
      </w:pPr>
      <w:r>
        <w:rPr>
          <w:rStyle w:val="IP"/>
        </w:rPr>
        <w:t>20 to 40 ft.</w:t>
      </w:r>
      <w:r>
        <w:rPr>
          <w:rStyle w:val="SI"/>
        </w:rPr>
        <w:t xml:space="preserve"> (6 to 12 m)</w:t>
      </w:r>
      <w:r>
        <w:rPr/>
        <w:t xml:space="preserve">, plus or minus </w:t>
      </w:r>
      <w:r>
        <w:rPr>
          <w:rStyle w:val="IP"/>
        </w:rPr>
        <w:t>3/8 inch</w:t>
      </w:r>
      <w:r>
        <w:rPr>
          <w:rStyle w:val="SI"/>
        </w:rPr>
        <w:t xml:space="preserve"> (10 mm)</w:t>
      </w:r>
      <w:r>
        <w:rPr/>
        <w:t>.</w:t>
      </w:r>
    </w:p>
    <w:p>
      <w:pPr>
        <w:pStyle w:val="CMT"/>
        <w:rPr/>
      </w:pPr>
      <w:r>
        <w:rPr/>
        <w:t>Retain first subparagraph below for PCI Category AA; retain second subparagraph for Categories AB or AC.</w:t>
      </w:r>
    </w:p>
    <w:p>
      <w:pPr>
        <w:pStyle w:val="PR3"/>
        <w:numPr>
          <w:ilvl w:val="6"/>
          <w:numId w:val="1"/>
        </w:numPr>
        <w:rPr/>
      </w:pPr>
      <w:r>
        <w:rPr/>
        <w:t xml:space="preserve">Greater Than 20 ft. (6 m): Each additional </w:t>
      </w:r>
      <w:r>
        <w:rPr>
          <w:rStyle w:val="IP"/>
        </w:rPr>
        <w:t>10 ft.</w:t>
      </w:r>
      <w:r>
        <w:rPr>
          <w:rStyle w:val="SI"/>
        </w:rPr>
        <w:t xml:space="preserve"> (3 m)</w:t>
      </w:r>
      <w:r>
        <w:rPr/>
        <w:t xml:space="preserve">, plus or minus </w:t>
      </w:r>
      <w:r>
        <w:rPr>
          <w:rStyle w:val="IP"/>
        </w:rPr>
        <w:t>1/8 inch</w:t>
      </w:r>
      <w:r>
        <w:rPr>
          <w:rStyle w:val="SI"/>
        </w:rPr>
        <w:t xml:space="preserve"> (3 mm)</w:t>
      </w:r>
      <w:r>
        <w:rPr/>
        <w:t>.</w:t>
      </w:r>
    </w:p>
    <w:p>
      <w:pPr>
        <w:pStyle w:val="PR3"/>
        <w:numPr>
          <w:ilvl w:val="6"/>
          <w:numId w:val="1"/>
        </w:numPr>
        <w:rPr/>
      </w:pPr>
      <w:r>
        <w:rPr/>
        <w:t xml:space="preserve">Greater Than 40 ft. (12 m): Each additional </w:t>
      </w:r>
      <w:r>
        <w:rPr>
          <w:rStyle w:val="IP"/>
        </w:rPr>
        <w:t>10 ft.</w:t>
      </w:r>
      <w:r>
        <w:rPr>
          <w:rStyle w:val="SI"/>
        </w:rPr>
        <w:t xml:space="preserve"> (3 m)</w:t>
      </w:r>
      <w:r>
        <w:rPr/>
        <w:t xml:space="preserve">, plus or minus </w:t>
      </w:r>
      <w:r>
        <w:rPr>
          <w:rStyle w:val="IP"/>
        </w:rPr>
        <w:t>1/8 inch</w:t>
      </w:r>
      <w:r>
        <w:rPr>
          <w:rStyle w:val="SI"/>
        </w:rPr>
        <w:t xml:space="preserve"> (3 mm)</w:t>
      </w:r>
      <w:r>
        <w:rPr/>
        <w:t>.</w:t>
      </w:r>
    </w:p>
    <w:p>
      <w:pPr>
        <w:pStyle w:val="CMT"/>
        <w:rPr/>
      </w:pPr>
      <w:r>
        <w:rPr/>
        <w:t>Retain first option in first subparagraph below for PCI Category AA only.</w:t>
      </w:r>
    </w:p>
    <w:p>
      <w:pPr>
        <w:pStyle w:val="PR2"/>
        <w:numPr>
          <w:ilvl w:val="5"/>
          <w:numId w:val="1"/>
        </w:numPr>
        <w:spacing w:before="240" w:after="0"/>
        <w:rPr/>
      </w:pPr>
      <w:r>
        <w:rPr/>
        <w:t>Total Thickness or Flange Thickness: [</w:t>
      </w:r>
      <w:r>
        <w:rPr>
          <w:b/>
        </w:rPr>
        <w:t xml:space="preserve">Exposed edge plus or minus </w:t>
      </w:r>
      <w:r>
        <w:rPr>
          <w:rStyle w:val="IP"/>
          <w:b/>
        </w:rPr>
        <w:t>1/8 inch</w:t>
      </w:r>
      <w:r>
        <w:rPr>
          <w:rStyle w:val="SI"/>
          <w:b/>
        </w:rPr>
        <w:t xml:space="preserve"> (3 mm)</w:t>
      </w:r>
      <w:r>
        <w:rPr>
          <w:b/>
        </w:rPr>
        <w:t>; Unexposed edge</w:t>
      </w:r>
      <w:r>
        <w:rPr/>
        <w:t xml:space="preserve">] plus </w:t>
      </w:r>
      <w:r>
        <w:rPr>
          <w:rStyle w:val="IP"/>
        </w:rPr>
        <w:t>1/4 inch</w:t>
      </w:r>
      <w:r>
        <w:rPr>
          <w:rStyle w:val="SI"/>
        </w:rPr>
        <w:t xml:space="preserve"> (6 mm)</w:t>
      </w:r>
      <w:r>
        <w:rPr/>
        <w:t xml:space="preserve">, minus </w:t>
      </w:r>
      <w:r>
        <w:rPr>
          <w:rStyle w:val="IP"/>
        </w:rPr>
        <w:t>1/8 inch</w:t>
      </w:r>
      <w:r>
        <w:rPr>
          <w:rStyle w:val="SI"/>
        </w:rPr>
        <w:t xml:space="preserve"> (3 mm)</w:t>
      </w:r>
      <w:r>
        <w:rPr/>
        <w:t>.</w:t>
      </w:r>
    </w:p>
    <w:p>
      <w:pPr>
        <w:pStyle w:val="PR2"/>
        <w:numPr>
          <w:ilvl w:val="5"/>
          <w:numId w:val="1"/>
        </w:numPr>
        <w:rPr/>
      </w:pPr>
      <w:r>
        <w:rPr/>
        <w:t xml:space="preserve">Rib Thickness: Plus or minus </w:t>
      </w:r>
      <w:r>
        <w:rPr>
          <w:rStyle w:val="IP"/>
        </w:rPr>
        <w:t>1/8 inch</w:t>
      </w:r>
      <w:r>
        <w:rPr>
          <w:rStyle w:val="SI"/>
        </w:rPr>
        <w:t xml:space="preserve"> (3 mm)</w:t>
      </w:r>
      <w:r>
        <w:rPr/>
        <w:t>.</w:t>
      </w:r>
    </w:p>
    <w:p>
      <w:pPr>
        <w:pStyle w:val="PR2"/>
        <w:numPr>
          <w:ilvl w:val="5"/>
          <w:numId w:val="1"/>
        </w:numPr>
        <w:rPr/>
      </w:pPr>
      <w:r>
        <w:rPr/>
        <w:t xml:space="preserve">Rib to Edge of Flange: Plus or minus </w:t>
      </w:r>
      <w:r>
        <w:rPr>
          <w:rStyle w:val="IP"/>
        </w:rPr>
        <w:t>1/8 inch</w:t>
      </w:r>
      <w:r>
        <w:rPr>
          <w:rStyle w:val="SI"/>
        </w:rPr>
        <w:t xml:space="preserve"> (3 mm)</w:t>
      </w:r>
      <w:r>
        <w:rPr/>
        <w:t>.</w:t>
      </w:r>
    </w:p>
    <w:p>
      <w:pPr>
        <w:pStyle w:val="PR2"/>
        <w:numPr>
          <w:ilvl w:val="5"/>
          <w:numId w:val="1"/>
        </w:numPr>
        <w:rPr/>
      </w:pPr>
      <w:r>
        <w:rPr/>
        <w:t xml:space="preserve">Distance between Ribs: Plus or minus </w:t>
      </w:r>
      <w:r>
        <w:rPr>
          <w:rStyle w:val="IP"/>
        </w:rPr>
        <w:t>1/8 inch</w:t>
      </w:r>
      <w:r>
        <w:rPr>
          <w:rStyle w:val="SI"/>
        </w:rPr>
        <w:t xml:space="preserve"> (3 mm)</w:t>
      </w:r>
      <w:r>
        <w:rPr/>
        <w:t>.</w:t>
      </w:r>
    </w:p>
    <w:p>
      <w:pPr>
        <w:pStyle w:val="PR2"/>
        <w:numPr>
          <w:ilvl w:val="5"/>
          <w:numId w:val="1"/>
        </w:numPr>
        <w:rPr/>
      </w:pPr>
      <w:r>
        <w:rPr/>
        <w:t xml:space="preserve">Variation from Square or Designated Skew (Difference in Length of the Two Diagonal Measurements): Plus or minus </w:t>
      </w:r>
      <w:r>
        <w:rPr>
          <w:rStyle w:val="IP"/>
        </w:rPr>
        <w:t>1/8 inch/72 inches</w:t>
      </w:r>
      <w:r>
        <w:rPr>
          <w:rStyle w:val="SI"/>
        </w:rPr>
        <w:t xml:space="preserve"> (3 mm/1830 mm)</w:t>
      </w:r>
      <w:r>
        <w:rPr/>
        <w:t xml:space="preserve"> or </w:t>
      </w:r>
      <w:r>
        <w:rPr>
          <w:rStyle w:val="IP"/>
        </w:rPr>
        <w:t>1/2 inch</w:t>
      </w:r>
      <w:r>
        <w:rPr>
          <w:rStyle w:val="SI"/>
        </w:rPr>
        <w:t xml:space="preserve"> (13 mm)</w:t>
      </w:r>
      <w:r>
        <w:rPr/>
        <w:t xml:space="preserve"> total, whichever is greater.</w:t>
      </w:r>
    </w:p>
    <w:p>
      <w:pPr>
        <w:pStyle w:val="CMT"/>
        <w:rPr/>
      </w:pPr>
      <w:r>
        <w:rPr/>
        <w:t>Retain first option in first subparagraph below for PCI Category AA, second option for Categories AB or AC.</w:t>
      </w:r>
    </w:p>
    <w:p>
      <w:pPr>
        <w:pStyle w:val="PR2"/>
        <w:numPr>
          <w:ilvl w:val="5"/>
          <w:numId w:val="1"/>
        </w:numPr>
        <w:rPr/>
      </w:pPr>
      <w:r>
        <w:rPr/>
        <w:t>Length and Width of Block-outs and Openings within One Unit: [</w:t>
      </w:r>
      <w:r>
        <w:rPr>
          <w:b/>
        </w:rPr>
        <w:t xml:space="preserve">Plus or minus </w:t>
      </w:r>
      <w:r>
        <w:rPr>
          <w:rStyle w:val="IP"/>
          <w:b/>
        </w:rPr>
        <w:t>1/8 inch</w:t>
      </w:r>
      <w:r>
        <w:rPr>
          <w:rStyle w:val="SI"/>
          <w:b/>
        </w:rPr>
        <w:t xml:space="preserve"> (3 mm)</w:t>
      </w:r>
      <w:r>
        <w:rPr>
          <w:b/>
        </w:rPr>
        <w:t xml:space="preserve"> for maximum opening dimensions less than </w:t>
      </w:r>
      <w:r>
        <w:rPr>
          <w:rStyle w:val="IP"/>
          <w:b/>
        </w:rPr>
        <w:t>10 ft.</w:t>
      </w:r>
      <w:r>
        <w:rPr>
          <w:rStyle w:val="SI"/>
          <w:b/>
        </w:rPr>
        <w:t xml:space="preserve"> (3 m)</w:t>
      </w:r>
      <w:r>
        <w:rPr>
          <w:b/>
        </w:rPr>
        <w:t xml:space="preserve"> and plus </w:t>
      </w:r>
      <w:r>
        <w:rPr>
          <w:rStyle w:val="IP"/>
          <w:b/>
        </w:rPr>
        <w:t>3/16 inch</w:t>
      </w:r>
      <w:r>
        <w:rPr>
          <w:rStyle w:val="SI"/>
          <w:b/>
        </w:rPr>
        <w:t xml:space="preserve"> (5 mm)</w:t>
      </w:r>
      <w:r>
        <w:rPr>
          <w:b/>
        </w:rPr>
        <w:t xml:space="preserve">, minus </w:t>
      </w:r>
      <w:r>
        <w:rPr>
          <w:rStyle w:val="IP"/>
          <w:b/>
        </w:rPr>
        <w:t>1/8 inch</w:t>
      </w:r>
      <w:r>
        <w:rPr>
          <w:rStyle w:val="SI"/>
          <w:b/>
        </w:rPr>
        <w:t xml:space="preserve"> (3 mm)</w:t>
      </w:r>
      <w:r>
        <w:rPr>
          <w:b/>
        </w:rPr>
        <w:t xml:space="preserve"> for maximum opening dimensions greater than </w:t>
      </w:r>
      <w:r>
        <w:rPr>
          <w:rStyle w:val="IP"/>
          <w:b/>
        </w:rPr>
        <w:t>10 ft.</w:t>
      </w:r>
      <w:r>
        <w:rPr>
          <w:rStyle w:val="SI"/>
          <w:b/>
        </w:rPr>
        <w:t xml:space="preserve"> (3 m)</w:t>
      </w:r>
      <w:r>
        <w:rPr/>
        <w:t>] [</w:t>
      </w:r>
      <w:r>
        <w:rPr>
          <w:b/>
        </w:rPr>
        <w:t xml:space="preserve">Plus or minus </w:t>
      </w:r>
      <w:r>
        <w:rPr>
          <w:rStyle w:val="IP"/>
          <w:b/>
        </w:rPr>
        <w:t>1/4 inch</w:t>
      </w:r>
      <w:r>
        <w:rPr>
          <w:rStyle w:val="SI"/>
          <w:b/>
        </w:rPr>
        <w:t xml:space="preserve"> (6 mm)</w:t>
      </w:r>
      <w:r>
        <w:rPr/>
        <w:t>].</w:t>
      </w:r>
    </w:p>
    <w:p>
      <w:pPr>
        <w:pStyle w:val="PR2"/>
        <w:numPr>
          <w:ilvl w:val="5"/>
          <w:numId w:val="1"/>
        </w:numPr>
        <w:rPr/>
      </w:pPr>
      <w:r>
        <w:rPr/>
        <w:t xml:space="preserve">Location and Dimension of Block-outs Hidden from View and Used for HVAC and Utility Penetrations: Plus or minus </w:t>
      </w:r>
      <w:r>
        <w:rPr>
          <w:rStyle w:val="IP"/>
        </w:rPr>
        <w:t>3/4 inch</w:t>
      </w:r>
      <w:r>
        <w:rPr>
          <w:rStyle w:val="SI"/>
        </w:rPr>
        <w:t xml:space="preserve"> (19 mm)</w:t>
      </w:r>
      <w:r>
        <w:rPr/>
        <w:t>.</w:t>
      </w:r>
    </w:p>
    <w:p>
      <w:pPr>
        <w:pStyle w:val="PR2"/>
        <w:numPr>
          <w:ilvl w:val="5"/>
          <w:numId w:val="1"/>
        </w:numPr>
        <w:rPr/>
      </w:pPr>
      <w:r>
        <w:rPr/>
        <w:t xml:space="preserve">Dimensions of Haunches: Plus or minus </w:t>
      </w:r>
      <w:r>
        <w:rPr>
          <w:rStyle w:val="IP"/>
        </w:rPr>
        <w:t>1/4 inch</w:t>
      </w:r>
      <w:r>
        <w:rPr>
          <w:rStyle w:val="SI"/>
        </w:rPr>
        <w:t xml:space="preserve"> (6 mm)</w:t>
      </w:r>
      <w:r>
        <w:rPr/>
        <w:t>.</w:t>
      </w:r>
    </w:p>
    <w:p>
      <w:pPr>
        <w:pStyle w:val="PR2"/>
        <w:numPr>
          <w:ilvl w:val="5"/>
          <w:numId w:val="1"/>
        </w:numPr>
        <w:rPr/>
      </w:pPr>
      <w:r>
        <w:rPr/>
        <w:t xml:space="preserve">Haunch Bearing Surface Deviation from Specified Plane: Plus or minus </w:t>
      </w:r>
      <w:r>
        <w:rPr>
          <w:rStyle w:val="IP"/>
        </w:rPr>
        <w:t>1/8 inch</w:t>
      </w:r>
      <w:r>
        <w:rPr>
          <w:rStyle w:val="SI"/>
        </w:rPr>
        <w:t xml:space="preserve"> (3 mm)</w:t>
      </w:r>
      <w:r>
        <w:rPr/>
        <w:t>.</w:t>
      </w:r>
    </w:p>
    <w:p>
      <w:pPr>
        <w:pStyle w:val="PR2"/>
        <w:numPr>
          <w:ilvl w:val="5"/>
          <w:numId w:val="1"/>
        </w:numPr>
        <w:rPr/>
      </w:pPr>
      <w:r>
        <w:rPr/>
        <w:t xml:space="preserve">Difference in Relative Position of Adjacent Haunch Bearing Surfaces from Specified Relative Position: Plus or minus </w:t>
      </w:r>
      <w:r>
        <w:rPr>
          <w:rStyle w:val="IP"/>
        </w:rPr>
        <w:t>1/4 inch</w:t>
      </w:r>
      <w:r>
        <w:rPr>
          <w:rStyle w:val="SI"/>
        </w:rPr>
        <w:t xml:space="preserve"> (6 mm)</w:t>
      </w:r>
      <w:r>
        <w:rPr/>
        <w:t>.</w:t>
      </w:r>
    </w:p>
    <w:p>
      <w:pPr>
        <w:pStyle w:val="PR2"/>
        <w:numPr>
          <w:ilvl w:val="5"/>
          <w:numId w:val="1"/>
        </w:numPr>
        <w:rPr/>
      </w:pPr>
      <w:r>
        <w:rPr/>
        <w:t xml:space="preserve">Bowing: Plus or minus L/360, maximum </w:t>
      </w:r>
      <w:r>
        <w:rPr>
          <w:rStyle w:val="IP"/>
        </w:rPr>
        <w:t>1 inch</w:t>
      </w:r>
      <w:r>
        <w:rPr>
          <w:rStyle w:val="SI"/>
        </w:rPr>
        <w:t xml:space="preserve"> (25 mm)</w:t>
      </w:r>
      <w:r>
        <w:rPr/>
        <w:t>.</w:t>
      </w:r>
    </w:p>
    <w:p>
      <w:pPr>
        <w:pStyle w:val="PR2"/>
        <w:numPr>
          <w:ilvl w:val="5"/>
          <w:numId w:val="1"/>
        </w:numPr>
        <w:rPr/>
      </w:pPr>
      <w:r>
        <w:rPr/>
        <w:t xml:space="preserve">Local Smoothness: </w:t>
      </w:r>
      <w:r>
        <w:rPr>
          <w:rStyle w:val="IP"/>
        </w:rPr>
        <w:t>1/4 inch/10 ft.</w:t>
      </w:r>
      <w:r>
        <w:rPr>
          <w:rStyle w:val="SI"/>
        </w:rPr>
        <w:t xml:space="preserve"> (6 mm/3 m)</w:t>
      </w:r>
      <w:r>
        <w:rPr/>
        <w:t>.</w:t>
      </w:r>
    </w:p>
    <w:p>
      <w:pPr>
        <w:pStyle w:val="PR2"/>
        <w:numPr>
          <w:ilvl w:val="5"/>
          <w:numId w:val="1"/>
        </w:numPr>
        <w:rPr/>
      </w:pPr>
      <w:r>
        <w:rPr/>
        <w:t xml:space="preserve">Warping: </w:t>
      </w:r>
      <w:r>
        <w:rPr>
          <w:rStyle w:val="IP"/>
        </w:rPr>
        <w:t>1/16 inch/12 inches</w:t>
      </w:r>
      <w:r>
        <w:rPr>
          <w:rStyle w:val="SI"/>
        </w:rPr>
        <w:t xml:space="preserve"> (1.6 mm/300 mm)</w:t>
      </w:r>
      <w:r>
        <w:rPr/>
        <w:t xml:space="preserve"> from nearest adjacent corner.</w:t>
      </w:r>
    </w:p>
    <w:p>
      <w:pPr>
        <w:pStyle w:val="PR1"/>
        <w:numPr>
          <w:ilvl w:val="4"/>
          <w:numId w:val="1"/>
        </w:numPr>
        <w:rPr/>
      </w:pPr>
      <w:r>
        <w:rPr/>
        <w:t>Position Tolerances: For cast-in items measured from datum line location, as indicated on Shop Drawings.</w:t>
      </w:r>
    </w:p>
    <w:p>
      <w:pPr>
        <w:pStyle w:val="PR2"/>
        <w:numPr>
          <w:ilvl w:val="5"/>
          <w:numId w:val="1"/>
        </w:numPr>
        <w:spacing w:before="240" w:after="0"/>
        <w:rPr/>
      </w:pPr>
      <w:r>
        <w:rPr/>
        <w:t xml:space="preserve">Weld Plates: Plus or minus </w:t>
      </w:r>
      <w:r>
        <w:rPr>
          <w:rStyle w:val="IP"/>
        </w:rPr>
        <w:t>1 inch</w:t>
      </w:r>
      <w:r>
        <w:rPr>
          <w:rStyle w:val="SI"/>
        </w:rPr>
        <w:t xml:space="preserve"> (25 mm)</w:t>
      </w:r>
      <w:r>
        <w:rPr/>
        <w:t>.</w:t>
      </w:r>
    </w:p>
    <w:p>
      <w:pPr>
        <w:pStyle w:val="PR2"/>
        <w:numPr>
          <w:ilvl w:val="5"/>
          <w:numId w:val="1"/>
        </w:numPr>
        <w:rPr/>
      </w:pPr>
      <w:r>
        <w:rPr/>
        <w:t xml:space="preserve">Tipping and Flushness of Plates: Plus or minus </w:t>
      </w:r>
      <w:r>
        <w:rPr>
          <w:rStyle w:val="IP"/>
        </w:rPr>
        <w:t>1/4 inch</w:t>
      </w:r>
      <w:r>
        <w:rPr>
          <w:rStyle w:val="SI"/>
        </w:rPr>
        <w:t xml:space="preserve"> (6 mm)</w:t>
      </w:r>
      <w:r>
        <w:rPr/>
        <w:t>.</w:t>
      </w:r>
    </w:p>
    <w:p>
      <w:pPr>
        <w:pStyle w:val="PR2"/>
        <w:numPr>
          <w:ilvl w:val="5"/>
          <w:numId w:val="1"/>
        </w:numPr>
        <w:rPr/>
      </w:pPr>
      <w:r>
        <w:rPr/>
        <w:t xml:space="preserve">Dimensions of Architectural Features and Rustications: Plus or minus </w:t>
      </w:r>
      <w:r>
        <w:rPr>
          <w:rStyle w:val="IP"/>
        </w:rPr>
        <w:t>1/8 inch</w:t>
      </w:r>
      <w:r>
        <w:rPr>
          <w:rStyle w:val="SI"/>
        </w:rPr>
        <w:t xml:space="preserve"> (3 mm)</w:t>
      </w:r>
      <w:r>
        <w:rPr/>
        <w:t>.</w:t>
      </w:r>
    </w:p>
    <w:p>
      <w:pPr>
        <w:pStyle w:val="PR2"/>
        <w:numPr>
          <w:ilvl w:val="5"/>
          <w:numId w:val="1"/>
        </w:numPr>
        <w:rPr/>
      </w:pPr>
      <w:r>
        <w:rPr/>
        <w:t xml:space="preserve">Inserts: Plus or minus </w:t>
      </w:r>
      <w:r>
        <w:rPr>
          <w:rStyle w:val="IP"/>
        </w:rPr>
        <w:t>1/2 inch</w:t>
      </w:r>
      <w:r>
        <w:rPr>
          <w:rStyle w:val="SI"/>
        </w:rPr>
        <w:t xml:space="preserve"> (13 mm)</w:t>
      </w:r>
      <w:r>
        <w:rPr/>
        <w:t>.</w:t>
      </w:r>
    </w:p>
    <w:p>
      <w:pPr>
        <w:pStyle w:val="PR2"/>
        <w:numPr>
          <w:ilvl w:val="5"/>
          <w:numId w:val="1"/>
        </w:numPr>
        <w:rPr/>
      </w:pPr>
      <w:r>
        <w:rPr/>
        <w:t xml:space="preserve">Handling Devices: Plus or minus </w:t>
      </w:r>
      <w:r>
        <w:rPr>
          <w:rStyle w:val="IP"/>
        </w:rPr>
        <w:t>3 inches</w:t>
      </w:r>
      <w:r>
        <w:rPr>
          <w:rStyle w:val="SI"/>
        </w:rPr>
        <w:t xml:space="preserve"> (75 mm)</w:t>
      </w:r>
      <w:r>
        <w:rPr/>
        <w:t>.</w:t>
      </w:r>
    </w:p>
    <w:p>
      <w:pPr>
        <w:pStyle w:val="PR2"/>
        <w:numPr>
          <w:ilvl w:val="5"/>
          <w:numId w:val="1"/>
        </w:numPr>
        <w:rPr/>
      </w:pPr>
      <w:r>
        <w:rPr/>
        <w:t xml:space="preserve">Reinforcing Steel and Welded-Wire Reinforcement: Plus or minus </w:t>
      </w:r>
      <w:r>
        <w:rPr>
          <w:rStyle w:val="IP"/>
        </w:rPr>
        <w:t>1/4 inch</w:t>
      </w:r>
      <w:r>
        <w:rPr>
          <w:rStyle w:val="SI"/>
        </w:rPr>
        <w:t xml:space="preserve"> (6 mm)</w:t>
      </w:r>
      <w:r>
        <w:rPr/>
        <w:t xml:space="preserve"> where position has structural implications or affects concrete cover; otherwise, plus or minus </w:t>
      </w:r>
      <w:r>
        <w:rPr>
          <w:rStyle w:val="IP"/>
        </w:rPr>
        <w:t>1/2 inch</w:t>
      </w:r>
      <w:r>
        <w:rPr>
          <w:rStyle w:val="SI"/>
        </w:rPr>
        <w:t xml:space="preserve"> (13 mm)</w:t>
      </w:r>
      <w:r>
        <w:rPr/>
        <w:t>.</w:t>
      </w:r>
    </w:p>
    <w:p>
      <w:pPr>
        <w:pStyle w:val="PR2"/>
        <w:numPr>
          <w:ilvl w:val="5"/>
          <w:numId w:val="1"/>
        </w:numPr>
        <w:rPr/>
      </w:pPr>
      <w:r>
        <w:rPr/>
        <w:t xml:space="preserve">Reinforcing Steel Extending out of Member: Plus or minus </w:t>
      </w:r>
      <w:r>
        <w:rPr>
          <w:rStyle w:val="IP"/>
        </w:rPr>
        <w:t>1/2 inch</w:t>
      </w:r>
      <w:r>
        <w:rPr>
          <w:rStyle w:val="SI"/>
        </w:rPr>
        <w:t xml:space="preserve"> (13 mm)</w:t>
      </w:r>
      <w:r>
        <w:rPr/>
        <w:t>.</w:t>
      </w:r>
    </w:p>
    <w:p>
      <w:pPr>
        <w:pStyle w:val="PR2"/>
        <w:numPr>
          <w:ilvl w:val="5"/>
          <w:numId w:val="1"/>
        </w:numPr>
        <w:rPr/>
      </w:pPr>
      <w:r>
        <w:rPr/>
        <w:t xml:space="preserve">Prestressing Reinforcement: Plus or minus </w:t>
      </w:r>
      <w:r>
        <w:rPr>
          <w:rStyle w:val="IP"/>
        </w:rPr>
        <w:t>1/4 inch</w:t>
      </w:r>
      <w:r>
        <w:rPr>
          <w:rStyle w:val="SI"/>
        </w:rPr>
        <w:t xml:space="preserve"> (6 mm)</w:t>
      </w:r>
      <w:r>
        <w:rPr/>
        <w:t xml:space="preserve">, perpendicular to panel; plus or minus </w:t>
      </w:r>
      <w:r>
        <w:rPr>
          <w:rStyle w:val="IP"/>
        </w:rPr>
        <w:t>1 inch</w:t>
      </w:r>
      <w:r>
        <w:rPr>
          <w:rStyle w:val="SI"/>
        </w:rPr>
        <w:t xml:space="preserve"> (25 mm)</w:t>
      </w:r>
      <w:r>
        <w:rPr/>
        <w:t>, parallel to panel.</w:t>
      </w:r>
    </w:p>
    <w:p>
      <w:pPr>
        <w:pStyle w:val="PR2"/>
        <w:numPr>
          <w:ilvl w:val="5"/>
          <w:numId w:val="1"/>
        </w:numPr>
        <w:rPr/>
      </w:pPr>
      <w:r>
        <w:rPr/>
        <w:t xml:space="preserve">Location of Rustication Joints: Plus or minus </w:t>
      </w:r>
      <w:r>
        <w:rPr>
          <w:rStyle w:val="IP"/>
        </w:rPr>
        <w:t>1/8 inch</w:t>
      </w:r>
      <w:r>
        <w:rPr>
          <w:rStyle w:val="SI"/>
        </w:rPr>
        <w:t xml:space="preserve"> (3 mm)</w:t>
      </w:r>
      <w:r>
        <w:rPr/>
        <w:t>.</w:t>
      </w:r>
    </w:p>
    <w:p>
      <w:pPr>
        <w:pStyle w:val="PR2"/>
        <w:numPr>
          <w:ilvl w:val="5"/>
          <w:numId w:val="1"/>
        </w:numPr>
        <w:rPr/>
      </w:pPr>
      <w:r>
        <w:rPr/>
        <w:t xml:space="preserve">Location of Opening within Panel: Plus or minus </w:t>
      </w:r>
      <w:r>
        <w:rPr>
          <w:rStyle w:val="IP"/>
        </w:rPr>
        <w:t>1/4 inch</w:t>
      </w:r>
      <w:r>
        <w:rPr>
          <w:rStyle w:val="SI"/>
        </w:rPr>
        <w:t xml:space="preserve"> (6 mm)</w:t>
      </w:r>
      <w:r>
        <w:rPr/>
        <w:t>.</w:t>
      </w:r>
    </w:p>
    <w:p>
      <w:pPr>
        <w:pStyle w:val="PR2"/>
        <w:numPr>
          <w:ilvl w:val="5"/>
          <w:numId w:val="1"/>
        </w:numPr>
        <w:rPr/>
      </w:pPr>
      <w:r>
        <w:rPr/>
        <w:t xml:space="preserve">Location of Flashing Reglets: Plus or minus </w:t>
      </w:r>
      <w:r>
        <w:rPr>
          <w:rStyle w:val="IP"/>
        </w:rPr>
        <w:t>1/4 inch</w:t>
      </w:r>
      <w:r>
        <w:rPr>
          <w:rStyle w:val="SI"/>
        </w:rPr>
        <w:t xml:space="preserve"> (6 mm)</w:t>
      </w:r>
      <w:r>
        <w:rPr/>
        <w:t>.</w:t>
      </w:r>
    </w:p>
    <w:p>
      <w:pPr>
        <w:pStyle w:val="PR2"/>
        <w:numPr>
          <w:ilvl w:val="5"/>
          <w:numId w:val="1"/>
        </w:numPr>
        <w:rPr/>
      </w:pPr>
      <w:r>
        <w:rPr/>
        <w:t xml:space="preserve">Location of Flashing Reglets at Edge of Panel: Plus or minus </w:t>
      </w:r>
      <w:r>
        <w:rPr>
          <w:rStyle w:val="IP"/>
        </w:rPr>
        <w:t>1/8 inch</w:t>
      </w:r>
      <w:r>
        <w:rPr>
          <w:rStyle w:val="SI"/>
        </w:rPr>
        <w:t xml:space="preserve"> (3 mm)</w:t>
      </w:r>
      <w:r>
        <w:rPr/>
        <w:t>.</w:t>
      </w:r>
    </w:p>
    <w:p>
      <w:pPr>
        <w:pStyle w:val="PR2"/>
        <w:numPr>
          <w:ilvl w:val="5"/>
          <w:numId w:val="1"/>
        </w:numPr>
        <w:rPr/>
      </w:pPr>
      <w:r>
        <w:rPr/>
        <w:t xml:space="preserve">Reglets for Glazing Gaskets: Plus or minus </w:t>
      </w:r>
      <w:r>
        <w:rPr>
          <w:rStyle w:val="IP"/>
        </w:rPr>
        <w:t>1/8 inch</w:t>
      </w:r>
      <w:r>
        <w:rPr>
          <w:rStyle w:val="SI"/>
        </w:rPr>
        <w:t xml:space="preserve"> (3 mm)</w:t>
      </w:r>
      <w:r>
        <w:rPr/>
        <w:t>.</w:t>
      </w:r>
    </w:p>
    <w:p>
      <w:pPr>
        <w:pStyle w:val="PR2"/>
        <w:numPr>
          <w:ilvl w:val="5"/>
          <w:numId w:val="1"/>
        </w:numPr>
        <w:rPr/>
      </w:pPr>
      <w:r>
        <w:rPr/>
        <w:t xml:space="preserve">Electrical Outlets, Hose Bibs: Plus or minus </w:t>
      </w:r>
      <w:r>
        <w:rPr>
          <w:rStyle w:val="IP"/>
        </w:rPr>
        <w:t>1/2 inch</w:t>
      </w:r>
      <w:r>
        <w:rPr>
          <w:rStyle w:val="SI"/>
        </w:rPr>
        <w:t xml:space="preserve"> (13 mm)</w:t>
      </w:r>
      <w:r>
        <w:rPr/>
        <w:t>.</w:t>
      </w:r>
    </w:p>
    <w:p>
      <w:pPr>
        <w:pStyle w:val="PR2"/>
        <w:numPr>
          <w:ilvl w:val="5"/>
          <w:numId w:val="1"/>
        </w:numPr>
        <w:rPr/>
      </w:pPr>
      <w:r>
        <w:rPr/>
        <w:t xml:space="preserve">Location of Bearing Surface from End of Member: Plus or minus </w:t>
      </w:r>
      <w:r>
        <w:rPr>
          <w:rStyle w:val="IP"/>
        </w:rPr>
        <w:t>1/4 inch</w:t>
      </w:r>
      <w:r>
        <w:rPr>
          <w:rStyle w:val="SI"/>
        </w:rPr>
        <w:t xml:space="preserve"> (6 mm)</w:t>
      </w:r>
      <w:r>
        <w:rPr/>
        <w:t>.</w:t>
      </w:r>
    </w:p>
    <w:p>
      <w:pPr>
        <w:pStyle w:val="PR2"/>
        <w:numPr>
          <w:ilvl w:val="5"/>
          <w:numId w:val="1"/>
        </w:numPr>
        <w:rPr/>
      </w:pPr>
      <w:r>
        <w:rPr/>
        <w:t xml:space="preserve">Allowable Rotation of Plate, Channel Inserts, and Electrical Boxes: Two-degree rotation or </w:t>
      </w:r>
      <w:r>
        <w:rPr>
          <w:rStyle w:val="IP"/>
        </w:rPr>
        <w:t>1/4 inch</w:t>
      </w:r>
      <w:r>
        <w:rPr>
          <w:rStyle w:val="SI"/>
        </w:rPr>
        <w:t xml:space="preserve"> (6 mm)</w:t>
      </w:r>
      <w:r>
        <w:rPr/>
        <w:t xml:space="preserve"> maximum, measured at perimeter of insert.</w:t>
      </w:r>
    </w:p>
    <w:p>
      <w:pPr>
        <w:pStyle w:val="PR2"/>
        <w:numPr>
          <w:ilvl w:val="5"/>
          <w:numId w:val="1"/>
        </w:numPr>
        <w:rPr/>
      </w:pPr>
      <w:r>
        <w:rPr/>
        <w:t xml:space="preserve">Position of Sleeve: Plus or minus </w:t>
      </w:r>
      <w:r>
        <w:rPr>
          <w:rStyle w:val="IP"/>
        </w:rPr>
        <w:t>1/2 inch</w:t>
      </w:r>
      <w:r>
        <w:rPr>
          <w:rStyle w:val="SI"/>
        </w:rPr>
        <w:t xml:space="preserve"> (13 mm)</w:t>
      </w:r>
      <w:r>
        <w:rPr/>
        <w:t>.</w:t>
      </w:r>
    </w:p>
    <w:p>
      <w:pPr>
        <w:pStyle w:val="PR2"/>
        <w:numPr>
          <w:ilvl w:val="5"/>
          <w:numId w:val="1"/>
        </w:numPr>
        <w:rPr/>
      </w:pPr>
      <w:r>
        <w:rPr/>
        <w:t xml:space="preserve">Location of Window-Washer Track or Buttons: Plus or minus </w:t>
      </w:r>
      <w:r>
        <w:rPr>
          <w:rStyle w:val="IP"/>
        </w:rPr>
        <w:t>1/8 inch</w:t>
      </w:r>
      <w:r>
        <w:rPr>
          <w:rStyle w:val="SI"/>
        </w:rPr>
        <w:t xml:space="preserve"> (3 mm)</w:t>
      </w:r>
      <w:r>
        <w:rPr/>
        <w:t>.</w:t>
      </w:r>
    </w:p>
    <w:p>
      <w:pPr>
        <w:pStyle w:val="CMT"/>
        <w:rPr/>
      </w:pPr>
      <w:r>
        <w:rPr/>
        <w:t>Retain "Thin-Brick-Faced Architectural Precast Concrete Units" Paragraph below if thin-brick-faced architectural units are used.</w:t>
      </w:r>
    </w:p>
    <w:p>
      <w:pPr>
        <w:pStyle w:val="PR1"/>
        <w:numPr>
          <w:ilvl w:val="4"/>
          <w:numId w:val="1"/>
        </w:numPr>
        <w:rPr/>
      </w:pPr>
      <w:r>
        <w:rPr/>
        <w:t>Thin-Brick-Faced Architectural Precast Concrete Units: Restrict the following misalignments to 2 percent of number of thin bricks in a unit.</w:t>
      </w:r>
    </w:p>
    <w:p>
      <w:pPr>
        <w:pStyle w:val="PR2"/>
        <w:numPr>
          <w:ilvl w:val="5"/>
          <w:numId w:val="1"/>
        </w:numPr>
        <w:spacing w:before="240" w:after="0"/>
        <w:rPr/>
      </w:pPr>
      <w:r>
        <w:rPr/>
        <w:t>Alignment of Mortar Joints:</w:t>
      </w:r>
    </w:p>
    <w:p>
      <w:pPr>
        <w:pStyle w:val="PR3"/>
        <w:numPr>
          <w:ilvl w:val="6"/>
          <w:numId w:val="1"/>
        </w:numPr>
        <w:spacing w:before="240" w:after="0"/>
        <w:rPr/>
      </w:pPr>
      <w:r>
        <w:rPr/>
        <w:t xml:space="preserve">Jog in Alignment: </w:t>
      </w:r>
      <w:r>
        <w:rPr>
          <w:rStyle w:val="IP"/>
        </w:rPr>
        <w:t>1/8 inch</w:t>
      </w:r>
      <w:r>
        <w:rPr>
          <w:rStyle w:val="SI"/>
        </w:rPr>
        <w:t xml:space="preserve"> (3 mm)</w:t>
      </w:r>
      <w:r>
        <w:rPr/>
        <w:t>.</w:t>
      </w:r>
    </w:p>
    <w:p>
      <w:pPr>
        <w:pStyle w:val="PR3"/>
        <w:numPr>
          <w:ilvl w:val="6"/>
          <w:numId w:val="1"/>
        </w:numPr>
        <w:rPr/>
      </w:pPr>
      <w:r>
        <w:rPr/>
        <w:t xml:space="preserve">Alignment with Panel Centerline: Plus or minus </w:t>
      </w:r>
      <w:r>
        <w:rPr>
          <w:rStyle w:val="IP"/>
        </w:rPr>
        <w:t>1/8 inch</w:t>
      </w:r>
      <w:r>
        <w:rPr>
          <w:rStyle w:val="SI"/>
        </w:rPr>
        <w:t xml:space="preserve"> (3 mm)</w:t>
      </w:r>
      <w:r>
        <w:rPr/>
        <w:t>.</w:t>
      </w:r>
    </w:p>
    <w:p>
      <w:pPr>
        <w:pStyle w:val="PR2"/>
        <w:numPr>
          <w:ilvl w:val="5"/>
          <w:numId w:val="1"/>
        </w:numPr>
        <w:spacing w:before="240" w:after="0"/>
        <w:rPr/>
      </w:pPr>
      <w:r>
        <w:rPr/>
        <w:t xml:space="preserve">Variation in Width of Exposed Mortar Joints: Plus or minus </w:t>
      </w:r>
      <w:r>
        <w:rPr>
          <w:rStyle w:val="IP"/>
        </w:rPr>
        <w:t>1/8 inch</w:t>
      </w:r>
      <w:r>
        <w:rPr>
          <w:rStyle w:val="SI"/>
        </w:rPr>
        <w:t xml:space="preserve"> (3 mm)</w:t>
      </w:r>
      <w:r>
        <w:rPr/>
        <w:t>.</w:t>
      </w:r>
    </w:p>
    <w:p>
      <w:pPr>
        <w:pStyle w:val="PR2"/>
        <w:numPr>
          <w:ilvl w:val="5"/>
          <w:numId w:val="1"/>
        </w:numPr>
        <w:rPr/>
      </w:pPr>
      <w:r>
        <w:rPr/>
        <w:t xml:space="preserve">Tipping of Individual Thin Bricks from Panel Plane of Exposed Thin-Brick Surface: Plus </w:t>
      </w:r>
      <w:r>
        <w:rPr>
          <w:rStyle w:val="IP"/>
        </w:rPr>
        <w:t>0 inch</w:t>
      </w:r>
      <w:r>
        <w:rPr>
          <w:rStyle w:val="SI"/>
        </w:rPr>
        <w:t xml:space="preserve"> (0 mm)</w:t>
      </w:r>
      <w:r>
        <w:rPr/>
        <w:t xml:space="preserve">; minus </w:t>
      </w:r>
      <w:r>
        <w:rPr>
          <w:rStyle w:val="IP"/>
        </w:rPr>
        <w:t>1/4 inch</w:t>
      </w:r>
      <w:r>
        <w:rPr>
          <w:rStyle w:val="SI"/>
        </w:rPr>
        <w:t xml:space="preserve"> (6 mm)</w:t>
      </w:r>
      <w:r>
        <w:rPr/>
        <w:t xml:space="preserve"> less than or equal to depth of form liner joint.</w:t>
      </w:r>
    </w:p>
    <w:p>
      <w:pPr>
        <w:pStyle w:val="PR2"/>
        <w:numPr>
          <w:ilvl w:val="5"/>
          <w:numId w:val="1"/>
        </w:numPr>
        <w:rPr/>
      </w:pPr>
      <w:r>
        <w:rPr/>
        <w:t xml:space="preserve">Exposed Thin-Brick Surface Parallel to Primary Control Surface of Panel: Plus </w:t>
      </w:r>
      <w:r>
        <w:rPr>
          <w:rStyle w:val="IP"/>
        </w:rPr>
        <w:t>1/4 inch</w:t>
      </w:r>
      <w:r>
        <w:rPr>
          <w:rStyle w:val="SI"/>
        </w:rPr>
        <w:t xml:space="preserve"> (6 mm)</w:t>
      </w:r>
      <w:r>
        <w:rPr/>
        <w:t xml:space="preserve">; minus </w:t>
      </w:r>
      <w:r>
        <w:rPr>
          <w:rStyle w:val="IP"/>
        </w:rPr>
        <w:t>1/8 inch</w:t>
      </w:r>
      <w:r>
        <w:rPr>
          <w:rStyle w:val="SI"/>
        </w:rPr>
        <w:t xml:space="preserve"> (3 mm)</w:t>
      </w:r>
      <w:r>
        <w:rPr/>
        <w:t>.</w:t>
      </w:r>
    </w:p>
    <w:p>
      <w:pPr>
        <w:pStyle w:val="PR2"/>
        <w:numPr>
          <w:ilvl w:val="5"/>
          <w:numId w:val="1"/>
        </w:numPr>
        <w:rPr/>
      </w:pPr>
      <w:r>
        <w:rPr/>
        <w:t xml:space="preserve">Individual Thin-Brick Step in Face from Panel Plane of Exposed Thin-Brick Surface: Plus </w:t>
      </w:r>
      <w:r>
        <w:rPr>
          <w:rStyle w:val="IP"/>
        </w:rPr>
        <w:t>0 inch</w:t>
      </w:r>
      <w:r>
        <w:rPr>
          <w:rStyle w:val="SI"/>
        </w:rPr>
        <w:t xml:space="preserve"> (0 mm)</w:t>
      </w:r>
      <w:r>
        <w:rPr/>
        <w:t xml:space="preserve">; minus </w:t>
      </w:r>
      <w:r>
        <w:rPr>
          <w:rStyle w:val="IP"/>
        </w:rPr>
        <w:t>1/4 inch</w:t>
      </w:r>
      <w:r>
        <w:rPr>
          <w:rStyle w:val="SI"/>
        </w:rPr>
        <w:t xml:space="preserve"> (6 mm)</w:t>
      </w:r>
      <w:r>
        <w:rPr/>
        <w:t xml:space="preserve"> less than or equal to depth of form liner joint.</w:t>
      </w:r>
    </w:p>
    <w:p>
      <w:pPr>
        <w:pStyle w:val="CMT"/>
        <w:rPr/>
      </w:pPr>
      <w:r>
        <w:rPr/>
        <w:t>Retain "Stone Veneer-Faced Architectural Precast Concrete Units" Paragraph below if stone veneer-faced architectural precast units are used.</w:t>
      </w:r>
    </w:p>
    <w:p>
      <w:pPr>
        <w:pStyle w:val="PR1"/>
        <w:numPr>
          <w:ilvl w:val="4"/>
          <w:numId w:val="1"/>
        </w:numPr>
        <w:rPr/>
      </w:pPr>
      <w:r>
        <w:rPr/>
        <w:t>Stone Veneer-Faced Architectural Precast Concrete Units:</w:t>
      </w:r>
    </w:p>
    <w:p>
      <w:pPr>
        <w:pStyle w:val="CMT"/>
        <w:rPr/>
      </w:pPr>
      <w:r>
        <w:rPr/>
        <w:t>Tolerances in "Variation in Cross-Sectional Dimensions," "Variation in Joint Width," and "Variation in Plane between Adjacent Stone Units (Lipping)" subparagraphs below are generally appropriate for smooth-finished stone. Retain, delete, or revise below to suit Project.</w:t>
      </w:r>
    </w:p>
    <w:p>
      <w:pPr>
        <w:pStyle w:val="PR2"/>
        <w:numPr>
          <w:ilvl w:val="5"/>
          <w:numId w:val="1"/>
        </w:numPr>
        <w:spacing w:before="240" w:after="0"/>
        <w:rPr/>
      </w:pPr>
      <w:r>
        <w:rPr/>
        <w:t xml:space="preserve">Variation in Cross-Sectional Dimensions: For thickness of walls from dimensions indicated: Plus or minus </w:t>
      </w:r>
      <w:r>
        <w:rPr>
          <w:rStyle w:val="IP"/>
        </w:rPr>
        <w:t>1/4 inch</w:t>
      </w:r>
      <w:r>
        <w:rPr>
          <w:rStyle w:val="SI"/>
        </w:rPr>
        <w:t xml:space="preserve"> (6 mm)</w:t>
      </w:r>
      <w:r>
        <w:rPr/>
        <w:t>.</w:t>
      </w:r>
    </w:p>
    <w:p>
      <w:pPr>
        <w:pStyle w:val="PR2"/>
        <w:numPr>
          <w:ilvl w:val="5"/>
          <w:numId w:val="1"/>
        </w:numPr>
        <w:rPr/>
      </w:pPr>
      <w:r>
        <w:rPr/>
        <w:t xml:space="preserve">Variation in Joint Width: </w:t>
      </w:r>
      <w:r>
        <w:rPr>
          <w:rStyle w:val="IP"/>
        </w:rPr>
        <w:t>1/8 inch in 36 inches</w:t>
      </w:r>
      <w:r>
        <w:rPr>
          <w:rStyle w:val="SI"/>
        </w:rPr>
        <w:t xml:space="preserve"> (3 mm in 900 mm)</w:t>
      </w:r>
      <w:r>
        <w:rPr/>
        <w:t xml:space="preserve"> or a quarter of nominal joint width, whichever is less.</w:t>
      </w:r>
    </w:p>
    <w:p>
      <w:pPr>
        <w:pStyle w:val="CMT"/>
        <w:rPr/>
      </w:pPr>
      <w:r>
        <w:rPr/>
        <w:t>Revise or delete "Variation in Plane between Adjacent Stone Units (Lipping)" Subparagraph below for natural-cleft, thermal, and similar finishes.</w:t>
      </w:r>
    </w:p>
    <w:p>
      <w:pPr>
        <w:pStyle w:val="PR2"/>
        <w:numPr>
          <w:ilvl w:val="5"/>
          <w:numId w:val="1"/>
        </w:numPr>
        <w:rPr/>
      </w:pPr>
      <w:r>
        <w:rPr/>
        <w:t xml:space="preserve">Variation in Plane between Adjacent Stone Units (Lipping): </w:t>
      </w:r>
      <w:r>
        <w:rPr>
          <w:rStyle w:val="IP"/>
        </w:rPr>
        <w:t>1/16-inch</w:t>
      </w:r>
      <w:r>
        <w:rPr>
          <w:rStyle w:val="SI"/>
        </w:rPr>
        <w:t xml:space="preserve"> (1.6-mm)</w:t>
      </w:r>
      <w:r>
        <w:rPr/>
        <w:t xml:space="preserve"> difference between planes of adjacent units.</w:t>
      </w:r>
    </w:p>
    <w:p>
      <w:pPr>
        <w:pStyle w:val="ART"/>
        <w:numPr>
          <w:ilvl w:val="3"/>
          <w:numId w:val="1"/>
        </w:numPr>
        <w:ind w:hanging="0" w:left="0"/>
        <w:rPr/>
      </w:pPr>
      <w:r>
        <w:rPr/>
        <w:t>FINISHES</w:t>
      </w:r>
    </w:p>
    <w:p>
      <w:pPr>
        <w:pStyle w:val="PR1"/>
        <w:numPr>
          <w:ilvl w:val="4"/>
          <w:numId w:val="1"/>
        </w:numPr>
        <w:rPr/>
      </w:pPr>
      <w:r>
        <w:rPr/>
        <w:t>Exposed faces to be free of joint marks, grain, and other obvious defects. Corners, including false joints to be uniform, straight, and sharp. Finish exposed-face surfaces of architectural precast concrete units to match approved [</w:t>
      </w:r>
      <w:r>
        <w:rPr>
          <w:b/>
        </w:rPr>
        <w:t>design reference sample</w:t>
      </w:r>
      <w:r>
        <w:rPr/>
        <w:t>] [</w:t>
      </w:r>
      <w:r>
        <w:rPr>
          <w:b/>
        </w:rPr>
        <w:t>sample panels</w:t>
      </w:r>
      <w:r>
        <w:rPr/>
        <w:t>] [</w:t>
      </w:r>
      <w:r>
        <w:rPr>
          <w:b/>
        </w:rPr>
        <w:t>mockups</w:t>
      </w:r>
      <w:r>
        <w:rPr/>
        <w:t>] and as follows:</w:t>
      </w:r>
    </w:p>
    <w:p>
      <w:pPr>
        <w:pStyle w:val="CMT"/>
        <w:rPr/>
      </w:pPr>
      <w:r>
        <w:rPr/>
        <w:t>This article presumes Architect has preapproved one or more design reference samples. Include complete description of design reference sample here. If preapproving fabricators, coordinate with "Fabricators" Paragraph. Revise if multiple samples are approved.</w:t>
      </w:r>
    </w:p>
    <w:p>
      <w:pPr>
        <w:pStyle w:val="PR2"/>
        <w:numPr>
          <w:ilvl w:val="5"/>
          <w:numId w:val="1"/>
        </w:numPr>
        <w:spacing w:before="240" w:after="0"/>
        <w:rPr/>
      </w:pPr>
      <w:r>
        <w:rPr/>
        <w:t>Design Reference Sample: &lt;</w:t>
      </w:r>
      <w:r>
        <w:rPr>
          <w:b/>
        </w:rPr>
        <w:t>Insert description and identify fabricator and code number of sample</w:t>
      </w:r>
      <w:r>
        <w:rPr/>
        <w:t>&gt;.</w:t>
      </w:r>
    </w:p>
    <w:p>
      <w:pPr>
        <w:pStyle w:val="CMT"/>
        <w:rPr/>
      </w:pPr>
      <w:r>
        <w:rPr/>
        <w:t xml:space="preserve">Retain first subparagraph below if required. If retaining, revise and add reference number; PCI publishes numbered, color photographs of precast concrete finishes; see PCI's website, </w:t>
      </w:r>
      <w:hyperlink r:id="rId19">
        <w:r>
          <w:rPr>
            <w:rStyle w:val="Hyperlink"/>
          </w:rPr>
          <w:t>www.pci.org</w:t>
        </w:r>
      </w:hyperlink>
      <w:r>
        <w:rPr/>
        <w:t>. Add reference number combinations if more than one finish is required.</w:t>
      </w:r>
    </w:p>
    <w:p>
      <w:pPr>
        <w:pStyle w:val="PR2"/>
        <w:numPr>
          <w:ilvl w:val="5"/>
          <w:numId w:val="1"/>
        </w:numPr>
        <w:rPr/>
      </w:pPr>
      <w:r>
        <w:rPr/>
        <w:t>PCI's "Architectural Precast Concrete - Color and Texture Selection Guide," of plate numbers indicated.</w:t>
      </w:r>
    </w:p>
    <w:p>
      <w:pPr>
        <w:pStyle w:val="CMT"/>
        <w:rPr/>
      </w:pPr>
      <w:r>
        <w:rPr/>
        <w:t>Retain type of finish from first nine finish subparagraphs below if needed. If more than one finish is required, add locations to finish descriptions or indicate on Drawings. Add more-detailed descriptions of finishes outlined below if greater definition, such as light, medium, or deep, is required. See PCI MNL 117 for more information on finishes. An as-cast finish generally results in a mottled surface or nonuniform finish.</w:t>
      </w:r>
    </w:p>
    <w:p>
      <w:pPr>
        <w:pStyle w:val="PR2"/>
        <w:numPr>
          <w:ilvl w:val="5"/>
          <w:numId w:val="1"/>
        </w:numPr>
        <w:rPr/>
      </w:pPr>
      <w:r>
        <w:rPr/>
        <w:t>As-Cast Surface Finish: Provide surfaces to match approved sample for acceptable surface, air voids, sand streaks, and honeycomb.</w:t>
      </w:r>
    </w:p>
    <w:p>
      <w:pPr>
        <w:pStyle w:val="PR2"/>
        <w:numPr>
          <w:ilvl w:val="5"/>
          <w:numId w:val="1"/>
        </w:numPr>
        <w:rPr/>
      </w:pPr>
      <w:r>
        <w:rPr/>
        <w:t>Textured-Surface Finish: Impart by form liners or inserts.</w:t>
      </w:r>
    </w:p>
    <w:p>
      <w:pPr>
        <w:pStyle w:val="PR2"/>
        <w:numPr>
          <w:ilvl w:val="5"/>
          <w:numId w:val="1"/>
        </w:numPr>
        <w:rPr/>
      </w:pPr>
      <w:r>
        <w:rPr/>
        <w:t>Bushhammer Finish: Use power or hand tools to remove matrix and fracture coarse aggregates.</w:t>
      </w:r>
    </w:p>
    <w:p>
      <w:pPr>
        <w:pStyle w:val="PR2"/>
        <w:numPr>
          <w:ilvl w:val="5"/>
          <w:numId w:val="1"/>
        </w:numPr>
        <w:rPr/>
      </w:pPr>
      <w:r>
        <w:rPr/>
        <w:t>Exposed-Aggregate Finish: Use chemical retarding agents applied to concrete forms and washing and brushing procedures to expose aggregate and surrounding matrix surfaces after form removal.</w:t>
      </w:r>
    </w:p>
    <w:p>
      <w:pPr>
        <w:pStyle w:val="PR2"/>
        <w:numPr>
          <w:ilvl w:val="5"/>
          <w:numId w:val="1"/>
        </w:numPr>
        <w:rPr/>
      </w:pPr>
      <w:r>
        <w:rPr/>
        <w:t>Abrasive-Blast Finish: Use abrasive grit, equipment, application techniques, and cleaning procedures to expose aggregate and surrounding matrix surfaces.</w:t>
      </w:r>
    </w:p>
    <w:p>
      <w:pPr>
        <w:pStyle w:val="PR2"/>
        <w:numPr>
          <w:ilvl w:val="5"/>
          <w:numId w:val="1"/>
        </w:numPr>
        <w:rPr/>
      </w:pPr>
      <w:r>
        <w:rPr/>
        <w:t>Acid-Etched Finish: Use acid and hot-water solution, equipment, application techniques, and cleaning procedures to expose aggregate and surrounding matrix surfaces. Protect hardware, connections, and insulation from acid attach.</w:t>
      </w:r>
    </w:p>
    <w:p>
      <w:pPr>
        <w:pStyle w:val="PR2"/>
        <w:numPr>
          <w:ilvl w:val="5"/>
          <w:numId w:val="1"/>
        </w:numPr>
        <w:rPr/>
      </w:pPr>
      <w:r>
        <w:rPr/>
        <w:t>Honed Finish: Use continuous mechanical abrasion with fine grit, followed by filling and rubbing procedures.</w:t>
      </w:r>
    </w:p>
    <w:p>
      <w:pPr>
        <w:pStyle w:val="PR2"/>
        <w:numPr>
          <w:ilvl w:val="5"/>
          <w:numId w:val="1"/>
        </w:numPr>
        <w:rPr/>
      </w:pPr>
      <w:r>
        <w:rPr/>
        <w:t>Polished Finish: Use continuous mechanical abrasion with fine grit, followed by filling and rubbing procedures.</w:t>
      </w:r>
    </w:p>
    <w:p>
      <w:pPr>
        <w:pStyle w:val="PR2"/>
        <w:numPr>
          <w:ilvl w:val="5"/>
          <w:numId w:val="1"/>
        </w:numPr>
        <w:rPr/>
      </w:pPr>
      <w:r>
        <w:rPr/>
        <w:t>Sand-Embedment Finish: Use selected stones placed in a sand bed in bottom of mold, with sand removed after curing.</w:t>
      </w:r>
    </w:p>
    <w:p>
      <w:pPr>
        <w:pStyle w:val="PR2"/>
        <w:numPr>
          <w:ilvl w:val="5"/>
          <w:numId w:val="1"/>
        </w:numPr>
        <w:rPr/>
      </w:pPr>
      <w:r>
        <w:rPr/>
        <w:t>Thin-Brick or Terra Cotta Facing: See "Clay Facing Materials" Article.</w:t>
      </w:r>
    </w:p>
    <w:p>
      <w:pPr>
        <w:pStyle w:val="PR2"/>
        <w:numPr>
          <w:ilvl w:val="5"/>
          <w:numId w:val="1"/>
        </w:numPr>
        <w:rPr/>
      </w:pPr>
      <w:r>
        <w:rPr/>
        <w:t>Stone Facing: See "Stone Facing Materials" Article.</w:t>
      </w:r>
    </w:p>
    <w:p>
      <w:pPr>
        <w:pStyle w:val="PR1"/>
        <w:numPr>
          <w:ilvl w:val="4"/>
          <w:numId w:val="1"/>
        </w:numPr>
        <w:rPr/>
      </w:pPr>
      <w:r>
        <w:rPr/>
        <w:t>Finish exposed [</w:t>
      </w:r>
      <w:r>
        <w:rPr>
          <w:b/>
        </w:rPr>
        <w:t>top</w:t>
      </w:r>
      <w:r>
        <w:rPr/>
        <w:t>] [</w:t>
      </w:r>
      <w:r>
        <w:rPr>
          <w:b/>
        </w:rPr>
        <w:t>back</w:t>
      </w:r>
      <w:r>
        <w:rPr/>
        <w:t>] surfaces of architectural precast concrete units [</w:t>
      </w:r>
      <w:r>
        <w:rPr>
          <w:b/>
        </w:rPr>
        <w:t>to match face-surface finish</w:t>
      </w:r>
      <w:r>
        <w:rPr/>
        <w:t>] [</w:t>
      </w:r>
      <w:r>
        <w:rPr>
          <w:b/>
        </w:rPr>
        <w:t>with smooth, steel-trowel finish</w:t>
      </w:r>
      <w:r>
        <w:rPr/>
        <w:t>] &lt;</w:t>
      </w:r>
      <w:r>
        <w:rPr>
          <w:b/>
        </w:rPr>
        <w:t>Insert finish</w:t>
      </w:r>
      <w:r>
        <w:rPr/>
        <w:t>&gt;.</w:t>
      </w:r>
    </w:p>
    <w:p>
      <w:pPr>
        <w:pStyle w:val="CMT"/>
        <w:rPr/>
      </w:pPr>
      <w:r>
        <w:rPr/>
        <w:t>Revise finish in paragraph below to light-broom stippled or float finish if necessary. Upgrade to smooth, steel-trowel finish if surface is in contact with materials requiring a smooth finish.</w:t>
      </w:r>
    </w:p>
    <w:p>
      <w:pPr>
        <w:pStyle w:val="PR1"/>
        <w:numPr>
          <w:ilvl w:val="4"/>
          <w:numId w:val="1"/>
        </w:numPr>
        <w:rPr/>
      </w:pPr>
      <w:r>
        <w:rPr/>
        <w:t>Finish unexposed surfaces of architectural precast concrete units with as-cast finish.</w:t>
      </w:r>
    </w:p>
    <w:p>
      <w:pPr>
        <w:pStyle w:val="ART"/>
        <w:numPr>
          <w:ilvl w:val="3"/>
          <w:numId w:val="1"/>
        </w:numPr>
        <w:ind w:hanging="0" w:left="0"/>
        <w:rPr/>
      </w:pPr>
      <w:r>
        <w:rPr/>
        <w:t>SOURCE QUALITY CONTROL</w:t>
      </w:r>
    </w:p>
    <w:p>
      <w:pPr>
        <w:pStyle w:val="CMT"/>
        <w:rPr/>
      </w:pPr>
      <w:r>
        <w:rPr/>
        <w:t>Retain "Quality-Control Testing" Paragraph below if establishing a minimum standard of plant testing and inspecting. PCI MNL 117 mandates source testing requirements and creation and adherence to a plant "Quality Systems Manual." PCI certification includes periodic auditing of plants for compliance with requirements in PCI MNL 117.</w:t>
      </w:r>
    </w:p>
    <w:p>
      <w:pPr>
        <w:pStyle w:val="PR1"/>
        <w:numPr>
          <w:ilvl w:val="4"/>
          <w:numId w:val="1"/>
        </w:numPr>
        <w:rPr/>
      </w:pPr>
      <w:r>
        <w:rPr/>
        <w:t>Quality-Control Testing: Test and inspect precast concrete in accordance with PCI MNL 117 requirements. If using self-consolidating concrete, also test and inspect in accordance with PCI TR-6, ASTM C1610/C1610M, ASTM C1611/C1611M, ASTM C1621/C1621M, and ASTM C1712.</w:t>
      </w:r>
    </w:p>
    <w:p>
      <w:pPr>
        <w:pStyle w:val="CMT"/>
        <w:rPr/>
      </w:pPr>
      <w:r>
        <w:rPr/>
        <w:t>Retain first paragraph below if required. PCI certification may be acceptable to authorities having jurisdiction without further monitoring of plant quality-control and testing program by Owner.</w:t>
      </w:r>
    </w:p>
    <w:p>
      <w:pPr>
        <w:pStyle w:val="PR1"/>
        <w:numPr>
          <w:ilvl w:val="4"/>
          <w:numId w:val="1"/>
        </w:numPr>
        <w:rPr/>
      </w:pPr>
      <w:r>
        <w:rPr/>
        <w:t>Owner will employ an independent testing agency to evaluate architectural precast concrete fabricator's quality-control and testing methods.</w:t>
      </w:r>
    </w:p>
    <w:p>
      <w:pPr>
        <w:pStyle w:val="PR2"/>
        <w:numPr>
          <w:ilvl w:val="5"/>
          <w:numId w:val="1"/>
        </w:numPr>
        <w:spacing w:before="240" w:after="0"/>
        <w:rPr/>
      </w:pPr>
      <w:r>
        <w:rPr/>
        <w:t>Allow Owner's testing agency access to material storage areas, concrete production equipment, concrete placement, and curing facilities. Cooperate with Owner's testing agency and provide samples of materials and concrete mixtures as may be requested for additional testing and evaluation.</w:t>
      </w:r>
    </w:p>
    <w:p>
      <w:pPr>
        <w:pStyle w:val="PR1"/>
        <w:numPr>
          <w:ilvl w:val="4"/>
          <w:numId w:val="1"/>
        </w:numPr>
        <w:rPr/>
      </w:pPr>
      <w:r>
        <w:rPr/>
        <w:t>Strength of precast concrete units is considered deficient if units fail to comply with ACI 318 requirements for concrete strength.</w:t>
      </w:r>
    </w:p>
    <w:p>
      <w:pPr>
        <w:pStyle w:val="CMT"/>
        <w:rPr/>
      </w:pPr>
      <w:r>
        <w:rPr/>
        <w:t>Review testing and acceptance criteria with structural engineer. In "Testing" Paragraph below, add criteria for load tests if required. This test is not typically needed if using a previously tested design mix; it may be added to confirm compressive strength.</w:t>
      </w:r>
    </w:p>
    <w:p>
      <w:pPr>
        <w:pStyle w:val="PR1"/>
        <w:numPr>
          <w:ilvl w:val="4"/>
          <w:numId w:val="1"/>
        </w:numPr>
        <w:rPr/>
      </w:pPr>
      <w:r>
        <w:rPr/>
        <w:t>Testing: Fabricator will employ an independent testing agency to obtain, prepare, and test cores drilled from hardened concrete to determine compressive strength in accordance with ASTM C42/C42M and ACI 318.</w:t>
      </w:r>
    </w:p>
    <w:p>
      <w:pPr>
        <w:pStyle w:val="PR2"/>
        <w:numPr>
          <w:ilvl w:val="5"/>
          <w:numId w:val="1"/>
        </w:numPr>
        <w:spacing w:before="240" w:after="0"/>
        <w:rPr/>
      </w:pPr>
      <w:r>
        <w:rPr/>
        <w:t>A minimum of three representative cores to be taken from units of suspect strength, from locations directed by Architect.</w:t>
      </w:r>
    </w:p>
    <w:p>
      <w:pPr>
        <w:pStyle w:val="PR2"/>
        <w:numPr>
          <w:ilvl w:val="5"/>
          <w:numId w:val="1"/>
        </w:numPr>
        <w:rPr/>
      </w:pPr>
      <w:r>
        <w:rPr/>
        <w:t>Test cores in an air-dry condition.</w:t>
      </w:r>
    </w:p>
    <w:p>
      <w:pPr>
        <w:pStyle w:val="CMT"/>
        <w:rPr/>
      </w:pPr>
      <w:r>
        <w:rPr/>
        <w:t>PCI's recommendations in first subparagraph below are more stringent than ACI's.</w:t>
      </w:r>
    </w:p>
    <w:p>
      <w:pPr>
        <w:pStyle w:val="PR2"/>
        <w:numPr>
          <w:ilvl w:val="5"/>
          <w:numId w:val="1"/>
        </w:numPr>
        <w:rPr/>
      </w:pPr>
      <w:r>
        <w:rPr/>
        <w:t>Strength of concrete for each series of three cores is considered satisfactory if average compressive strength is equal to at least 85 percent of 28-day design compressive strength and no single core is less than 75 percent of 28-day design compressive strength.</w:t>
      </w:r>
    </w:p>
    <w:p>
      <w:pPr>
        <w:pStyle w:val="PR2"/>
        <w:numPr>
          <w:ilvl w:val="5"/>
          <w:numId w:val="1"/>
        </w:numPr>
        <w:rPr/>
      </w:pPr>
      <w:r>
        <w:rPr/>
        <w:t>Report test results in writing on same day that tests are performed, with copies to Architect, Contractor, and precast concrete fabricator. Test reports include the following:</w:t>
      </w:r>
    </w:p>
    <w:p>
      <w:pPr>
        <w:pStyle w:val="PR3"/>
        <w:numPr>
          <w:ilvl w:val="6"/>
          <w:numId w:val="1"/>
        </w:numPr>
        <w:spacing w:before="240" w:after="0"/>
        <w:rPr/>
      </w:pPr>
      <w:r>
        <w:rPr/>
        <w:t>Project identification name and number.</w:t>
      </w:r>
    </w:p>
    <w:p>
      <w:pPr>
        <w:pStyle w:val="PR3"/>
        <w:numPr>
          <w:ilvl w:val="6"/>
          <w:numId w:val="1"/>
        </w:numPr>
        <w:rPr/>
      </w:pPr>
      <w:r>
        <w:rPr/>
        <w:t>Date when tests were performed.</w:t>
      </w:r>
    </w:p>
    <w:p>
      <w:pPr>
        <w:pStyle w:val="PR3"/>
        <w:numPr>
          <w:ilvl w:val="6"/>
          <w:numId w:val="1"/>
        </w:numPr>
        <w:rPr/>
      </w:pPr>
      <w:r>
        <w:rPr/>
        <w:t>Name of precast concrete fabricator.</w:t>
      </w:r>
    </w:p>
    <w:p>
      <w:pPr>
        <w:pStyle w:val="PR3"/>
        <w:numPr>
          <w:ilvl w:val="6"/>
          <w:numId w:val="1"/>
        </w:numPr>
        <w:rPr/>
      </w:pPr>
      <w:r>
        <w:rPr/>
        <w:t>Name of concrete testing agency.</w:t>
      </w:r>
    </w:p>
    <w:p>
      <w:pPr>
        <w:pStyle w:val="PR3"/>
        <w:numPr>
          <w:ilvl w:val="6"/>
          <w:numId w:val="1"/>
        </w:numPr>
        <w:rPr/>
      </w:pPr>
      <w:r>
        <w:rPr/>
        <w:t>Identification letter, name, and type of precast concrete unit(s) represented by core tests; design compressive strength; type of break; compressive strength at breaks, corrected for length-diameter ratio; and direction of applied load to core in relation to horizontal plane of concrete as placed.</w:t>
      </w:r>
    </w:p>
    <w:p>
      <w:pPr>
        <w:pStyle w:val="PR1"/>
        <w:numPr>
          <w:ilvl w:val="4"/>
          <w:numId w:val="1"/>
        </w:numPr>
        <w:rPr/>
      </w:pPr>
      <w:r>
        <w:rPr/>
        <w:t>Patching: If core test results are satisfactory and precast concrete units comply with requirements, clean and dampen core holes and solidly fill with precast concrete mixture that has no coarse aggregate, and finish to match adjacent precast concrete surfaces.</w:t>
      </w:r>
    </w:p>
    <w:p>
      <w:pPr>
        <w:pStyle w:val="PR1"/>
        <w:numPr>
          <w:ilvl w:val="4"/>
          <w:numId w:val="1"/>
        </w:numPr>
        <w:rPr/>
      </w:pPr>
      <w:r>
        <w:rPr/>
        <w:t>Defective Units: Discard and replace recast architectural concrete units that do not comply with acceptability requirements in PCI MNL 117, including concrete strength, manufacturing tolerances, and color and texture range. Chipped, spalled, or cracked units may be repaired, subject to Architect's approval. Architect reserves the right to reject precast units that do not match approved samples, sample panels, and mockups. Replace unacceptable units with precast concrete units that comply with requirements.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supporting structural frame or foundation and conditions for compliance with requirements for installation tolerances, bearing surface tolerances, and other conditions affecting performance of the Work.</w:t>
      </w:r>
    </w:p>
    <w:p>
      <w:pPr>
        <w:pStyle w:val="PR1"/>
        <w:numPr>
          <w:ilvl w:val="4"/>
          <w:numId w:val="1"/>
        </w:numPr>
        <w:rPr/>
      </w:pPr>
      <w:r>
        <w:rPr/>
        <w:t>Do not install precast concrete units until supporting cast-in-place concrete has attained minimum allowable design compressive strength and supporting steel or other structure is structurally ready to receive loads from precast concrete units.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PRECAST ARCHITECTURAL CONCRETE UNITS</w:t>
      </w:r>
    </w:p>
    <w:p>
      <w:pPr>
        <w:pStyle w:val="PR1"/>
        <w:numPr>
          <w:ilvl w:val="4"/>
          <w:numId w:val="1"/>
        </w:numPr>
        <w:rPr/>
      </w:pPr>
      <w:r>
        <w:rPr/>
        <w:t>Install clips, hangers, bearing pads, and other accessories required for connecting architectural precast concrete units to supporting members and backup materials.</w:t>
      </w:r>
    </w:p>
    <w:p>
      <w:pPr>
        <w:pStyle w:val="PR1"/>
        <w:numPr>
          <w:ilvl w:val="4"/>
          <w:numId w:val="1"/>
        </w:numPr>
        <w:rPr/>
      </w:pPr>
      <w:r>
        <w:rPr/>
        <w:t>Erect architectural precast concrete level, plumb, and square within specified allowable tolerances. Provide temporary supports and bracing as required to maintain position, stability, and alignment of units until permanent connections are completed.</w:t>
      </w:r>
    </w:p>
    <w:p>
      <w:pPr>
        <w:pStyle w:val="PR2"/>
        <w:numPr>
          <w:ilvl w:val="5"/>
          <w:numId w:val="1"/>
        </w:numPr>
        <w:spacing w:before="240" w:after="0"/>
        <w:rPr/>
      </w:pPr>
      <w:r>
        <w:rPr/>
        <w:t>Install temporary steel or plastic spacing shims as precast concrete units are being erected. Tack weld steel shims to each other to prevent shims from separating.</w:t>
      </w:r>
    </w:p>
    <w:p>
      <w:pPr>
        <w:pStyle w:val="PR2"/>
        <w:numPr>
          <w:ilvl w:val="5"/>
          <w:numId w:val="1"/>
        </w:numPr>
        <w:rPr/>
      </w:pPr>
      <w:r>
        <w:rPr/>
        <w:t>Maintain horizontal and vertical joint alignment and uniform joint width as erection progresses.</w:t>
      </w:r>
    </w:p>
    <w:p>
      <w:pPr>
        <w:pStyle w:val="PR2"/>
        <w:numPr>
          <w:ilvl w:val="5"/>
          <w:numId w:val="1"/>
        </w:numPr>
        <w:rPr/>
      </w:pPr>
      <w:r>
        <w:rPr/>
        <w:t>Remove projecting lifting devices and grout fill voids within recessed lifting devices flush with surface of adjacent precast surfaces when recess is exposed.</w:t>
      </w:r>
    </w:p>
    <w:p>
      <w:pPr>
        <w:pStyle w:val="PR2"/>
        <w:numPr>
          <w:ilvl w:val="5"/>
          <w:numId w:val="1"/>
        </w:numPr>
        <w:rPr/>
      </w:pPr>
      <w:r>
        <w:rPr/>
        <w:t xml:space="preserve">Unless otherwise indicated, maintain uniform joint widths of </w:t>
      </w:r>
      <w:r>
        <w:rPr>
          <w:rStyle w:val="IP"/>
        </w:rPr>
        <w:t>3/4 inch</w:t>
      </w:r>
      <w:r>
        <w:rPr>
          <w:rStyle w:val="SI"/>
        </w:rPr>
        <w:t xml:space="preserve"> (19 mm)</w:t>
      </w:r>
      <w:r>
        <w:rPr/>
        <w:t>.</w:t>
      </w:r>
    </w:p>
    <w:p>
      <w:pPr>
        <w:pStyle w:val="PR1"/>
        <w:numPr>
          <w:ilvl w:val="4"/>
          <w:numId w:val="1"/>
        </w:numPr>
        <w:rPr/>
      </w:pPr>
      <w:r>
        <w:rPr/>
        <w:t>Connect architectural precast concrete units in position by bolting, welding, grouting, or as otherwise indicated on Shop Drawings. Remove temporary shims, wedges, and spacers as soon as practical after connecting and grouting are completed.</w:t>
      </w:r>
    </w:p>
    <w:p>
      <w:pPr>
        <w:pStyle w:val="PR2"/>
        <w:numPr>
          <w:ilvl w:val="5"/>
          <w:numId w:val="1"/>
        </w:numPr>
        <w:spacing w:before="240" w:after="0"/>
        <w:rPr/>
      </w:pPr>
      <w:r>
        <w:rPr/>
        <w:t>Do not permit connections to disrupt continuity of roof flashing.</w:t>
      </w:r>
    </w:p>
    <w:p>
      <w:pPr>
        <w:pStyle w:val="PR1"/>
        <w:numPr>
          <w:ilvl w:val="4"/>
          <w:numId w:val="1"/>
        </w:numPr>
        <w:rPr/>
      </w:pPr>
      <w:r>
        <w:rPr/>
        <w:t>Welding: Comply with applicable requirements in AWS D1.1/D1.1M and AWS D1.4/D1.4M for welding, welding electrodes, appearance, quality of welds, and methods used in correcting welding work.</w:t>
      </w:r>
    </w:p>
    <w:p>
      <w:pPr>
        <w:pStyle w:val="PR2"/>
        <w:numPr>
          <w:ilvl w:val="5"/>
          <w:numId w:val="1"/>
        </w:numPr>
        <w:spacing w:before="240" w:after="0"/>
        <w:rPr/>
      </w:pPr>
      <w:r>
        <w:rPr/>
        <w:t>Protect architectural precast concrete units and bearing pads from damage by field welding or cutting operations, and provide noncombustible shields as required.</w:t>
      </w:r>
    </w:p>
    <w:p>
      <w:pPr>
        <w:pStyle w:val="PR2"/>
        <w:numPr>
          <w:ilvl w:val="5"/>
          <w:numId w:val="1"/>
        </w:numPr>
        <w:rPr/>
      </w:pPr>
      <w:r>
        <w:rPr/>
        <w:t>Welds not specified to be continuous fillet welds use no less than the minimum fillet as specified by AWS.</w:t>
      </w:r>
    </w:p>
    <w:p>
      <w:pPr>
        <w:pStyle w:val="PR2"/>
        <w:numPr>
          <w:ilvl w:val="5"/>
          <w:numId w:val="1"/>
        </w:numPr>
        <w:rPr/>
      </w:pPr>
      <w:r>
        <w:rPr/>
        <w:t>Clean weld-affected metal surfaces with chipping hammer followed by brushing, and [</w:t>
      </w:r>
      <w:r>
        <w:rPr>
          <w:b/>
        </w:rPr>
        <w:t xml:space="preserve">apply a minimum </w:t>
      </w:r>
      <w:r>
        <w:rPr>
          <w:rStyle w:val="IP"/>
          <w:b/>
        </w:rPr>
        <w:t>4.0-mil-</w:t>
      </w:r>
      <w:r>
        <w:rPr>
          <w:rStyle w:val="SI"/>
          <w:b/>
        </w:rPr>
        <w:t xml:space="preserve"> (0.1-mm-)</w:t>
      </w:r>
      <w:r>
        <w:rPr>
          <w:b/>
        </w:rPr>
        <w:t xml:space="preserve"> thick coat of galvanized repair paint to galvanized surfaces in accordance with ASTM A780/A780M</w:t>
      </w:r>
      <w:r>
        <w:rPr/>
        <w:t>] [</w:t>
      </w:r>
      <w:r>
        <w:rPr>
          <w:b/>
        </w:rPr>
        <w:t>re-priming damaged painted surfaces</w:t>
      </w:r>
      <w:r>
        <w:rPr/>
        <w:t>].</w:t>
      </w:r>
    </w:p>
    <w:p>
      <w:pPr>
        <w:pStyle w:val="PR2"/>
        <w:numPr>
          <w:ilvl w:val="5"/>
          <w:numId w:val="1"/>
        </w:numPr>
        <w:rPr/>
      </w:pPr>
      <w:r>
        <w:rPr/>
        <w:t>Visually inspect welds and remove, reweld, or repair incomplete and defective welds.</w:t>
      </w:r>
    </w:p>
    <w:p>
      <w:pPr>
        <w:pStyle w:val="PR1"/>
        <w:numPr>
          <w:ilvl w:val="4"/>
          <w:numId w:val="1"/>
        </w:numPr>
        <w:rPr/>
      </w:pPr>
      <w:r>
        <w:rPr/>
        <w:t>At bolted connections, use lock washers, tack welding, or other approved means to prevent loosening of nuts after final adjustment.</w:t>
      </w:r>
    </w:p>
    <w:p>
      <w:pPr>
        <w:pStyle w:val="PR2"/>
        <w:numPr>
          <w:ilvl w:val="5"/>
          <w:numId w:val="1"/>
        </w:numPr>
        <w:spacing w:before="240" w:after="0"/>
        <w:rPr/>
      </w:pPr>
      <w:r>
        <w:rPr/>
        <w:t>Where slotted connections are used, verify bolt position and tightness. For sliding connections, properly secure bolt but allow bolt to move within connection slot.</w:t>
      </w:r>
    </w:p>
    <w:p>
      <w:pPr>
        <w:pStyle w:val="PR2"/>
        <w:numPr>
          <w:ilvl w:val="5"/>
          <w:numId w:val="1"/>
        </w:numPr>
        <w:rPr/>
      </w:pPr>
      <w:r>
        <w:rPr/>
        <w:t>For slip-critical connections, use one of the following methods to assure proper bolt pretension:</w:t>
      </w:r>
    </w:p>
    <w:p>
      <w:pPr>
        <w:pStyle w:val="PR3"/>
        <w:numPr>
          <w:ilvl w:val="6"/>
          <w:numId w:val="1"/>
        </w:numPr>
        <w:spacing w:before="240" w:after="0"/>
        <w:rPr/>
      </w:pPr>
      <w:r>
        <w:rPr/>
        <w:t>Turn-of-Nut: In accordance with RCSC's "Specification for Structural Joints Using High-Strength Bolts."</w:t>
      </w:r>
    </w:p>
    <w:p>
      <w:pPr>
        <w:pStyle w:val="PR3"/>
        <w:numPr>
          <w:ilvl w:val="6"/>
          <w:numId w:val="1"/>
        </w:numPr>
        <w:rPr/>
      </w:pPr>
      <w:r>
        <w:rPr/>
        <w:t>Calibrated Wrench: In accordance with RCSC's "Specification for Structural Joints Using High-Strength Bolts."</w:t>
      </w:r>
    </w:p>
    <w:p>
      <w:pPr>
        <w:pStyle w:val="PR3"/>
        <w:numPr>
          <w:ilvl w:val="6"/>
          <w:numId w:val="1"/>
        </w:numPr>
        <w:rPr/>
      </w:pPr>
      <w:r>
        <w:rPr/>
        <w:t>Twist-off Tension Control Bolt: ASTM F3125/F3125M, Grade 1852.</w:t>
      </w:r>
    </w:p>
    <w:p>
      <w:pPr>
        <w:pStyle w:val="PR3"/>
        <w:numPr>
          <w:ilvl w:val="6"/>
          <w:numId w:val="1"/>
        </w:numPr>
        <w:rPr/>
      </w:pPr>
      <w:r>
        <w:rPr/>
        <w:t>Direct-Tension Control Bolt: ASTM F3125/F3125M, Grade 1852.</w:t>
      </w:r>
    </w:p>
    <w:p>
      <w:pPr>
        <w:pStyle w:val="PR2"/>
        <w:numPr>
          <w:ilvl w:val="5"/>
          <w:numId w:val="1"/>
        </w:numPr>
        <w:spacing w:before="240" w:after="0"/>
        <w:rPr/>
      </w:pPr>
      <w:r>
        <w:rPr/>
        <w:t>For slip-critical connections, use method and inspection procedure approved by Architect and coordinated with inspection agency.</w:t>
      </w:r>
    </w:p>
    <w:p>
      <w:pPr>
        <w:pStyle w:val="CMT"/>
        <w:rPr/>
      </w:pPr>
      <w:r>
        <w:rPr/>
        <w:t>In "Grouting or Dry Packing Connections and Joints" Paragraph below, revise locations and extent of grouting if required.</w:t>
      </w:r>
    </w:p>
    <w:p>
      <w:pPr>
        <w:pStyle w:val="PR1"/>
        <w:numPr>
          <w:ilvl w:val="4"/>
          <w:numId w:val="1"/>
        </w:numPr>
        <w:rPr/>
      </w:pPr>
      <w:r>
        <w:rPr/>
        <w:t>Grouting or Dry Packing Connections and Joints: Grout connections where required or indicated. Retain flowable grout in place until hard enough to support itself. Alternatively, pack spaces with stiff dry pack grout material, tamping until voids are completely filled. Place grout and finish smooth, level, and plumb with adjacent concrete surfaces. Promptly remove grout material from exposed surfaces before it affects finishes or hardens. Keep grouted joints damp for not less than 24 hours after initial set.</w:t>
      </w:r>
    </w:p>
    <w:p>
      <w:pPr>
        <w:pStyle w:val="ART"/>
        <w:numPr>
          <w:ilvl w:val="3"/>
          <w:numId w:val="1"/>
        </w:numPr>
        <w:ind w:hanging="0" w:left="0"/>
        <w:rPr/>
      </w:pPr>
      <w:r>
        <w:rPr/>
        <w:t>ERECTION TOLERANCES</w:t>
      </w:r>
    </w:p>
    <w:p>
      <w:pPr>
        <w:pStyle w:val="CMT"/>
        <w:rPr/>
      </w:pPr>
      <w:r>
        <w:rPr/>
        <w:t>Retain one of two paragraphs below. Retain first paragraph below for PCI Categories AD and AT.</w:t>
      </w:r>
    </w:p>
    <w:p>
      <w:pPr>
        <w:pStyle w:val="PR1"/>
        <w:numPr>
          <w:ilvl w:val="4"/>
          <w:numId w:val="1"/>
        </w:numPr>
        <w:rPr/>
      </w:pPr>
      <w:r>
        <w:rPr/>
        <w:t>Erect architectural precast concrete units level, plumb, square, and in alignment without exceeding the noncumulative erection tolerances of PCI MNL 135.</w:t>
      </w:r>
    </w:p>
    <w:p>
      <w:pPr>
        <w:pStyle w:val="CMT"/>
        <w:rPr/>
      </w:pPr>
      <w:r>
        <w:rPr/>
        <w:t>Retain paragraph below for PCI Categories AA, AB, or AC. Also retain below and revise as necessary if tolerances for Project deviate from PCI recommendations. PCI MNL 135 erection tolerances are listed below.</w:t>
      </w:r>
    </w:p>
    <w:p>
      <w:pPr>
        <w:pStyle w:val="PR1"/>
        <w:numPr>
          <w:ilvl w:val="4"/>
          <w:numId w:val="1"/>
        </w:numPr>
        <w:rPr/>
      </w:pPr>
      <w:r>
        <w:rPr/>
        <w:t>Erect architectural precast concrete units level, plumb, square, and in alignment, without exceeding the following noncumulative erection tolerances:</w:t>
      </w:r>
    </w:p>
    <w:p>
      <w:pPr>
        <w:pStyle w:val="PR2"/>
        <w:numPr>
          <w:ilvl w:val="5"/>
          <w:numId w:val="1"/>
        </w:numPr>
        <w:spacing w:before="240" w:after="0"/>
        <w:rPr/>
      </w:pPr>
      <w:r>
        <w:rPr/>
        <w:t xml:space="preserve">Plan Location from Building Grid Datum: Plus or minus </w:t>
      </w:r>
      <w:r>
        <w:rPr>
          <w:rStyle w:val="IP"/>
        </w:rPr>
        <w:t>1/2 inch</w:t>
      </w:r>
      <w:r>
        <w:rPr>
          <w:rStyle w:val="SI"/>
        </w:rPr>
        <w:t xml:space="preserve"> (13 mm)</w:t>
      </w:r>
      <w:r>
        <w:rPr/>
        <w:t>.</w:t>
      </w:r>
    </w:p>
    <w:p>
      <w:pPr>
        <w:pStyle w:val="PR2"/>
        <w:numPr>
          <w:ilvl w:val="5"/>
          <w:numId w:val="1"/>
        </w:numPr>
        <w:rPr/>
      </w:pPr>
      <w:r>
        <w:rPr/>
        <w:t xml:space="preserve">Plan Location from Centerline of Steel: Plus or minus </w:t>
      </w:r>
      <w:r>
        <w:rPr>
          <w:rStyle w:val="IP"/>
        </w:rPr>
        <w:t>1/2 inch</w:t>
      </w:r>
      <w:r>
        <w:rPr>
          <w:rStyle w:val="SI"/>
        </w:rPr>
        <w:t xml:space="preserve"> (13 mm)</w:t>
      </w:r>
      <w:r>
        <w:rPr/>
        <w:t>.</w:t>
      </w:r>
    </w:p>
    <w:p>
      <w:pPr>
        <w:pStyle w:val="PR2"/>
        <w:numPr>
          <w:ilvl w:val="5"/>
          <w:numId w:val="1"/>
        </w:numPr>
        <w:rPr/>
      </w:pPr>
      <w:r>
        <w:rPr/>
        <w:t>Top Elevation from Nominal Top Elevation: As follows:</w:t>
      </w:r>
    </w:p>
    <w:p>
      <w:pPr>
        <w:pStyle w:val="PR3"/>
        <w:numPr>
          <w:ilvl w:val="6"/>
          <w:numId w:val="1"/>
        </w:numPr>
        <w:spacing w:before="240" w:after="0"/>
        <w:rPr/>
      </w:pPr>
      <w:r>
        <w:rPr/>
        <w:t xml:space="preserve">Exposed Individual Panel: Plus or minus </w:t>
      </w:r>
      <w:r>
        <w:rPr>
          <w:rStyle w:val="IP"/>
        </w:rPr>
        <w:t>1/4 inch</w:t>
      </w:r>
      <w:r>
        <w:rPr>
          <w:rStyle w:val="SI"/>
        </w:rPr>
        <w:t xml:space="preserve"> (6 mm)</w:t>
      </w:r>
      <w:r>
        <w:rPr/>
        <w:t>.</w:t>
      </w:r>
    </w:p>
    <w:p>
      <w:pPr>
        <w:pStyle w:val="PR3"/>
        <w:numPr>
          <w:ilvl w:val="6"/>
          <w:numId w:val="1"/>
        </w:numPr>
        <w:rPr/>
      </w:pPr>
      <w:r>
        <w:rPr/>
        <w:t xml:space="preserve">Nonexposed Individual Panel: Plus or minus </w:t>
      </w:r>
      <w:r>
        <w:rPr>
          <w:rStyle w:val="IP"/>
        </w:rPr>
        <w:t>1/2 inch</w:t>
      </w:r>
      <w:r>
        <w:rPr>
          <w:rStyle w:val="SI"/>
        </w:rPr>
        <w:t xml:space="preserve"> (13 mm)</w:t>
      </w:r>
      <w:r>
        <w:rPr/>
        <w:t>.</w:t>
      </w:r>
    </w:p>
    <w:p>
      <w:pPr>
        <w:pStyle w:val="PR2"/>
        <w:numPr>
          <w:ilvl w:val="5"/>
          <w:numId w:val="1"/>
        </w:numPr>
        <w:spacing w:before="240" w:after="0"/>
        <w:rPr/>
      </w:pPr>
      <w:r>
        <w:rPr/>
        <w:t>Support Elevation from Nominal Support Elevation: As follows:</w:t>
      </w:r>
    </w:p>
    <w:p>
      <w:pPr>
        <w:pStyle w:val="PR3"/>
        <w:numPr>
          <w:ilvl w:val="6"/>
          <w:numId w:val="1"/>
        </w:numPr>
        <w:spacing w:before="240" w:after="0"/>
        <w:rPr/>
      </w:pPr>
      <w:r>
        <w:rPr/>
        <w:t xml:space="preserve">Maximum Low: </w:t>
      </w:r>
      <w:r>
        <w:rPr>
          <w:rStyle w:val="IP"/>
        </w:rPr>
        <w:t>1/2 inch</w:t>
      </w:r>
      <w:r>
        <w:rPr>
          <w:rStyle w:val="SI"/>
        </w:rPr>
        <w:t xml:space="preserve"> (13 mm)</w:t>
      </w:r>
      <w:r>
        <w:rPr/>
        <w:t>.</w:t>
      </w:r>
    </w:p>
    <w:p>
      <w:pPr>
        <w:pStyle w:val="PR3"/>
        <w:numPr>
          <w:ilvl w:val="6"/>
          <w:numId w:val="1"/>
        </w:numPr>
        <w:rPr/>
      </w:pPr>
      <w:r>
        <w:rPr/>
        <w:t xml:space="preserve">Maximum High: </w:t>
      </w:r>
      <w:r>
        <w:rPr>
          <w:rStyle w:val="IP"/>
        </w:rPr>
        <w:t>1/4 inch</w:t>
      </w:r>
      <w:r>
        <w:rPr>
          <w:rStyle w:val="SI"/>
        </w:rPr>
        <w:t xml:space="preserve"> (6 mm)</w:t>
      </w:r>
      <w:r>
        <w:rPr/>
        <w:t>.</w:t>
      </w:r>
    </w:p>
    <w:p>
      <w:pPr>
        <w:pStyle w:val="PR2"/>
        <w:numPr>
          <w:ilvl w:val="5"/>
          <w:numId w:val="1"/>
        </w:numPr>
        <w:spacing w:before="240" w:after="0"/>
        <w:rPr/>
      </w:pPr>
      <w:r>
        <w:rPr/>
        <w:t xml:space="preserve">Maximum Plumb Variation over the Lesser of Height of Structure or 100 ft. (30 m): </w:t>
      </w:r>
      <w:r>
        <w:rPr>
          <w:rStyle w:val="IP"/>
        </w:rPr>
        <w:t>1 inch</w:t>
      </w:r>
      <w:r>
        <w:rPr>
          <w:rStyle w:val="SI"/>
        </w:rPr>
        <w:t xml:space="preserve"> (25 mm)</w:t>
      </w:r>
      <w:r>
        <w:rPr/>
        <w:t>.</w:t>
      </w:r>
    </w:p>
    <w:p>
      <w:pPr>
        <w:pStyle w:val="CMT"/>
        <w:rPr/>
      </w:pPr>
      <w:r>
        <w:rPr/>
        <w:t>Retain option in first subparagraph below for PCI Category AA.</w:t>
      </w:r>
    </w:p>
    <w:p>
      <w:pPr>
        <w:pStyle w:val="PR2"/>
        <w:numPr>
          <w:ilvl w:val="5"/>
          <w:numId w:val="1"/>
        </w:numPr>
        <w:rPr/>
      </w:pPr>
      <w:r>
        <w:rPr/>
        <w:t xml:space="preserve">Plumb in Any 10 ft. (3 m) of Unit Height: </w:t>
      </w:r>
      <w:r>
        <w:rPr>
          <w:rStyle w:val="IP"/>
        </w:rPr>
        <w:t>1/4 inch</w:t>
      </w:r>
      <w:r>
        <w:rPr>
          <w:rStyle w:val="SI"/>
        </w:rPr>
        <w:t xml:space="preserve"> (6 mm)</w:t>
      </w:r>
      <w:r>
        <w:rPr/>
        <w:t>[</w:t>
      </w:r>
      <w:r>
        <w:rPr>
          <w:b/>
        </w:rPr>
        <w:t xml:space="preserve">, additionally a maximum of </w:t>
      </w:r>
      <w:r>
        <w:rPr>
          <w:rStyle w:val="IP"/>
          <w:b/>
        </w:rPr>
        <w:t>1/2 inch</w:t>
      </w:r>
      <w:r>
        <w:rPr>
          <w:rStyle w:val="SI"/>
          <w:b/>
        </w:rPr>
        <w:t xml:space="preserve"> (13 mm)</w:t>
      </w:r>
      <w:r>
        <w:rPr>
          <w:b/>
        </w:rPr>
        <w:t xml:space="preserve"> over total height of the unit</w:t>
      </w:r>
      <w:r>
        <w:rPr/>
        <w:t>].</w:t>
      </w:r>
    </w:p>
    <w:p>
      <w:pPr>
        <w:pStyle w:val="PR2"/>
        <w:numPr>
          <w:ilvl w:val="5"/>
          <w:numId w:val="1"/>
        </w:numPr>
        <w:rPr/>
      </w:pPr>
      <w:r>
        <w:rPr/>
        <w:t xml:space="preserve">Maximum Jog in Alignment of Matching Edges: </w:t>
      </w:r>
      <w:r>
        <w:rPr>
          <w:rStyle w:val="IP"/>
        </w:rPr>
        <w:t>1/4 inch</w:t>
      </w:r>
      <w:r>
        <w:rPr>
          <w:rStyle w:val="SI"/>
        </w:rPr>
        <w:t xml:space="preserve"> (6 mm)</w:t>
      </w:r>
      <w:r>
        <w:rPr/>
        <w:t>.</w:t>
      </w:r>
    </w:p>
    <w:p>
      <w:pPr>
        <w:pStyle w:val="PR3"/>
        <w:numPr>
          <w:ilvl w:val="6"/>
          <w:numId w:val="1"/>
        </w:numPr>
        <w:spacing w:before="240" w:after="0"/>
        <w:rPr/>
      </w:pPr>
      <w:r>
        <w:rPr/>
        <w:t xml:space="preserve">Exposed Panel Relative to Adjacent Panel: </w:t>
      </w:r>
      <w:r>
        <w:rPr>
          <w:rStyle w:val="IP"/>
        </w:rPr>
        <w:t>1/4 inch</w:t>
      </w:r>
      <w:r>
        <w:rPr>
          <w:rStyle w:val="SI"/>
        </w:rPr>
        <w:t xml:space="preserve"> (6 mm)</w:t>
      </w:r>
      <w:r>
        <w:rPr/>
        <w:t>.</w:t>
      </w:r>
    </w:p>
    <w:p>
      <w:pPr>
        <w:pStyle w:val="PR3"/>
        <w:numPr>
          <w:ilvl w:val="6"/>
          <w:numId w:val="1"/>
        </w:numPr>
        <w:rPr/>
      </w:pPr>
      <w:r>
        <w:rPr/>
        <w:t xml:space="preserve">Nonexposed Panel Relative to Adjacent Panel: </w:t>
      </w:r>
      <w:r>
        <w:rPr>
          <w:rStyle w:val="IP"/>
        </w:rPr>
        <w:t>1/2 inch</w:t>
      </w:r>
      <w:r>
        <w:rPr>
          <w:rStyle w:val="SI"/>
        </w:rPr>
        <w:t xml:space="preserve"> (13 mm)</w:t>
      </w:r>
      <w:r>
        <w:rPr/>
        <w:t>.</w:t>
      </w:r>
    </w:p>
    <w:p>
      <w:pPr>
        <w:pStyle w:val="CMT"/>
        <w:rPr/>
      </w:pPr>
      <w:r>
        <w:rPr/>
        <w:t>Retain first subparagraph below for PCI Category AC.</w:t>
      </w:r>
    </w:p>
    <w:p>
      <w:pPr>
        <w:pStyle w:val="PR3"/>
        <w:numPr>
          <w:ilvl w:val="6"/>
          <w:numId w:val="1"/>
        </w:numPr>
        <w:rPr/>
      </w:pPr>
      <w:r>
        <w:rPr/>
        <w:t xml:space="preserve">Add </w:t>
      </w:r>
      <w:r>
        <w:rPr>
          <w:rStyle w:val="IP"/>
        </w:rPr>
        <w:t>1/8-inch</w:t>
      </w:r>
      <w:r>
        <w:rPr>
          <w:rStyle w:val="SI"/>
        </w:rPr>
        <w:t xml:space="preserve"> (3-mm)</w:t>
      </w:r>
      <w:r>
        <w:rPr/>
        <w:t xml:space="preserve"> additional tolerance in the maximum jog for panels larger than </w:t>
      </w:r>
      <w:r>
        <w:rPr>
          <w:rStyle w:val="IP"/>
        </w:rPr>
        <w:t>20 ft.</w:t>
      </w:r>
      <w:r>
        <w:rPr>
          <w:rStyle w:val="SI"/>
        </w:rPr>
        <w:t xml:space="preserve"> (6 m)</w:t>
      </w:r>
      <w:r>
        <w:rPr/>
        <w:t xml:space="preserve"> per </w:t>
      </w:r>
      <w:r>
        <w:rPr>
          <w:rStyle w:val="IP"/>
        </w:rPr>
        <w:t>10 ft.</w:t>
      </w:r>
      <w:r>
        <w:rPr>
          <w:rStyle w:val="SI"/>
        </w:rPr>
        <w:t xml:space="preserve"> (3 m)</w:t>
      </w:r>
      <w:r>
        <w:rPr/>
        <w:t xml:space="preserve"> of additional height, up to a maximum tolerance of </w:t>
      </w:r>
      <w:r>
        <w:rPr>
          <w:rStyle w:val="IP"/>
        </w:rPr>
        <w:t>1/2 inch</w:t>
      </w:r>
      <w:r>
        <w:rPr>
          <w:rStyle w:val="SI"/>
        </w:rPr>
        <w:t xml:space="preserve"> (13 mm)</w:t>
      </w:r>
      <w:r>
        <w:rPr/>
        <w:t>.</w:t>
      </w:r>
    </w:p>
    <w:p>
      <w:pPr>
        <w:pStyle w:val="CMT"/>
        <w:rPr/>
      </w:pPr>
      <w:r>
        <w:rPr/>
        <w:t>Retain first option in first subparagraph below for PCI Category AA, second option for Categories AB or AC.</w:t>
      </w:r>
    </w:p>
    <w:p>
      <w:pPr>
        <w:pStyle w:val="PR2"/>
        <w:numPr>
          <w:ilvl w:val="5"/>
          <w:numId w:val="1"/>
        </w:numPr>
        <w:spacing w:before="240" w:after="0"/>
        <w:rPr/>
      </w:pPr>
      <w:r>
        <w:rPr/>
        <w:t>Joint Width (Governs over Joint Taper): [</w:t>
      </w:r>
      <w:r>
        <w:rPr>
          <w:b/>
        </w:rPr>
        <w:t xml:space="preserve">Plus or minus </w:t>
      </w:r>
      <w:r>
        <w:rPr>
          <w:rStyle w:val="IP"/>
          <w:b/>
        </w:rPr>
        <w:t>3/16 inch</w:t>
      </w:r>
      <w:r>
        <w:rPr>
          <w:rStyle w:val="SI"/>
          <w:b/>
        </w:rPr>
        <w:t xml:space="preserve"> (5 mm)</w:t>
      </w:r>
      <w:r>
        <w:rPr>
          <w:b/>
        </w:rPr>
        <w:t xml:space="preserve"> for joints </w:t>
      </w:r>
      <w:r>
        <w:rPr>
          <w:rStyle w:val="IP"/>
          <w:b/>
        </w:rPr>
        <w:t>10 ft.</w:t>
      </w:r>
      <w:r>
        <w:rPr>
          <w:rStyle w:val="SI"/>
          <w:b/>
        </w:rPr>
        <w:t xml:space="preserve"> (3 m)</w:t>
      </w:r>
      <w:r>
        <w:rPr>
          <w:b/>
        </w:rPr>
        <w:t xml:space="preserve"> or less in length, plus or minus </w:t>
      </w:r>
      <w:r>
        <w:rPr>
          <w:rStyle w:val="IP"/>
          <w:b/>
        </w:rPr>
        <w:t>1/4 inch</w:t>
      </w:r>
      <w:r>
        <w:rPr>
          <w:rStyle w:val="SI"/>
          <w:b/>
        </w:rPr>
        <w:t xml:space="preserve"> (6 mm)</w:t>
      </w:r>
      <w:r>
        <w:rPr>
          <w:b/>
        </w:rPr>
        <w:t xml:space="preserve"> for joints over </w:t>
      </w:r>
      <w:r>
        <w:rPr>
          <w:rStyle w:val="IP"/>
          <w:b/>
        </w:rPr>
        <w:t>10 ft.</w:t>
      </w:r>
      <w:r>
        <w:rPr>
          <w:rStyle w:val="SI"/>
          <w:b/>
        </w:rPr>
        <w:t xml:space="preserve"> (3 m)</w:t>
      </w:r>
      <w:r>
        <w:rPr>
          <w:b/>
        </w:rPr>
        <w:t xml:space="preserve"> in length</w:t>
      </w:r>
      <w:r>
        <w:rPr/>
        <w:t>] [</w:t>
      </w:r>
      <w:r>
        <w:rPr>
          <w:b/>
        </w:rPr>
        <w:t xml:space="preserve">Plus or minus </w:t>
      </w:r>
      <w:r>
        <w:rPr>
          <w:rStyle w:val="IP"/>
          <w:b/>
        </w:rPr>
        <w:t>1/4 inch</w:t>
      </w:r>
      <w:r>
        <w:rPr>
          <w:rStyle w:val="SI"/>
          <w:b/>
        </w:rPr>
        <w:t xml:space="preserve"> (6 mm)</w:t>
      </w:r>
      <w:r>
        <w:rPr/>
        <w:t>].</w:t>
      </w:r>
    </w:p>
    <w:p>
      <w:pPr>
        <w:pStyle w:val="CMT"/>
        <w:rPr/>
      </w:pPr>
      <w:r>
        <w:rPr/>
        <w:t>Retain first option in first subparagraph below for PCI Category AA, second option for Categories AB or AC.</w:t>
      </w:r>
    </w:p>
    <w:p>
      <w:pPr>
        <w:pStyle w:val="PR2"/>
        <w:numPr>
          <w:ilvl w:val="5"/>
          <w:numId w:val="1"/>
        </w:numPr>
        <w:rPr/>
      </w:pPr>
      <w:r>
        <w:rPr/>
        <w:t>Maximum Joint Taper: [</w:t>
      </w:r>
      <w:r>
        <w:rPr>
          <w:b/>
        </w:rPr>
        <w:t xml:space="preserve">Plus or minus </w:t>
      </w:r>
      <w:r>
        <w:rPr>
          <w:rStyle w:val="IP"/>
          <w:b/>
        </w:rPr>
        <w:t>3/16 inch</w:t>
      </w:r>
      <w:r>
        <w:rPr>
          <w:rStyle w:val="SI"/>
          <w:b/>
        </w:rPr>
        <w:t xml:space="preserve"> (5 mm)</w:t>
      </w:r>
      <w:r>
        <w:rPr>
          <w:b/>
        </w:rPr>
        <w:t xml:space="preserve"> for joints </w:t>
      </w:r>
      <w:r>
        <w:rPr>
          <w:rStyle w:val="IP"/>
          <w:b/>
        </w:rPr>
        <w:t>10 ft.</w:t>
      </w:r>
      <w:r>
        <w:rPr>
          <w:rStyle w:val="SI"/>
          <w:b/>
        </w:rPr>
        <w:t xml:space="preserve"> (3 m)</w:t>
      </w:r>
      <w:r>
        <w:rPr>
          <w:b/>
        </w:rPr>
        <w:t xml:space="preserve"> or less in length; plus or minus </w:t>
      </w:r>
      <w:r>
        <w:rPr>
          <w:rStyle w:val="IP"/>
          <w:b/>
        </w:rPr>
        <w:t>1/4 inch</w:t>
      </w:r>
      <w:r>
        <w:rPr>
          <w:rStyle w:val="SI"/>
          <w:b/>
        </w:rPr>
        <w:t xml:space="preserve"> (6 mm)</w:t>
      </w:r>
      <w:r>
        <w:rPr>
          <w:b/>
        </w:rPr>
        <w:t xml:space="preserve"> for joints over </w:t>
      </w:r>
      <w:r>
        <w:rPr>
          <w:rStyle w:val="IP"/>
          <w:b/>
        </w:rPr>
        <w:t>10 ft.</w:t>
      </w:r>
      <w:r>
        <w:rPr>
          <w:rStyle w:val="SI"/>
          <w:b/>
        </w:rPr>
        <w:t xml:space="preserve"> (3 m)</w:t>
      </w:r>
      <w:r>
        <w:rPr>
          <w:b/>
        </w:rPr>
        <w:t xml:space="preserve"> in length</w:t>
      </w:r>
      <w:r>
        <w:rPr/>
        <w:t>] [</w:t>
      </w:r>
      <w:r>
        <w:rPr>
          <w:b/>
        </w:rPr>
        <w:t xml:space="preserve">Plus or minus </w:t>
      </w:r>
      <w:r>
        <w:rPr>
          <w:rStyle w:val="IP"/>
          <w:b/>
        </w:rPr>
        <w:t>3/8 inch</w:t>
      </w:r>
      <w:r>
        <w:rPr>
          <w:rStyle w:val="SI"/>
          <w:b/>
        </w:rPr>
        <w:t xml:space="preserve"> (10 mm)</w:t>
      </w:r>
      <w:r>
        <w:rPr>
          <w:b/>
        </w:rPr>
        <w:t xml:space="preserve"> but not more than </w:t>
      </w:r>
      <w:r>
        <w:rPr>
          <w:rStyle w:val="IP"/>
          <w:b/>
        </w:rPr>
        <w:t>1/4 inch</w:t>
      </w:r>
      <w:r>
        <w:rPr>
          <w:rStyle w:val="SI"/>
          <w:b/>
        </w:rPr>
        <w:t xml:space="preserve"> (6 mm)</w:t>
      </w:r>
      <w:r>
        <w:rPr>
          <w:b/>
        </w:rPr>
        <w:t xml:space="preserve"> in </w:t>
      </w:r>
      <w:r>
        <w:rPr>
          <w:rStyle w:val="IP"/>
          <w:b/>
        </w:rPr>
        <w:t>10 ft.</w:t>
      </w:r>
      <w:r>
        <w:rPr>
          <w:rStyle w:val="SI"/>
          <w:b/>
        </w:rPr>
        <w:t xml:space="preserve"> (3 m)</w:t>
      </w:r>
      <w:r>
        <w:rPr>
          <w:b/>
        </w:rPr>
        <w:t xml:space="preserve"> length</w:t>
      </w:r>
      <w:r>
        <w:rPr/>
        <w:t>].</w:t>
      </w:r>
    </w:p>
    <w:p>
      <w:pPr>
        <w:pStyle w:val="PR2"/>
        <w:numPr>
          <w:ilvl w:val="5"/>
          <w:numId w:val="1"/>
        </w:numPr>
        <w:rPr/>
      </w:pPr>
      <w:r>
        <w:rPr/>
        <w:t xml:space="preserve">Joint Taper in 10 ft. (3 m): </w:t>
      </w:r>
      <w:r>
        <w:rPr>
          <w:rStyle w:val="IP"/>
        </w:rPr>
        <w:t>1/4 inch</w:t>
      </w:r>
      <w:r>
        <w:rPr>
          <w:rStyle w:val="SI"/>
        </w:rPr>
        <w:t xml:space="preserve"> (6 mm)</w:t>
      </w:r>
      <w:r>
        <w:rPr/>
        <w:t>.</w:t>
      </w:r>
    </w:p>
    <w:p>
      <w:pPr>
        <w:pStyle w:val="PR2"/>
        <w:numPr>
          <w:ilvl w:val="5"/>
          <w:numId w:val="1"/>
        </w:numPr>
        <w:rPr/>
      </w:pPr>
      <w:r>
        <w:rPr/>
        <w:t xml:space="preserve">Maximum Jog in Alignment of Matching Faces: </w:t>
      </w:r>
      <w:r>
        <w:rPr>
          <w:rStyle w:val="IP"/>
        </w:rPr>
        <w:t>1/4 inch</w:t>
      </w:r>
      <w:r>
        <w:rPr>
          <w:rStyle w:val="SI"/>
        </w:rPr>
        <w:t xml:space="preserve"> (6 mm)</w:t>
      </w:r>
      <w:r>
        <w:rPr/>
        <w:t>.</w:t>
      </w:r>
    </w:p>
    <w:p>
      <w:pPr>
        <w:pStyle w:val="PR2"/>
        <w:numPr>
          <w:ilvl w:val="5"/>
          <w:numId w:val="1"/>
        </w:numPr>
        <w:rPr/>
      </w:pPr>
      <w:r>
        <w:rPr/>
        <w:t xml:space="preserve">Differential Bowing or Camber, as Erected, between Adjacent Members of Same Design: </w:t>
      </w:r>
      <w:r>
        <w:rPr>
          <w:rStyle w:val="IP"/>
        </w:rPr>
        <w:t>1/4 inch</w:t>
      </w:r>
      <w:r>
        <w:rPr>
          <w:rStyle w:val="SI"/>
        </w:rPr>
        <w:t xml:space="preserve"> (6 mm)</w:t>
      </w:r>
      <w:r>
        <w:rPr/>
        <w:t>.</w:t>
      </w:r>
    </w:p>
    <w:p>
      <w:pPr>
        <w:pStyle w:val="PR2"/>
        <w:numPr>
          <w:ilvl w:val="5"/>
          <w:numId w:val="1"/>
        </w:numPr>
        <w:rPr/>
      </w:pPr>
      <w:r>
        <w:rPr/>
        <w:t xml:space="preserve">Opening Height between Spandrels: Plus or minus </w:t>
      </w:r>
      <w:r>
        <w:rPr>
          <w:rStyle w:val="IP"/>
        </w:rPr>
        <w:t>1/4 inch</w:t>
      </w:r>
      <w:r>
        <w:rPr>
          <w:rStyle w:val="SI"/>
        </w:rPr>
        <w:t xml:space="preserve"> (6 mm)</w:t>
      </w:r>
      <w:r>
        <w:rPr/>
        <w:t>.</w:t>
      </w:r>
    </w:p>
    <w:p>
      <w:pPr>
        <w:pStyle w:val="ART"/>
        <w:numPr>
          <w:ilvl w:val="3"/>
          <w:numId w:val="1"/>
        </w:numPr>
        <w:ind w:hanging="0" w:left="0"/>
        <w:rPr/>
      </w:pPr>
      <w:r>
        <w:rPr/>
        <w:t>REPAIR</w:t>
      </w:r>
    </w:p>
    <w:p>
      <w:pPr>
        <w:pStyle w:val="CMT"/>
        <w:rPr/>
      </w:pPr>
      <w:r>
        <w:rPr/>
        <w:t>Blemishes occurring after delivery are normally repaired before final joint sealing and cleaning as weather permits.</w:t>
      </w:r>
    </w:p>
    <w:p>
      <w:pPr>
        <w:pStyle w:val="PR1"/>
        <w:numPr>
          <w:ilvl w:val="4"/>
          <w:numId w:val="1"/>
        </w:numPr>
        <w:rPr/>
      </w:pPr>
      <w:r>
        <w:rPr/>
        <w:t>Repair architectural precast concrete units if permitted by Architect. Architect reserves the right to reject repaired units that do not comply with requirements.</w:t>
      </w:r>
    </w:p>
    <w:p>
      <w:pPr>
        <w:pStyle w:val="CMT"/>
        <w:rPr/>
      </w:pPr>
      <w:r>
        <w:rPr/>
        <w:t>Precast concrete manufacturer should develop appropriate repair mixtures and techniques during production sample approval process.</w:t>
      </w:r>
    </w:p>
    <w:p>
      <w:pPr>
        <w:pStyle w:val="PR1"/>
        <w:numPr>
          <w:ilvl w:val="4"/>
          <w:numId w:val="1"/>
        </w:numPr>
        <w:rPr/>
      </w:pPr>
      <w:r>
        <w:rPr/>
        <w:t xml:space="preserve">Mix patching materials and repair units so cured patches blend with color, texture, and uniformity of adjacent exposed surfaces and show no apparent line of demarcation between original and repaired work, when viewed in typical daylight illumination from a distance of </w:t>
      </w:r>
      <w:r>
        <w:rPr>
          <w:rStyle w:val="IP"/>
        </w:rPr>
        <w:t>20 ft.</w:t>
      </w:r>
      <w:r>
        <w:rPr>
          <w:rStyle w:val="SI"/>
        </w:rPr>
        <w:t xml:space="preserve"> (6 m)</w:t>
      </w:r>
      <w:r>
        <w:rPr/>
        <w:t>.</w:t>
      </w:r>
    </w:p>
    <w:p>
      <w:pPr>
        <w:pStyle w:val="PR1"/>
        <w:numPr>
          <w:ilvl w:val="4"/>
          <w:numId w:val="1"/>
        </w:numPr>
        <w:rPr/>
      </w:pPr>
      <w:r>
        <w:rPr/>
        <w:t>Prepare and repair damaged galvanized coatings with galvanizing repair paint in accordance with ASTM A780/A780M.</w:t>
      </w:r>
    </w:p>
    <w:p>
      <w:pPr>
        <w:pStyle w:val="CMT"/>
        <w:rPr/>
      </w:pPr>
      <w:r>
        <w:rPr/>
        <w:t>Retain last paragraph above if using galvanized anchors, connections, and other items; retain first paragraph below if items are prime painted.</w:t>
      </w:r>
    </w:p>
    <w:p>
      <w:pPr>
        <w:pStyle w:val="PR1"/>
        <w:numPr>
          <w:ilvl w:val="4"/>
          <w:numId w:val="1"/>
        </w:numPr>
        <w:rPr/>
      </w:pPr>
      <w:r>
        <w:rPr/>
        <w:t>Wire brush, clean, and paint damaged prime-painted components with same type of shop primer.</w:t>
      </w:r>
    </w:p>
    <w:p>
      <w:pPr>
        <w:pStyle w:val="PR1"/>
        <w:numPr>
          <w:ilvl w:val="4"/>
          <w:numId w:val="1"/>
        </w:numPr>
        <w:rPr/>
      </w:pPr>
      <w:r>
        <w:rPr/>
        <w:t>Remove and replace damaged architectural precast concrete units when repairs do not comply with requirements.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Erection of loadbearing precast concrete members.</w:t>
      </w:r>
    </w:p>
    <w:p>
      <w:pPr>
        <w:pStyle w:val="PR2"/>
        <w:numPr>
          <w:ilvl w:val="5"/>
          <w:numId w:val="1"/>
        </w:numPr>
        <w:rPr/>
      </w:pPr>
      <w:r>
        <w:rPr/>
        <w:t>Visually inspect field welds and test in accordance with ASTM E165/E165M or to ASTM E709 and ASTM E1444/E1444M.</w:t>
      </w:r>
    </w:p>
    <w:p>
      <w:pPr>
        <w:pStyle w:val="PR2"/>
        <w:numPr>
          <w:ilvl w:val="5"/>
          <w:numId w:val="1"/>
        </w:numPr>
        <w:rPr/>
      </w:pPr>
      <w:r>
        <w:rPr/>
        <w:t>High-strength bolted connections are subject to inspections.</w:t>
      </w:r>
    </w:p>
    <w:p>
      <w:pPr>
        <w:pStyle w:val="PR2"/>
        <w:numPr>
          <w:ilvl w:val="5"/>
          <w:numId w:val="1"/>
        </w:numPr>
        <w:rPr/>
      </w:pPr>
      <w:r>
        <w:rPr/>
        <w:t>&lt;</w:t>
      </w:r>
      <w:r>
        <w:rPr>
          <w:b/>
        </w:rPr>
        <w:t>Insert special inspections</w:t>
      </w:r>
      <w:r>
        <w:rPr/>
        <w:t>&gt;.</w:t>
      </w:r>
    </w:p>
    <w:p>
      <w:pPr>
        <w:pStyle w:val="PR1"/>
        <w:numPr>
          <w:ilvl w:val="4"/>
          <w:numId w:val="1"/>
        </w:numPr>
        <w:rPr/>
      </w:pPr>
      <w:r>
        <w:rPr/>
        <w:t>Prepare test and inspection reports.</w:t>
      </w:r>
    </w:p>
    <w:p>
      <w:pPr>
        <w:pStyle w:val="PR1"/>
        <w:numPr>
          <w:ilvl w:val="4"/>
          <w:numId w:val="1"/>
        </w:numPr>
        <w:rPr/>
      </w:pPr>
      <w:r>
        <w:rPr/>
        <w:t>Repair or remove and replace work where tests and inspections indicate that it does not comply with specified requirements.</w:t>
      </w:r>
    </w:p>
    <w:p>
      <w:pPr>
        <w:pStyle w:val="PR1"/>
        <w:numPr>
          <w:ilvl w:val="4"/>
          <w:numId w:val="1"/>
        </w:numPr>
        <w:rPr/>
      </w:pPr>
      <w:r>
        <w:rPr/>
        <w:t>Additional testing and inspecting, at Contractor's expense, to be performed to determine compliance of replaced or additional work with specified requirements.</w:t>
      </w:r>
    </w:p>
    <w:p>
      <w:pPr>
        <w:pStyle w:val="ART"/>
        <w:numPr>
          <w:ilvl w:val="3"/>
          <w:numId w:val="1"/>
        </w:numPr>
        <w:ind w:hanging="0" w:left="0"/>
        <w:rPr/>
      </w:pPr>
      <w:r>
        <w:rPr/>
        <w:t>CLEANING</w:t>
      </w:r>
    </w:p>
    <w:p>
      <w:pPr>
        <w:pStyle w:val="PR1"/>
        <w:numPr>
          <w:ilvl w:val="4"/>
          <w:numId w:val="1"/>
        </w:numPr>
        <w:rPr/>
      </w:pPr>
      <w:r>
        <w:rPr/>
        <w:t>Clean surfaces of precast concrete units exposed to view.</w:t>
      </w:r>
    </w:p>
    <w:p>
      <w:pPr>
        <w:pStyle w:val="PR1"/>
        <w:numPr>
          <w:ilvl w:val="4"/>
          <w:numId w:val="1"/>
        </w:numPr>
        <w:rPr/>
      </w:pPr>
      <w:r>
        <w:rPr/>
        <w:t>Clean mortar, plaster, fireproofing, weld slag, and other deleterious material from concrete surfaces and adjacent materials immediately.</w:t>
      </w:r>
    </w:p>
    <w:p>
      <w:pPr>
        <w:pStyle w:val="PR1"/>
        <w:numPr>
          <w:ilvl w:val="4"/>
          <w:numId w:val="1"/>
        </w:numPr>
        <w:rPr/>
      </w:pPr>
      <w:r>
        <w:rPr/>
        <w:t>Clean exposed surfaces of precast concrete units after erection and completion of joint treatment to remove weld marks, other markings, dirt, and stains.</w:t>
      </w:r>
    </w:p>
    <w:p>
      <w:pPr>
        <w:pStyle w:val="PR2"/>
        <w:numPr>
          <w:ilvl w:val="5"/>
          <w:numId w:val="1"/>
        </w:numPr>
        <w:spacing w:before="240" w:after="0"/>
        <w:rPr/>
      </w:pPr>
      <w:r>
        <w:rPr/>
        <w:t>Perform cleaning procedures, if necessary, in accordance with precast concrete fabricator's recommendations. Protect other work from staining or damage due to cleaning operations.</w:t>
      </w:r>
    </w:p>
    <w:p>
      <w:pPr>
        <w:pStyle w:val="PR2"/>
        <w:numPr>
          <w:ilvl w:val="5"/>
          <w:numId w:val="1"/>
        </w:numPr>
        <w:rPr/>
      </w:pPr>
      <w:r>
        <w:rPr/>
        <w:t>Do not use cleaning materials or processes that could change the appearance of exposed concrete finishes or damage adjacent materials.</w:t>
      </w:r>
    </w:p>
    <w:p>
      <w:pPr>
        <w:pStyle w:val="EOS"/>
        <w:rPr/>
      </w:pPr>
      <w:r>
        <w:rPr/>
        <w:t>END OF SECTION 034500</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PRECAST ARCHITECTURAL CONCRETE</w:t>
          </w:r>
        </w:p>
      </w:tc>
      <w:tc>
        <w:tcPr>
          <w:tcW w:w="1872" w:type="dxa"/>
          <w:tcBorders/>
        </w:tcPr>
        <w:p>
          <w:pPr>
            <w:pStyle w:val="RJUST"/>
            <w:rPr/>
          </w:pPr>
          <w:r>
            <w:rPr>
              <w:rStyle w:val="NUM"/>
            </w:rPr>
            <w:t>034500</w:t>
          </w:r>
          <w:r>
            <w:rPr/>
            <w:t xml:space="preserve"> - </w:t>
          </w:r>
          <w:r>
            <w:rPr/>
            <w:fldChar w:fldCharType="begin"/>
          </w:r>
          <w:r>
            <w:rPr/>
            <w:instrText xml:space="preserve"> PAGE </w:instrText>
          </w:r>
          <w:r>
            <w:rPr/>
            <w:fldChar w:fldCharType="separate"/>
          </w:r>
          <w:r>
            <w:rPr/>
            <w:t>37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34500"/>
    <w:docVar w:name="MF95" w:val="03450"/>
    <w:docVar w:name="MFOrigin" w:val="MF04"/>
    <w:docVar w:name="SectionID" w:val="90"/>
    <w:docVar w:name="SpecType" w:val="MasterSpec"/>
    <w:docVar w:name="Version" w:val="1631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34500&amp;ver=09-01-21&amp;format=FL&amp;sid=16315&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2391" TargetMode="External"/><Relationship Id="rId6" Type="http://schemas.openxmlformats.org/officeDocument/2006/relationships/hyperlink" Target="http://www.pci.org/" TargetMode="External"/><Relationship Id="rId7" Type="http://schemas.openxmlformats.org/officeDocument/2006/relationships/hyperlink" Target="http://www.ncdc.noaa.gov/" TargetMode="External"/><Relationship Id="rId8" Type="http://schemas.openxmlformats.org/officeDocument/2006/relationships/hyperlink" Target="http://www.pci.org/" TargetMode="External"/><Relationship Id="rId9" Type="http://schemas.openxmlformats.org/officeDocument/2006/relationships/hyperlink" Target="http://www.precast.org/" TargetMode="External"/><Relationship Id="rId10" Type="http://schemas.openxmlformats.org/officeDocument/2006/relationships/hyperlink" Target="http://www.specagent.com/LookUp/?ulid=13518&amp;mf=&amp;src=wd" TargetMode="External"/><Relationship Id="rId11" Type="http://schemas.openxmlformats.org/officeDocument/2006/relationships/hyperlink" Target="http://www.arcomnet.com/sustainable_design.aspx?topic=110" TargetMode="External"/><Relationship Id="rId12" Type="http://schemas.openxmlformats.org/officeDocument/2006/relationships/hyperlink" Target="http://www.arcomnet.com/sustainable_design.aspx?topic=111" TargetMode="External"/><Relationship Id="rId13" Type="http://schemas.openxmlformats.org/officeDocument/2006/relationships/hyperlink" Target="http://www.specagent.com/LookUp/?ulid=11031&amp;mf=&amp;src=wd" TargetMode="External"/><Relationship Id="rId14" Type="http://schemas.openxmlformats.org/officeDocument/2006/relationships/hyperlink" Target="http://www.arcomnet.com/sustainable_design.aspx?topic=124" TargetMode="External"/><Relationship Id="rId15" Type="http://schemas.openxmlformats.org/officeDocument/2006/relationships/hyperlink" Target="http://www.specagent.com/LookUp/?ulid=1255&amp;mf=&amp;src=wd" TargetMode="External"/><Relationship Id="rId16" Type="http://schemas.openxmlformats.org/officeDocument/2006/relationships/hyperlink" Target="http://www.specagent.com/LookUp/?ulid=7622&amp;mf=&amp;src=wd" TargetMode="External"/><Relationship Id="rId17" Type="http://schemas.openxmlformats.org/officeDocument/2006/relationships/hyperlink" Target="http://www.specagent.com/LookUp/?ulid=7623&amp;mf=&amp;src=wd" TargetMode="External"/><Relationship Id="rId18" Type="http://schemas.openxmlformats.org/officeDocument/2006/relationships/hyperlink" Target="http://www.specagent.com/LookUp/?ulid=7624&amp;mf=&amp;src=wd" TargetMode="External"/><Relationship Id="rId19" Type="http://schemas.openxmlformats.org/officeDocument/2006/relationships/hyperlink" Target="http://www.pci.org/"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2022-09-26T01:35:00Z</dcterms:created>
  <dc:creator>Deltek, Inc.</dc:creator>
  <dc:description/>
  <cp:keywords>BAS-12345-MS80</cp:keywords>
  <dc:language>zh-CN</dc:language>
  <cp:lastModifiedBy>Janice Nacional</cp:lastModifiedBy>
  <dcterms:modified xsi:type="dcterms:W3CDTF">2022-09-26T01:35:00Z</dcterms:modified>
  <cp:revision>2</cp:revision>
  <dc:subject>PRECAST ARCHITECTURAL CONCRETE</dc:subject>
  <dc:title>SECTION 034500 - PRECAST ARCHITECTURAL CONCRETE</dc:title>
</cp:coreProperties>
</file>