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2016 by The American Institute of Architects (AIA)</w:t>
      </w:r>
    </w:p>
    <w:p>
      <w:pPr>
        <w:pStyle w:val="CMT"/>
        <w:rPr/>
      </w:pPr>
      <w:r>
        <w:rPr/>
        <w:t>Exclusively published and distributed by Deltek, Inc. for the AIA</w:t>
      </w:r>
    </w:p>
    <w:p>
      <w:pPr>
        <w:pStyle w:val="SCT"/>
        <w:rPr/>
      </w:pPr>
      <w:r>
        <w:rPr/>
        <w:t xml:space="preserve">SECTION </w:t>
      </w:r>
      <w:r>
        <w:rPr>
          <w:rStyle w:val="NUM"/>
        </w:rPr>
        <w:t>055819</w:t>
      </w:r>
      <w:r>
        <w:rPr/>
        <w:t xml:space="preserve"> - </w:t>
      </w:r>
      <w:r>
        <w:rPr>
          <w:rStyle w:val="NAM"/>
        </w:rPr>
        <w:t>HEATING/COOLING UNIT COVERS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ind w:hanging="0" w:left="0"/>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ind w:hanging="0" w:left="0"/>
        <w:rPr/>
      </w:pPr>
      <w:r>
        <w:rPr/>
        <w:t>Section includes heating-cooling unit enclosures.</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ind w:hanging="0" w:left="0"/>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ind w:hanging="0" w:left="0"/>
        <w:rPr/>
      </w:pPr>
      <w:r>
        <w:rPr/>
        <w:t>Product Data: For each type of product, including finishing materials.</w:t>
      </w:r>
    </w:p>
    <w:p>
      <w:pPr>
        <w:pStyle w:val="PR1"/>
        <w:numPr>
          <w:ilvl w:val="4"/>
          <w:numId w:val="1"/>
        </w:numPr>
        <w:ind w:hanging="0" w:left="0"/>
        <w:rPr/>
      </w:pPr>
      <w:r>
        <w:rPr/>
        <w:t>Shop Drawings: Show fabrication and installation details for heating-cooling unit enclosures.</w:t>
      </w:r>
    </w:p>
    <w:p>
      <w:pPr>
        <w:pStyle w:val="CMT"/>
        <w:rPr/>
      </w:pPr>
      <w:r>
        <w:rPr/>
        <w:t>Retain "Samples for Initial Selection" and "Samples for Verification" paragraphs below for two-stage Samples.</w:t>
      </w:r>
    </w:p>
    <w:p>
      <w:pPr>
        <w:pStyle w:val="PR1"/>
        <w:numPr>
          <w:ilvl w:val="4"/>
          <w:numId w:val="1"/>
        </w:numPr>
        <w:ind w:hanging="0" w:left="0"/>
        <w:rPr/>
      </w:pPr>
      <w:r>
        <w:rPr/>
        <w:t>Samples for Initial Selection: For products involving selection of color, texture, or design[</w:t>
      </w:r>
      <w:r>
        <w:rPr>
          <w:b/>
        </w:rPr>
        <w:t>, including mechanical finishes</w:t>
      </w:r>
      <w:r>
        <w:rPr/>
        <w:t>].</w:t>
      </w:r>
    </w:p>
    <w:p>
      <w:pPr>
        <w:pStyle w:val="PR1"/>
        <w:numPr>
          <w:ilvl w:val="4"/>
          <w:numId w:val="1"/>
        </w:numPr>
        <w:ind w:hanging="0" w:left="0"/>
        <w:rPr/>
      </w:pPr>
      <w:r>
        <w:rPr/>
        <w:t xml:space="preserve">Samples for Verification: For each type of exposed finish required, prepared on </w:t>
      </w:r>
      <w:r>
        <w:rPr>
          <w:rStyle w:val="IP"/>
        </w:rPr>
        <w:t>6-inch-</w:t>
      </w:r>
      <w:r>
        <w:rPr>
          <w:rStyle w:val="SI"/>
        </w:rPr>
        <w:t xml:space="preserve"> (150-mm-)</w:t>
      </w:r>
      <w:r>
        <w:rPr/>
        <w:t xml:space="preserve"> square Samples of metal of same thickness and material indicated for the Work.</w:t>
      </w:r>
    </w:p>
    <w:p>
      <w:pPr>
        <w:pStyle w:val="CMT"/>
        <w:rPr/>
      </w:pPr>
      <w:r>
        <w:rPr/>
        <w:t>"Delegated-Design Submittal" Paragraph below is defined in Section 013300 "Submittal Procedures" as a "Delegated-Design Submittal." Retain if Work of this Section is required to withstand specific design loads and design responsibilities have been delegated to Contractor or if structural data are required as another way to verify compliance with performance requirements. Professional engineer qualifications are specified in Section 014000 "Quality Requirements."</w:t>
      </w:r>
    </w:p>
    <w:p>
      <w:pPr>
        <w:pStyle w:val="PR1"/>
        <w:numPr>
          <w:ilvl w:val="4"/>
          <w:numId w:val="1"/>
        </w:numPr>
        <w:ind w:hanging="0" w:left="0"/>
        <w:rPr/>
      </w:pPr>
      <w:r>
        <w:rPr/>
        <w:t>Delegated-Design Submittal: For installed products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w:t>
      </w:r>
    </w:p>
    <w:p>
      <w:pPr>
        <w:pStyle w:val="PR1"/>
        <w:numPr>
          <w:ilvl w:val="4"/>
          <w:numId w:val="1"/>
        </w:numPr>
        <w:ind w:hanging="0" w:left="0"/>
        <w:rPr/>
      </w:pPr>
      <w:r>
        <w:rPr/>
        <w:t>Coordination Drawings: For heating-cooling unit enclosures. Show dimensions of heating-cooling units, including locations of housing penetrations and attachments, and necessary clearances.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ind w:hanging="0" w:left="0"/>
        <w:rPr/>
      </w:pPr>
      <w:r>
        <w:rPr/>
        <w:t>Qualification Data: For [</w:t>
      </w:r>
      <w:r>
        <w:rPr>
          <w:b/>
        </w:rPr>
        <w:t>fabricator</w:t>
      </w:r>
      <w:r>
        <w:rPr/>
        <w:t>] [</w:t>
      </w:r>
      <w:r>
        <w:rPr>
          <w:b/>
        </w:rPr>
        <w:t>organic-coating applicator</w:t>
      </w:r>
      <w:r>
        <w:rPr/>
        <w:t>] [</w:t>
      </w:r>
      <w:r>
        <w:rPr>
          <w:b/>
        </w:rPr>
        <w:t>and</w:t>
      </w:r>
      <w:r>
        <w:rPr/>
        <w:t>] [</w:t>
      </w:r>
      <w:r>
        <w:rPr>
          <w:b/>
        </w:rPr>
        <w:t>powder-coating applicator</w:t>
      </w:r>
      <w:r>
        <w:rPr/>
        <w:t>].</w:t>
      </w:r>
    </w:p>
    <w:p>
      <w:pPr>
        <w:pStyle w:val="ART"/>
        <w:numPr>
          <w:ilvl w:val="3"/>
          <w:numId w:val="1"/>
        </w:numPr>
        <w:ind w:hanging="0" w:left="0"/>
        <w:rPr/>
      </w:pPr>
      <w:r>
        <w:rPr/>
        <w:t>QUALITY ASSURANCE</w:t>
      </w:r>
    </w:p>
    <w:p>
      <w:pPr>
        <w:pStyle w:val="PR1"/>
        <w:numPr>
          <w:ilvl w:val="4"/>
          <w:numId w:val="1"/>
        </w:numPr>
        <w:ind w:hanging="0" w:left="0"/>
        <w:rPr/>
      </w:pPr>
      <w:r>
        <w:rPr/>
        <w:t>Fabricator Qualifications: A firm experienced in producing heating-cooling unit enclosures similar to that indicated for this Project and with a record of successful in-service performance, as well as sufficient production capacity to produce required units.</w:t>
      </w:r>
    </w:p>
    <w:p>
      <w:pPr>
        <w:pStyle w:val="CMT"/>
        <w:rPr/>
      </w:pPr>
      <w:r>
        <w:rPr/>
        <w:t>Coating manufacturers may offer lists of applicators that, to the best of their knowledge, comply with requirements specified in "Organic-Coating Applicator Qualifications" Paragraph below; however, manufacturers are not responsible for applicators' performance.</w:t>
      </w:r>
    </w:p>
    <w:p>
      <w:pPr>
        <w:pStyle w:val="PR1"/>
        <w:numPr>
          <w:ilvl w:val="4"/>
          <w:numId w:val="1"/>
        </w:numPr>
        <w:ind w:hanging="0" w:left="0"/>
        <w:rPr/>
      </w:pPr>
      <w:r>
        <w:rPr/>
        <w:t>Organic-Coating Applicator Qualifications: A firm experienced in successfully applying organic coatings of type indicated to metals of types indicated and that employs competent control personnel to conduct continuing, effective quality-control program to ensure compliance with requirements.</w:t>
      </w:r>
    </w:p>
    <w:p>
      <w:pPr>
        <w:pStyle w:val="PR1"/>
        <w:numPr>
          <w:ilvl w:val="4"/>
          <w:numId w:val="1"/>
        </w:numPr>
        <w:ind w:hanging="0" w:left="0"/>
        <w:rPr/>
      </w:pPr>
      <w:r>
        <w:rPr/>
        <w:t>Powder-Coating Applicator Qualifications: A firm experienced in successfully applying powder coatings of type indicated to metals of types indicated and that employs competent control personnel to conduct continuing, effective quality-control program to ensure compliance with requirements.</w:t>
      </w:r>
    </w:p>
    <w:p>
      <w:pPr>
        <w:pStyle w:val="PR1"/>
        <w:numPr>
          <w:ilvl w:val="4"/>
          <w:numId w:val="1"/>
        </w:numPr>
        <w:ind w:hanging="0" w:left="0"/>
        <w:rPr/>
      </w:pPr>
      <w:r>
        <w:rPr/>
        <w:t>Mockups: Build mockups to verify selections made under Sample submittals, to demonstrate aesthetic effects, and to set quality standards for fabrication and installation.</w:t>
      </w:r>
    </w:p>
    <w:p>
      <w:pPr>
        <w:pStyle w:val="PR2"/>
        <w:numPr>
          <w:ilvl w:val="5"/>
          <w:numId w:val="1"/>
        </w:numPr>
        <w:spacing w:before="240" w:after="0"/>
        <w:ind w:hanging="0" w:left="0"/>
        <w:rPr/>
      </w:pPr>
      <w:r>
        <w:rPr/>
        <w:t>Build mockups of typical heating-cooling unit enclosures as shown on Drawings.</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ind w:hanging="0" w:left="0"/>
        <w:rPr/>
      </w:pPr>
      <w:r>
        <w:rPr/>
        <w:t>Subject to compliance with requirements, approved mockups may become part of the completed Work if undisturbed at time of Substantial Completion.</w:t>
      </w:r>
    </w:p>
    <w:p>
      <w:pPr>
        <w:pStyle w:val="ART"/>
        <w:numPr>
          <w:ilvl w:val="3"/>
          <w:numId w:val="1"/>
        </w:numPr>
        <w:ind w:hanging="0" w:left="0"/>
        <w:rPr/>
      </w:pPr>
      <w:r>
        <w:rPr/>
        <w:t>DELIVERY, STORAGE, AND HANDLING</w:t>
      </w:r>
    </w:p>
    <w:p>
      <w:pPr>
        <w:pStyle w:val="PR1"/>
        <w:numPr>
          <w:ilvl w:val="4"/>
          <w:numId w:val="1"/>
        </w:numPr>
        <w:ind w:hanging="0" w:left="0"/>
        <w:rPr/>
      </w:pPr>
      <w:r>
        <w:rPr/>
        <w:t>Deliver heating-cooling unit enclosures wrapped in protective coverings or in heavy-duty cartons. Remove protective coverings before they stain or bond to finished surfaces.</w:t>
      </w:r>
    </w:p>
    <w:p>
      <w:pPr>
        <w:pStyle w:val="ART"/>
        <w:numPr>
          <w:ilvl w:val="3"/>
          <w:numId w:val="1"/>
        </w:numPr>
        <w:ind w:hanging="0" w:left="0"/>
        <w:rPr/>
      </w:pPr>
      <w:r>
        <w:rPr/>
        <w:t>FIELD CONDITIONS</w:t>
      </w:r>
    </w:p>
    <w:p>
      <w:pPr>
        <w:pStyle w:val="PR1"/>
        <w:numPr>
          <w:ilvl w:val="4"/>
          <w:numId w:val="1"/>
        </w:numPr>
        <w:ind w:hanging="0" w:left="0"/>
        <w:rPr/>
      </w:pPr>
      <w:r>
        <w:rPr/>
        <w:t>Field Measurements: Verify actual locations of walls, columns, beams, and other construction contiguous with heating-cooling unit enclosures by field measurements before fabrication and indicate measurements on Shop Drawings.</w:t>
      </w:r>
    </w:p>
    <w:p>
      <w:pPr>
        <w:pStyle w:val="PRT"/>
        <w:numPr>
          <w:ilvl w:val="0"/>
          <w:numId w:val="1"/>
        </w:numPr>
        <w:ind w:hanging="0" w:left="0"/>
        <w:rPr/>
      </w:pPr>
      <w:r>
        <w:rPr/>
        <w:t>PRODUCTS</w:t>
      </w:r>
    </w:p>
    <w:p>
      <w:pPr>
        <w:pStyle w:val="CMT"/>
        <w:rPr/>
      </w:pPr>
      <w:r>
        <w:rPr/>
        <w:t>See Editing Instruction No. 1 in the Evaluations for cautions about named manufacturers and products. For an explanation of options and Contractor's product selection procedures,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ind w:hanging="0" w:left="0"/>
        <w:rPr/>
      </w:pPr>
      <w:r>
        <w:rPr/>
        <w:t>Delegated Design: Engage a qualified professional engineer, as defined in Section 014000 "Quality Requirements," to design heating-cooling unit enclosures.</w:t>
      </w:r>
    </w:p>
    <w:p>
      <w:pPr>
        <w:pStyle w:val="PR1"/>
        <w:numPr>
          <w:ilvl w:val="4"/>
          <w:numId w:val="1"/>
        </w:numPr>
        <w:ind w:hanging="0" w:left="0"/>
        <w:rPr/>
      </w:pPr>
      <w:r>
        <w:rPr/>
        <w:t>Structural Performance: Heating-cooling unit enclosures shall withstand the effects of gravity loads and the following loads and stresses without exceeding the allowable design working stress of materials involved and without exhibiting permanent deformation in any components:</w:t>
      </w:r>
    </w:p>
    <w:p>
      <w:pPr>
        <w:pStyle w:val="CMT"/>
        <w:rPr/>
      </w:pPr>
      <w:r>
        <w:rPr/>
        <w:t>"Live Loads" Subparagraph below is an example only, based on the assumption that people may sit or stand on enclosures. Revise to suit Project or delete if not required.</w:t>
      </w:r>
    </w:p>
    <w:p>
      <w:pPr>
        <w:pStyle w:val="PR2"/>
        <w:numPr>
          <w:ilvl w:val="5"/>
          <w:numId w:val="1"/>
        </w:numPr>
        <w:spacing w:before="240" w:after="0"/>
        <w:ind w:hanging="0" w:left="0"/>
        <w:rPr/>
      </w:pPr>
      <w:r>
        <w:rPr/>
        <w:t xml:space="preserve">Live Loads: </w:t>
      </w:r>
      <w:r>
        <w:rPr>
          <w:rStyle w:val="IP"/>
        </w:rPr>
        <w:t>100 lbf/sq. ft.</w:t>
      </w:r>
      <w:r>
        <w:rPr>
          <w:rStyle w:val="SI"/>
        </w:rPr>
        <w:t xml:space="preserve"> (4.8 kN/sq. m)</w:t>
      </w:r>
      <w:r>
        <w:rPr/>
        <w:t xml:space="preserve"> or a concentrated load of </w:t>
      </w:r>
      <w:r>
        <w:rPr>
          <w:rStyle w:val="IP"/>
        </w:rPr>
        <w:t>300 lbf</w:t>
      </w:r>
      <w:r>
        <w:rPr>
          <w:rStyle w:val="SI"/>
        </w:rPr>
        <w:t xml:space="preserve"> (1.3 kN)</w:t>
      </w:r>
      <w:r>
        <w:rPr/>
        <w:t xml:space="preserve"> on an area of </w:t>
      </w:r>
      <w:r>
        <w:rPr>
          <w:rStyle w:val="IP"/>
        </w:rPr>
        <w:t>4 sq. in.</w:t>
      </w:r>
      <w:r>
        <w:rPr>
          <w:rStyle w:val="SI"/>
        </w:rPr>
        <w:t xml:space="preserve"> (26 sq. cm)</w:t>
      </w:r>
      <w:r>
        <w:rPr/>
        <w:t>, whichever produces the greater stress.</w:t>
      </w:r>
    </w:p>
    <w:p>
      <w:pPr>
        <w:pStyle w:val="ART"/>
        <w:numPr>
          <w:ilvl w:val="3"/>
          <w:numId w:val="1"/>
        </w:numPr>
        <w:ind w:hanging="0" w:left="0"/>
        <w:rPr/>
      </w:pPr>
      <w:r>
        <w:rPr/>
        <w:t>HEATING-COOLING UNIT ENCLOSURES</w:t>
      </w:r>
    </w:p>
    <w:p>
      <w:pPr>
        <w:pStyle w:val="PR1"/>
        <w:numPr>
          <w:ilvl w:val="4"/>
          <w:numId w:val="1"/>
        </w:numPr>
        <w:ind w:hanging="0" w:left="0"/>
        <w:rPr/>
      </w:pPr>
      <w:hyperlink r:id="rId3">
        <w:r>
          <w:rPr>
            <w:rStyle w:val="Hyperlink"/>
          </w:rPr>
          <w:t>&lt;Double click here to find, evaluate, and insert list of manufacturers and products.&gt;</w:t>
        </w:r>
      </w:hyperlink>
    </w:p>
    <w:p>
      <w:pPr>
        <w:pStyle w:val="PR1"/>
        <w:numPr>
          <w:ilvl w:val="4"/>
          <w:numId w:val="1"/>
        </w:numPr>
        <w:ind w:hanging="0" w:left="0"/>
        <w:rPr/>
      </w:pPr>
      <w:r>
        <w:rPr/>
        <w:t>Fabricate heating-cooling unit enclosures from metal of type and thickness indicated below:</w:t>
      </w:r>
    </w:p>
    <w:p>
      <w:pPr>
        <w:pStyle w:val="CMT"/>
        <w:rPr/>
      </w:pPr>
      <w:r>
        <w:rPr/>
        <w:t>Retain "Galvanized-Steel Sheet" or "Steel Sheet" Subparagraph below or revise to specify another metal or thickness.</w:t>
      </w:r>
    </w:p>
    <w:p>
      <w:pPr>
        <w:pStyle w:val="PR2"/>
        <w:numPr>
          <w:ilvl w:val="5"/>
          <w:numId w:val="1"/>
        </w:numPr>
        <w:spacing w:before="240" w:after="0"/>
        <w:ind w:hanging="0" w:left="0"/>
        <w:rPr/>
      </w:pPr>
      <w:r>
        <w:rPr/>
        <w:t>Galvanized-Steel Sheet:</w:t>
      </w:r>
    </w:p>
    <w:p>
      <w:pPr>
        <w:pStyle w:val="PR3"/>
        <w:numPr>
          <w:ilvl w:val="6"/>
          <w:numId w:val="1"/>
        </w:numPr>
        <w:spacing w:before="240" w:after="0"/>
        <w:ind w:hanging="0" w:left="0"/>
        <w:rPr/>
      </w:pPr>
      <w:r>
        <w:rPr/>
        <w:t>Framing: [</w:t>
      </w:r>
      <w:r>
        <w:rPr>
          <w:rStyle w:val="IP"/>
          <w:b/>
        </w:rPr>
        <w:t>0.108 inch</w:t>
      </w:r>
      <w:r>
        <w:rPr>
          <w:rStyle w:val="SI"/>
          <w:b/>
        </w:rPr>
        <w:t xml:space="preserve"> (2.74 mm)</w:t>
      </w:r>
      <w:r>
        <w:rPr/>
        <w:t>] [</w:t>
      </w:r>
      <w:r>
        <w:rPr>
          <w:b/>
        </w:rPr>
        <w:t>Thickness required to comply with performance requirements</w:t>
      </w:r>
      <w:r>
        <w:rPr/>
        <w:t>] &lt;</w:t>
      </w:r>
      <w:r>
        <w:rPr>
          <w:b/>
        </w:rPr>
        <w:t>Insert thickness</w:t>
      </w:r>
      <w:r>
        <w:rPr/>
        <w:t>&gt;.</w:t>
      </w:r>
    </w:p>
    <w:p>
      <w:pPr>
        <w:pStyle w:val="PR3"/>
        <w:numPr>
          <w:ilvl w:val="6"/>
          <w:numId w:val="1"/>
        </w:numPr>
        <w:ind w:hanging="0" w:left="0"/>
        <w:rPr/>
      </w:pPr>
      <w:r>
        <w:rPr/>
        <w:t>Sills and Stools: [</w:t>
      </w:r>
      <w:r>
        <w:rPr>
          <w:rStyle w:val="IP"/>
          <w:b/>
        </w:rPr>
        <w:t>0.079 inch</w:t>
      </w:r>
      <w:r>
        <w:rPr>
          <w:rStyle w:val="SI"/>
          <w:b/>
        </w:rPr>
        <w:t xml:space="preserve"> (2.01 mm)</w:t>
      </w:r>
      <w:r>
        <w:rPr/>
        <w:t>] [</w:t>
      </w:r>
      <w:r>
        <w:rPr>
          <w:b/>
        </w:rPr>
        <w:t>Thickness required to comply with performance requirements</w:t>
      </w:r>
      <w:r>
        <w:rPr/>
        <w:t>] &lt;</w:t>
      </w:r>
      <w:r>
        <w:rPr>
          <w:b/>
        </w:rPr>
        <w:t>Insert thickness</w:t>
      </w:r>
      <w:r>
        <w:rPr/>
        <w:t>&gt;.</w:t>
      </w:r>
    </w:p>
    <w:p>
      <w:pPr>
        <w:pStyle w:val="PR3"/>
        <w:numPr>
          <w:ilvl w:val="6"/>
          <w:numId w:val="1"/>
        </w:numPr>
        <w:ind w:hanging="0" w:left="0"/>
        <w:rPr/>
      </w:pPr>
      <w:r>
        <w:rPr/>
        <w:t>Front Panels and Bases: [</w:t>
      </w:r>
      <w:r>
        <w:rPr>
          <w:rStyle w:val="IP"/>
          <w:b/>
        </w:rPr>
        <w:t>0.064 inch</w:t>
      </w:r>
      <w:r>
        <w:rPr>
          <w:rStyle w:val="SI"/>
          <w:b/>
        </w:rPr>
        <w:t xml:space="preserve"> (1.63 mm)</w:t>
      </w:r>
      <w:r>
        <w:rPr/>
        <w:t>] &lt;</w:t>
      </w:r>
      <w:r>
        <w:rPr>
          <w:b/>
        </w:rPr>
        <w:t>Insert dimension</w:t>
      </w:r>
      <w:r>
        <w:rPr/>
        <w:t>&gt;.</w:t>
      </w:r>
    </w:p>
    <w:p>
      <w:pPr>
        <w:pStyle w:val="PR3"/>
        <w:numPr>
          <w:ilvl w:val="6"/>
          <w:numId w:val="1"/>
        </w:numPr>
        <w:ind w:hanging="0" w:left="0"/>
        <w:rPr/>
      </w:pPr>
      <w:r>
        <w:rPr/>
        <w:t>Concealed Panels and Trim: [</w:t>
      </w:r>
      <w:r>
        <w:rPr>
          <w:rStyle w:val="IP"/>
          <w:b/>
        </w:rPr>
        <w:t>0.040 inch</w:t>
      </w:r>
      <w:r>
        <w:rPr>
          <w:rStyle w:val="SI"/>
          <w:b/>
        </w:rPr>
        <w:t xml:space="preserve"> (1.02 mm)</w:t>
      </w:r>
      <w:r>
        <w:rPr/>
        <w:t>] &lt;</w:t>
      </w:r>
      <w:r>
        <w:rPr>
          <w:b/>
        </w:rPr>
        <w:t>Insert dimension</w:t>
      </w:r>
      <w:r>
        <w:rPr/>
        <w:t>&gt;.</w:t>
      </w:r>
    </w:p>
    <w:p>
      <w:pPr>
        <w:pStyle w:val="PR3"/>
        <w:numPr>
          <w:ilvl w:val="6"/>
          <w:numId w:val="1"/>
        </w:numPr>
        <w:ind w:hanging="0" w:left="0"/>
        <w:rPr/>
      </w:pPr>
      <w:r>
        <w:rPr/>
        <w:t>Finish: [</w:t>
      </w:r>
      <w:r>
        <w:rPr>
          <w:b/>
        </w:rPr>
        <w:t>Factory primed</w:t>
      </w:r>
      <w:r>
        <w:rPr/>
        <w:t>] [</w:t>
      </w:r>
      <w:r>
        <w:rPr>
          <w:b/>
        </w:rPr>
        <w:t>Baked enamel</w:t>
      </w:r>
      <w:r>
        <w:rPr/>
        <w:t>] [</w:t>
      </w:r>
      <w:r>
        <w:rPr>
          <w:b/>
        </w:rPr>
        <w:t>Siliconized polyester</w:t>
      </w:r>
      <w:r>
        <w:rPr/>
        <w:t>] [</w:t>
      </w:r>
      <w:r>
        <w:rPr>
          <w:b/>
        </w:rPr>
        <w:t>High-performance organic coating</w:t>
      </w:r>
      <w:r>
        <w:rPr/>
        <w:t>] [</w:t>
      </w:r>
      <w:r>
        <w:rPr>
          <w:b/>
        </w:rPr>
        <w:t>Powder coat</w:t>
      </w:r>
      <w:r>
        <w:rPr/>
        <w:t>].</w:t>
      </w:r>
    </w:p>
    <w:p>
      <w:pPr>
        <w:pStyle w:val="PR2"/>
        <w:numPr>
          <w:ilvl w:val="5"/>
          <w:numId w:val="1"/>
        </w:numPr>
        <w:spacing w:before="240" w:after="0"/>
        <w:ind w:hanging="0" w:left="0"/>
        <w:rPr/>
      </w:pPr>
      <w:r>
        <w:rPr/>
        <w:t>Steel Sheet:</w:t>
      </w:r>
    </w:p>
    <w:p>
      <w:pPr>
        <w:pStyle w:val="PR3"/>
        <w:numPr>
          <w:ilvl w:val="6"/>
          <w:numId w:val="1"/>
        </w:numPr>
        <w:spacing w:before="240" w:after="0"/>
        <w:ind w:hanging="0" w:left="0"/>
        <w:rPr/>
      </w:pPr>
      <w:r>
        <w:rPr/>
        <w:t>Framing: [</w:t>
      </w:r>
      <w:r>
        <w:rPr>
          <w:rStyle w:val="IP"/>
          <w:b/>
        </w:rPr>
        <w:t>0.105 inch</w:t>
      </w:r>
      <w:r>
        <w:rPr>
          <w:rStyle w:val="SI"/>
          <w:b/>
        </w:rPr>
        <w:t xml:space="preserve"> (2.66 mm)</w:t>
      </w:r>
      <w:r>
        <w:rPr/>
        <w:t>] [</w:t>
      </w:r>
      <w:r>
        <w:rPr>
          <w:b/>
        </w:rPr>
        <w:t>Thickness required to comply with performance requirements</w:t>
      </w:r>
      <w:r>
        <w:rPr/>
        <w:t>] &lt;</w:t>
      </w:r>
      <w:r>
        <w:rPr>
          <w:b/>
        </w:rPr>
        <w:t>Insert thickness</w:t>
      </w:r>
      <w:r>
        <w:rPr/>
        <w:t>&gt;.</w:t>
      </w:r>
    </w:p>
    <w:p>
      <w:pPr>
        <w:pStyle w:val="PR3"/>
        <w:numPr>
          <w:ilvl w:val="6"/>
          <w:numId w:val="1"/>
        </w:numPr>
        <w:ind w:hanging="0" w:left="0"/>
        <w:rPr/>
      </w:pPr>
      <w:r>
        <w:rPr/>
        <w:t>Sills and Stools: [</w:t>
      </w:r>
      <w:r>
        <w:rPr>
          <w:rStyle w:val="IP"/>
          <w:b/>
        </w:rPr>
        <w:t>0.075 inch</w:t>
      </w:r>
      <w:r>
        <w:rPr>
          <w:rStyle w:val="SI"/>
          <w:b/>
        </w:rPr>
        <w:t xml:space="preserve"> (1.90 mm)</w:t>
      </w:r>
      <w:r>
        <w:rPr/>
        <w:t>] [</w:t>
      </w:r>
      <w:r>
        <w:rPr>
          <w:b/>
        </w:rPr>
        <w:t>Thickness required to comply with performance requirements</w:t>
      </w:r>
      <w:r>
        <w:rPr/>
        <w:t>] &lt;</w:t>
      </w:r>
      <w:r>
        <w:rPr>
          <w:b/>
        </w:rPr>
        <w:t>Insert thickness</w:t>
      </w:r>
      <w:r>
        <w:rPr/>
        <w:t>&gt;.</w:t>
      </w:r>
    </w:p>
    <w:p>
      <w:pPr>
        <w:pStyle w:val="PR3"/>
        <w:numPr>
          <w:ilvl w:val="6"/>
          <w:numId w:val="1"/>
        </w:numPr>
        <w:ind w:hanging="0" w:left="0"/>
        <w:rPr/>
      </w:pPr>
      <w:r>
        <w:rPr/>
        <w:t>Front Panels and Bases: [</w:t>
      </w:r>
      <w:r>
        <w:rPr>
          <w:rStyle w:val="IP"/>
          <w:b/>
        </w:rPr>
        <w:t>0.060 inch</w:t>
      </w:r>
      <w:r>
        <w:rPr>
          <w:rStyle w:val="SI"/>
          <w:b/>
        </w:rPr>
        <w:t xml:space="preserve"> (1.52 mm)</w:t>
      </w:r>
      <w:r>
        <w:rPr/>
        <w:t>] &lt;</w:t>
      </w:r>
      <w:r>
        <w:rPr>
          <w:b/>
        </w:rPr>
        <w:t>Insert dimension</w:t>
      </w:r>
      <w:r>
        <w:rPr/>
        <w:t>&gt;.</w:t>
      </w:r>
    </w:p>
    <w:p>
      <w:pPr>
        <w:pStyle w:val="PR3"/>
        <w:numPr>
          <w:ilvl w:val="6"/>
          <w:numId w:val="1"/>
        </w:numPr>
        <w:ind w:hanging="0" w:left="0"/>
        <w:rPr/>
      </w:pPr>
      <w:r>
        <w:rPr/>
        <w:t>Concealed Panels and Trim: [</w:t>
      </w:r>
      <w:r>
        <w:rPr>
          <w:rStyle w:val="IP"/>
          <w:b/>
        </w:rPr>
        <w:t>0.036 inch</w:t>
      </w:r>
      <w:r>
        <w:rPr>
          <w:rStyle w:val="SI"/>
          <w:b/>
        </w:rPr>
        <w:t xml:space="preserve"> (0.91 mm)</w:t>
      </w:r>
      <w:r>
        <w:rPr/>
        <w:t>] &lt;</w:t>
      </w:r>
      <w:r>
        <w:rPr>
          <w:b/>
        </w:rPr>
        <w:t>Insert dimension</w:t>
      </w:r>
      <w:r>
        <w:rPr/>
        <w:t>&gt;.</w:t>
      </w:r>
    </w:p>
    <w:p>
      <w:pPr>
        <w:pStyle w:val="PR3"/>
        <w:numPr>
          <w:ilvl w:val="6"/>
          <w:numId w:val="1"/>
        </w:numPr>
        <w:ind w:hanging="0" w:left="0"/>
        <w:rPr/>
      </w:pPr>
      <w:r>
        <w:rPr/>
        <w:t>Finish: [</w:t>
      </w:r>
      <w:r>
        <w:rPr>
          <w:b/>
        </w:rPr>
        <w:t>Factory primed</w:t>
      </w:r>
      <w:r>
        <w:rPr/>
        <w:t>] [</w:t>
      </w:r>
      <w:r>
        <w:rPr>
          <w:b/>
        </w:rPr>
        <w:t>Baked enamel</w:t>
      </w:r>
      <w:r>
        <w:rPr/>
        <w:t>] [</w:t>
      </w:r>
      <w:r>
        <w:rPr>
          <w:b/>
        </w:rPr>
        <w:t>Powder coat</w:t>
      </w:r>
      <w:r>
        <w:rPr/>
        <w:t>].</w:t>
      </w:r>
    </w:p>
    <w:p>
      <w:pPr>
        <w:pStyle w:val="CMT"/>
        <w:rPr/>
      </w:pPr>
      <w:r>
        <w:rPr/>
        <w:t>Retain first paragraph below if other methods of assembly are not acceptable.</w:t>
      </w:r>
    </w:p>
    <w:p>
      <w:pPr>
        <w:pStyle w:val="PR1"/>
        <w:numPr>
          <w:ilvl w:val="4"/>
          <w:numId w:val="1"/>
        </w:numPr>
        <w:ind w:hanging="0" w:left="0"/>
        <w:rPr/>
      </w:pPr>
      <w:r>
        <w:rPr/>
        <w:t>Weld seams and connections unless otherwise indicated or unless other methods are necessary for access to heating and cooling equipment.</w:t>
      </w:r>
    </w:p>
    <w:p>
      <w:pPr>
        <w:pStyle w:val="PR1"/>
        <w:numPr>
          <w:ilvl w:val="4"/>
          <w:numId w:val="1"/>
        </w:numPr>
        <w:ind w:hanging="0" w:left="0"/>
        <w:rPr/>
      </w:pPr>
      <w:r>
        <w:rPr/>
        <w:t>Incorporate stiffeners or laminated backing using noncombustible materials as needed for strength and rigidity.</w:t>
      </w:r>
    </w:p>
    <w:p>
      <w:pPr>
        <w:pStyle w:val="CMT"/>
        <w:rPr/>
      </w:pPr>
      <w:r>
        <w:rPr/>
        <w:t>Retain one of two subparagraphs below; delete both if not applicable.</w:t>
      </w:r>
    </w:p>
    <w:p>
      <w:pPr>
        <w:pStyle w:val="PR2"/>
        <w:numPr>
          <w:ilvl w:val="5"/>
          <w:numId w:val="1"/>
        </w:numPr>
        <w:spacing w:before="240" w:after="0"/>
        <w:ind w:hanging="0" w:left="0"/>
        <w:rPr/>
      </w:pPr>
      <w:r>
        <w:rPr/>
        <w:t>Fill space between stiffeners with sound-deadening insulation attached to face sheet with insulation adhesive unless otherwise indicated.</w:t>
      </w:r>
    </w:p>
    <w:p>
      <w:pPr>
        <w:pStyle w:val="PR2"/>
        <w:numPr>
          <w:ilvl w:val="5"/>
          <w:numId w:val="1"/>
        </w:numPr>
        <w:ind w:hanging="0" w:left="0"/>
        <w:rPr/>
      </w:pPr>
      <w:r>
        <w:rPr/>
        <w:t xml:space="preserve">Coat concealed faces of metal panels more than </w:t>
      </w:r>
      <w:r>
        <w:rPr>
          <w:rStyle w:val="IP"/>
        </w:rPr>
        <w:t>6 inches</w:t>
      </w:r>
      <w:r>
        <w:rPr>
          <w:rStyle w:val="SI"/>
        </w:rPr>
        <w:t xml:space="preserve"> (150 mm)</w:t>
      </w:r>
      <w:r>
        <w:rPr/>
        <w:t xml:space="preserve"> wide with a heavy coating of sound-deadening mastic applied at the minimum rate of </w:t>
      </w:r>
      <w:r>
        <w:rPr>
          <w:rStyle w:val="IP"/>
        </w:rPr>
        <w:t>20 sq. ft./gal.</w:t>
      </w:r>
      <w:r>
        <w:rPr>
          <w:rStyle w:val="SI"/>
        </w:rPr>
        <w:t xml:space="preserve"> (0.5 sq. m/L)</w:t>
      </w:r>
      <w:r>
        <w:rPr/>
        <w:t>.</w:t>
      </w:r>
    </w:p>
    <w:p>
      <w:pPr>
        <w:pStyle w:val="PR1"/>
        <w:numPr>
          <w:ilvl w:val="4"/>
          <w:numId w:val="1"/>
        </w:numPr>
        <w:ind w:hanging="0" w:left="0"/>
        <w:rPr/>
      </w:pPr>
      <w:r>
        <w:rPr/>
        <w:t>Provide louvers and grilles of size, type, and materials indicated.</w:t>
      </w:r>
    </w:p>
    <w:p>
      <w:pPr>
        <w:pStyle w:val="PR2"/>
        <w:numPr>
          <w:ilvl w:val="5"/>
          <w:numId w:val="1"/>
        </w:numPr>
        <w:spacing w:before="240" w:after="0"/>
        <w:ind w:hanging="0" w:left="0"/>
        <w:rPr/>
      </w:pPr>
      <w:r>
        <w:rPr/>
        <w:t>For removable grilles, use modular units with recessed openings formed into surfaces of enclosures and without blank filler panels between grilles, so face panels and stools are continuous. Fabricate removable grilles and openings to precise tolerances to produce well-fitted assemblies free of warp or rattle, with grilles supported continuously along parallel edges and with tops flush with top of enclosure.</w:t>
      </w:r>
    </w:p>
    <w:p>
      <w:pPr>
        <w:pStyle w:val="PR1"/>
        <w:numPr>
          <w:ilvl w:val="4"/>
          <w:numId w:val="1"/>
        </w:numPr>
        <w:ind w:hanging="0" w:left="0"/>
        <w:rPr/>
      </w:pPr>
      <w:r>
        <w:rPr/>
        <w:t>Incorporate removable tops and fronts where indicated or needed for access to heating-cooling units and to piping, ductwork, controls, and electrical service, with panels and openings as follows:</w:t>
      </w:r>
    </w:p>
    <w:p>
      <w:pPr>
        <w:pStyle w:val="PR2"/>
        <w:numPr>
          <w:ilvl w:val="5"/>
          <w:numId w:val="1"/>
        </w:numPr>
        <w:spacing w:before="240" w:after="0"/>
        <w:ind w:hanging="0" w:left="0"/>
        <w:rPr/>
      </w:pPr>
      <w:r>
        <w:rPr/>
        <w:t xml:space="preserve">Fabricate with a fitting tolerance of not less than </w:t>
      </w:r>
      <w:r>
        <w:rPr>
          <w:rStyle w:val="IP"/>
        </w:rPr>
        <w:t>1/32 inch</w:t>
      </w:r>
      <w:r>
        <w:rPr>
          <w:rStyle w:val="SI"/>
        </w:rPr>
        <w:t xml:space="preserve"> (0.8 mm)</w:t>
      </w:r>
      <w:r>
        <w:rPr/>
        <w:t xml:space="preserve"> and not more than </w:t>
      </w:r>
      <w:r>
        <w:rPr>
          <w:rStyle w:val="IP"/>
        </w:rPr>
        <w:t>1/16 inch</w:t>
      </w:r>
      <w:r>
        <w:rPr>
          <w:rStyle w:val="SI"/>
        </w:rPr>
        <w:t xml:space="preserve"> (1.6 mm)</w:t>
      </w:r>
      <w:r>
        <w:rPr/>
        <w:t xml:space="preserve"> at each edge, with face of panels flush with adjoining fixed surfaces of enclosure.</w:t>
      </w:r>
    </w:p>
    <w:p>
      <w:pPr>
        <w:pStyle w:val="PR2"/>
        <w:numPr>
          <w:ilvl w:val="5"/>
          <w:numId w:val="1"/>
        </w:numPr>
        <w:ind w:hanging="0" w:left="0"/>
        <w:rPr/>
      </w:pPr>
      <w:r>
        <w:rPr/>
        <w:t>Form panels for easy removal without interfering with adjoining construction or furniture. Hold panels in place with concealed clips and hardware that prevent warp and rattle.</w:t>
      </w:r>
    </w:p>
    <w:p>
      <w:pPr>
        <w:pStyle w:val="PR1"/>
        <w:numPr>
          <w:ilvl w:val="4"/>
          <w:numId w:val="1"/>
        </w:numPr>
        <w:ind w:hanging="0" w:left="0"/>
        <w:rPr/>
      </w:pPr>
      <w:r>
        <w:rPr/>
        <w:t>Incorporate hinged access panels in enclosures for access to heating-cooling unit controls, as either separate elements or integrated with grille openings, as indicated or needed.</w:t>
      </w:r>
    </w:p>
    <w:p>
      <w:pPr>
        <w:pStyle w:val="PR1"/>
        <w:numPr>
          <w:ilvl w:val="4"/>
          <w:numId w:val="1"/>
        </w:numPr>
        <w:ind w:hanging="0" w:left="0"/>
        <w:rPr/>
      </w:pPr>
      <w:r>
        <w:rPr/>
        <w:t>Coordinate construction, configuration, and dimensions of enclosures with those of heating-cooling units. Provide support for heating-cooling units and controls where indicated. Provide blind knockouts and supports for piping, ductwork, control lines, electrical conduit, and wiring where indicated or needed.</w:t>
      </w:r>
    </w:p>
    <w:p>
      <w:pPr>
        <w:pStyle w:val="PR1"/>
        <w:numPr>
          <w:ilvl w:val="4"/>
          <w:numId w:val="1"/>
        </w:numPr>
        <w:ind w:hanging="0" w:left="0"/>
        <w:rPr/>
      </w:pPr>
      <w:r>
        <w:rPr/>
        <w:t>Locate fixed surfaces of enclosure to coincide precisely with window mullions and partition system terminations. Provide closures at ends of units, at recessed openings in base of units, and at other locations where needed to conceal unfinished wall or floor surfaces, piping, conduit, ductwork, or heating-cooling units.</w:t>
      </w:r>
    </w:p>
    <w:p>
      <w:pPr>
        <w:pStyle w:val="PR2"/>
        <w:numPr>
          <w:ilvl w:val="5"/>
          <w:numId w:val="1"/>
        </w:numPr>
        <w:spacing w:before="240" w:after="0"/>
        <w:ind w:hanging="0" w:left="0"/>
        <w:rPr/>
      </w:pPr>
      <w:r>
        <w:rPr/>
        <w:t>Provide built-in partitions (bulkheads) within enclosures between heating-cooling units, located to coincide with mullions and partition system terminations. Seal partitions to faces of enclosures with compressible gaskets or mastic sealing tape, and cover both sides of partitions with sound-deadening insulation attached to partitions with insulation adhesive.</w:t>
      </w:r>
    </w:p>
    <w:p>
      <w:pPr>
        <w:pStyle w:val="ART"/>
        <w:numPr>
          <w:ilvl w:val="3"/>
          <w:numId w:val="1"/>
        </w:numPr>
        <w:ind w:hanging="0" w:left="0"/>
        <w:rPr/>
      </w:pPr>
      <w:r>
        <w:rPr/>
        <w:t>SHEET METAL</w:t>
      </w:r>
    </w:p>
    <w:p>
      <w:pPr>
        <w:pStyle w:val="PR1"/>
        <w:numPr>
          <w:ilvl w:val="4"/>
          <w:numId w:val="1"/>
        </w:numPr>
        <w:ind w:hanging="0" w:left="0"/>
        <w:rPr/>
      </w:pPr>
      <w:r>
        <w:rPr/>
        <w:t>Fabricate units from sheet metal without pitting, seam marks, roller marks, stains, discolorations, or other imperfections where exposed to view on finished units.</w:t>
      </w:r>
    </w:p>
    <w:p>
      <w:pPr>
        <w:pStyle w:val="PR1"/>
        <w:numPr>
          <w:ilvl w:val="4"/>
          <w:numId w:val="1"/>
        </w:numPr>
        <w:ind w:hanging="0" w:left="0"/>
        <w:rPr/>
      </w:pPr>
      <w:r>
        <w:rPr/>
        <w:t xml:space="preserve">Galvanized-Steel Sheet: ASTM A653/A653M, </w:t>
      </w:r>
      <w:r>
        <w:rPr>
          <w:rStyle w:val="IP"/>
        </w:rPr>
        <w:t>G90</w:t>
      </w:r>
      <w:r>
        <w:rPr>
          <w:rStyle w:val="SI"/>
        </w:rPr>
        <w:t xml:space="preserve"> (Z275)</w:t>
      </w:r>
      <w:r>
        <w:rPr/>
        <w:t xml:space="preserve"> coating, either commercial steel or forming steel.</w:t>
      </w:r>
    </w:p>
    <w:p>
      <w:pPr>
        <w:pStyle w:val="PR1"/>
        <w:numPr>
          <w:ilvl w:val="4"/>
          <w:numId w:val="1"/>
        </w:numPr>
        <w:ind w:hanging="0" w:left="0"/>
        <w:rPr/>
      </w:pPr>
      <w:r>
        <w:rPr/>
        <w:t>Steel Sheet: [</w:t>
      </w:r>
      <w:r>
        <w:rPr>
          <w:b/>
        </w:rPr>
        <w:t>Uncoated, cold-rolled, ASTM A1008/A1008M, commercial steel, exposed</w:t>
      </w:r>
      <w:r>
        <w:rPr/>
        <w:t>] [</w:t>
      </w:r>
      <w:r>
        <w:rPr>
          <w:b/>
        </w:rPr>
        <w:t>or</w:t>
      </w:r>
      <w:r>
        <w:rPr/>
        <w:t>] [</w:t>
      </w:r>
      <w:r>
        <w:rPr>
          <w:b/>
        </w:rPr>
        <w:t>electrolytic zinc-coated, ASTM A879/A879M, with steel sheet substrate complying with ASTM A1008/A1008M, commercial steel, exposed</w:t>
      </w:r>
      <w:r>
        <w:rPr/>
        <w:t>].</w:t>
      </w:r>
    </w:p>
    <w:p>
      <w:pPr>
        <w:pStyle w:val="ART"/>
        <w:numPr>
          <w:ilvl w:val="3"/>
          <w:numId w:val="1"/>
        </w:numPr>
        <w:ind w:hanging="0" w:left="0"/>
        <w:rPr/>
      </w:pPr>
      <w:r>
        <w:rPr/>
        <w:t>MISCELLANEOUS MATERIALS</w:t>
      </w:r>
    </w:p>
    <w:p>
      <w:pPr>
        <w:pStyle w:val="CMT"/>
        <w:rPr/>
      </w:pPr>
      <w:r>
        <w:rPr/>
        <w:t>"Gaskets" Paragraph below is an example only; revise to suit application indicated.</w:t>
      </w:r>
    </w:p>
    <w:p>
      <w:pPr>
        <w:pStyle w:val="PR1"/>
        <w:numPr>
          <w:ilvl w:val="4"/>
          <w:numId w:val="1"/>
        </w:numPr>
        <w:ind w:hanging="0" w:left="0"/>
        <w:rPr/>
      </w:pPr>
      <w:r>
        <w:rPr/>
        <w:t>Gaskets: As required to seal joints in heating-cooling unit enclosures; as recommended in writing by heating-cooling unit enclosure manufacturer.</w:t>
      </w:r>
    </w:p>
    <w:p>
      <w:pPr>
        <w:pStyle w:val="PR2"/>
        <w:numPr>
          <w:ilvl w:val="5"/>
          <w:numId w:val="1"/>
        </w:numPr>
        <w:spacing w:before="240" w:after="0"/>
        <w:ind w:hanging="0" w:left="0"/>
        <w:rPr/>
      </w:pPr>
      <w:r>
        <w:rPr/>
        <w:t>ASTM D1056, Type 1, Class A, and grade as recommended by gasket manufacturer to obtain seal for application indicated.</w:t>
      </w:r>
    </w:p>
    <w:p>
      <w:pPr>
        <w:pStyle w:val="PR2"/>
        <w:numPr>
          <w:ilvl w:val="5"/>
          <w:numId w:val="1"/>
        </w:numPr>
        <w:ind w:hanging="0" w:left="0"/>
        <w:rPr/>
      </w:pPr>
      <w:r>
        <w:rPr/>
        <w:t>Closed-cell polyurethane foam, adhesive on two sides, and release paper protected.</w:t>
      </w:r>
    </w:p>
    <w:p>
      <w:pPr>
        <w:pStyle w:val="PR1"/>
        <w:numPr>
          <w:ilvl w:val="4"/>
          <w:numId w:val="1"/>
        </w:numPr>
        <w:ind w:hanging="0" w:left="0"/>
        <w:rPr/>
      </w:pPr>
      <w:r>
        <w:rPr/>
        <w:t>Filler Metal and Electrodes: Provide type and alloy of filler metal and electrodes as recommended by producer of metal to be welded and as necessary for strength, corrosion resistance, and compatibility in fabricated items.</w:t>
      </w:r>
    </w:p>
    <w:p>
      <w:pPr>
        <w:pStyle w:val="PR1"/>
        <w:numPr>
          <w:ilvl w:val="4"/>
          <w:numId w:val="1"/>
        </w:numPr>
        <w:ind w:hanging="0" w:left="0"/>
        <w:rPr/>
      </w:pPr>
      <w:r>
        <w:rPr/>
        <w:t>Fasteners: Fabricated from same basic metal and alloy as fastened metal unless otherwise indicated. Do not use metals that are incompatible with materials joined.</w:t>
      </w:r>
    </w:p>
    <w:p>
      <w:pPr>
        <w:pStyle w:val="PR2"/>
        <w:numPr>
          <w:ilvl w:val="5"/>
          <w:numId w:val="1"/>
        </w:numPr>
        <w:spacing w:before="240" w:after="0"/>
        <w:ind w:hanging="0" w:left="0"/>
        <w:rPr/>
      </w:pPr>
      <w:r>
        <w:rPr/>
        <w:t>Provide concealed fasteners for interconnecting decorative formed metal items and for attaching them to other work unless[</w:t>
      </w:r>
      <w:r>
        <w:rPr>
          <w:b/>
        </w:rPr>
        <w:t> otherwise indicated</w:t>
      </w:r>
      <w:r>
        <w:rPr/>
        <w:t>][</w:t>
      </w:r>
      <w:r>
        <w:rPr>
          <w:b/>
        </w:rPr>
        <w:t> exposed fasteners are unavoidable or are the standard fastening method</w:t>
      </w:r>
      <w:r>
        <w:rPr/>
        <w:t>].</w:t>
      </w:r>
    </w:p>
    <w:p>
      <w:pPr>
        <w:pStyle w:val="PR2"/>
        <w:numPr>
          <w:ilvl w:val="5"/>
          <w:numId w:val="1"/>
        </w:numPr>
        <w:ind w:hanging="0" w:left="0"/>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PR1"/>
        <w:numPr>
          <w:ilvl w:val="4"/>
          <w:numId w:val="1"/>
        </w:numPr>
        <w:ind w:hanging="0" w:left="0"/>
        <w:rPr/>
      </w:pPr>
      <w:r>
        <w:rPr/>
        <w:t>Sound-Deadening Materials:</w:t>
      </w:r>
    </w:p>
    <w:p>
      <w:pPr>
        <w:pStyle w:val="PR2"/>
        <w:numPr>
          <w:ilvl w:val="5"/>
          <w:numId w:val="1"/>
        </w:numPr>
        <w:spacing w:before="240" w:after="0"/>
        <w:ind w:hanging="0" w:left="0"/>
        <w:rPr/>
      </w:pPr>
      <w:r>
        <w:rPr/>
        <w:t>Insulation: Unfaced mineral-fiber blanket insulation complying with ASTM C665, Type I, and passing ASTM E136 test.</w:t>
      </w:r>
    </w:p>
    <w:p>
      <w:pPr>
        <w:pStyle w:val="PR2"/>
        <w:numPr>
          <w:ilvl w:val="5"/>
          <w:numId w:val="1"/>
        </w:numPr>
        <w:ind w:hanging="0" w:left="0"/>
        <w:rPr/>
      </w:pPr>
      <w:r>
        <w:rPr/>
        <w:t>Mastic: Cold-applied asphalt emulsion complying with ASTM D1187/D1187M.</w:t>
      </w:r>
    </w:p>
    <w:p>
      <w:pPr>
        <w:pStyle w:val="PR1"/>
        <w:numPr>
          <w:ilvl w:val="4"/>
          <w:numId w:val="1"/>
        </w:numPr>
        <w:ind w:hanging="0" w:left="0"/>
        <w:rPr/>
      </w:pPr>
      <w:r>
        <w:rPr/>
        <w:t>Isolation Coating: Manufacturer's standard [</w:t>
      </w:r>
      <w:r>
        <w:rPr>
          <w:b/>
        </w:rPr>
        <w:t>alkali-resistant coating</w:t>
      </w:r>
      <w:r>
        <w:rPr/>
        <w:t>] [</w:t>
      </w:r>
      <w:r>
        <w:rPr>
          <w:b/>
        </w:rPr>
        <w:t>bituminous paint</w:t>
      </w:r>
      <w:r>
        <w:rPr/>
        <w:t>] [</w:t>
      </w:r>
      <w:r>
        <w:rPr>
          <w:b/>
        </w:rPr>
        <w:t>epoxy coating</w:t>
      </w:r>
      <w:r>
        <w:rPr/>
        <w:t>].</w:t>
      </w:r>
    </w:p>
    <w:p>
      <w:pPr>
        <w:pStyle w:val="ART"/>
        <w:numPr>
          <w:ilvl w:val="3"/>
          <w:numId w:val="1"/>
        </w:numPr>
        <w:ind w:hanging="0" w:left="0"/>
        <w:rPr/>
      </w:pPr>
      <w:r>
        <w:rPr/>
        <w:t>PAINTS AND COATINGS</w:t>
      </w:r>
    </w:p>
    <w:p>
      <w:pPr>
        <w:pStyle w:val="PR1"/>
        <w:numPr>
          <w:ilvl w:val="4"/>
          <w:numId w:val="1"/>
        </w:numPr>
        <w:ind w:hanging="0" w:left="0"/>
        <w:rPr/>
      </w:pPr>
      <w:r>
        <w:rPr/>
        <w:t>Etching Cleaner for Galvanized Metal: Complying with MPI#25.</w:t>
      </w:r>
    </w:p>
    <w:p>
      <w:pPr>
        <w:pStyle w:val="CMT"/>
        <w:rPr/>
      </w:pPr>
      <w:r>
        <w:rPr/>
        <w:t>Retain "Galvanizing Repair Paint" Paragraph below for galvanized items that are not factory primed.</w:t>
      </w:r>
    </w:p>
    <w:p>
      <w:pPr>
        <w:pStyle w:val="PR1"/>
        <w:numPr>
          <w:ilvl w:val="4"/>
          <w:numId w:val="1"/>
        </w:numPr>
        <w:ind w:hanging="0" w:left="0"/>
        <w:rPr/>
      </w:pPr>
      <w:r>
        <w:rPr/>
        <w:t>Galvanizing Repair Paint: High-zinc-dust-content paint complying with SSPC-Paint 20 and compatible with paints specified to be used over it.</w:t>
      </w:r>
    </w:p>
    <w:p>
      <w:pPr>
        <w:pStyle w:val="PR1"/>
        <w:numPr>
          <w:ilvl w:val="4"/>
          <w:numId w:val="1"/>
        </w:numPr>
        <w:ind w:hanging="0" w:left="0"/>
        <w:rPr/>
      </w:pPr>
      <w:r>
        <w:rPr/>
        <w:t>Shop Primers: Comply with [</w:t>
      </w:r>
      <w:r>
        <w:rPr>
          <w:b/>
        </w:rPr>
        <w:t>Section 099123 "Interior Painting."</w:t>
      </w:r>
      <w:r>
        <w:rPr/>
        <w:t>] [</w:t>
      </w:r>
      <w:r>
        <w:rPr>
          <w:b/>
        </w:rPr>
        <w:t>Section 099600 "High-Performance Coatings."</w:t>
      </w:r>
      <w:r>
        <w:rPr/>
        <w:t>]</w:t>
      </w:r>
    </w:p>
    <w:p>
      <w:pPr>
        <w:pStyle w:val="CMT"/>
        <w:rPr/>
      </w:pPr>
      <w:r>
        <w:rPr/>
        <w:t>Retain "Shop Primers" Paragraph above or one or more of three paragraphs below if primers are required. "Universal Shop Primer for Ferrous Metal" Paragraph below is a typical primer for painted finish on steel; it provides minimum protection. "Shop Primer for Galvanized Steel" Paragraph below is a typical primer for high-performance coating on steel. "Bituminous Paint" Paragraph below is for galvanized steel. If retaining both first and second paragraphs, indicate on Drawings or in a schedule where each is required.</w:t>
      </w:r>
    </w:p>
    <w:p>
      <w:pPr>
        <w:pStyle w:val="PR1"/>
        <w:numPr>
          <w:ilvl w:val="4"/>
          <w:numId w:val="1"/>
        </w:numPr>
        <w:ind w:hanging="0" w:left="0"/>
        <w:rPr/>
      </w:pPr>
      <w:r>
        <w:rPr/>
        <w:t>Universal Shop Primer for Ferrous Metal: Fast-curing, lead- and chromate-free, universal modified-alkyd primer complying with MPI#79 and compatible with topcoat.</w:t>
      </w:r>
    </w:p>
    <w:p>
      <w:pPr>
        <w:pStyle w:val="PR1"/>
        <w:numPr>
          <w:ilvl w:val="4"/>
          <w:numId w:val="1"/>
        </w:numPr>
        <w:ind w:hanging="0" w:left="0"/>
        <w:rPr/>
      </w:pPr>
      <w:r>
        <w:rPr/>
        <w:t>Shop Primer for Galvanized Steel: Water-based galvanized metal primer complying with MPI#134.</w:t>
      </w:r>
    </w:p>
    <w:p>
      <w:pPr>
        <w:pStyle w:val="PR1"/>
        <w:numPr>
          <w:ilvl w:val="4"/>
          <w:numId w:val="1"/>
        </w:numPr>
        <w:ind w:hanging="0" w:left="0"/>
        <w:rPr/>
      </w:pPr>
      <w:r>
        <w:rPr/>
        <w:t>Bituminous Paint: Cold-applied asphalt emulsion complying with ASTM D1187/D1187M.</w:t>
      </w:r>
    </w:p>
    <w:p>
      <w:pPr>
        <w:pStyle w:val="ART"/>
        <w:numPr>
          <w:ilvl w:val="3"/>
          <w:numId w:val="1"/>
        </w:numPr>
        <w:ind w:hanging="0" w:left="0"/>
        <w:rPr/>
      </w:pPr>
      <w:r>
        <w:rPr/>
        <w:t>FABRICATION, GENERAL</w:t>
      </w:r>
    </w:p>
    <w:p>
      <w:pPr>
        <w:pStyle w:val="PR1"/>
        <w:numPr>
          <w:ilvl w:val="4"/>
          <w:numId w:val="1"/>
        </w:numPr>
        <w:ind w:hanging="0" w:left="0"/>
        <w:rPr/>
      </w:pPr>
      <w:r>
        <w:rPr/>
        <w:t>Shop Assembly: Preassemble heating-cooling unit enclosures in shop to greatest extent possible to minimize field splicing and assembly. Disassemble units only as necessary for shipping and handling limitations. Clearly mark units for reassembly and coordinated installation.</w:t>
      </w:r>
    </w:p>
    <w:p>
      <w:pPr>
        <w:pStyle w:val="PR1"/>
        <w:numPr>
          <w:ilvl w:val="4"/>
          <w:numId w:val="1"/>
        </w:numPr>
        <w:ind w:hanging="0" w:left="0"/>
        <w:rPr/>
      </w:pPr>
      <w:r>
        <w:rPr/>
        <w:t>Coordinate dimensions and attachment methods of heating-cooling unit enclosures with those of adjoining construction to produce integrated assemblies with closely fitting joints and with edges and surfaces aligned unless otherwise indicated.</w:t>
      </w:r>
    </w:p>
    <w:p>
      <w:pPr>
        <w:pStyle w:val="PR1"/>
        <w:numPr>
          <w:ilvl w:val="4"/>
          <w:numId w:val="1"/>
        </w:numPr>
        <w:ind w:hanging="0" w:left="0"/>
        <w:rPr/>
      </w:pPr>
      <w:r>
        <w:rPr/>
        <w:t xml:space="preserve">Form metal to profiles indicated, in maximum lengths to minimize joints. Produce flat, flush surfaces without cracking or grain separation at bends. Fold back exposed edges of unsupported sheet metal to form a </w:t>
      </w:r>
      <w:r>
        <w:rPr>
          <w:rStyle w:val="IP"/>
        </w:rPr>
        <w:t>1/2-inch-</w:t>
      </w:r>
      <w:r>
        <w:rPr>
          <w:rStyle w:val="SI"/>
        </w:rPr>
        <w:t xml:space="preserve"> (12-mm-)</w:t>
      </w:r>
      <w:r>
        <w:rPr/>
        <w:t xml:space="preserve"> wide hem on the concealed side, or ease edges to a radius of approximately </w:t>
      </w:r>
      <w:r>
        <w:rPr>
          <w:rStyle w:val="IP"/>
        </w:rPr>
        <w:t>1/32 inch</w:t>
      </w:r>
      <w:r>
        <w:rPr>
          <w:rStyle w:val="SI"/>
        </w:rPr>
        <w:t xml:space="preserve"> (1 mm)</w:t>
      </w:r>
      <w:r>
        <w:rPr/>
        <w:t xml:space="preserve"> and support with concealed stiffeners.</w:t>
      </w:r>
    </w:p>
    <w:p>
      <w:pPr>
        <w:pStyle w:val="PR1"/>
        <w:numPr>
          <w:ilvl w:val="4"/>
          <w:numId w:val="1"/>
        </w:numPr>
        <w:ind w:hanging="0" w:left="0"/>
        <w:rPr/>
      </w:pPr>
      <w:r>
        <w:rPr/>
        <w:t>Increase metal thickness or reinforce with concealed stiffeners, backing materials, or both, as needed to provide surface flatness equivalent to stretcher-leveled standard of flatness and sufficient strength for indicated use.</w:t>
      </w:r>
    </w:p>
    <w:p>
      <w:pPr>
        <w:pStyle w:val="PR2"/>
        <w:numPr>
          <w:ilvl w:val="5"/>
          <w:numId w:val="1"/>
        </w:numPr>
        <w:spacing w:before="240" w:after="0"/>
        <w:ind w:hanging="0" w:left="0"/>
        <w:rPr/>
      </w:pPr>
      <w:r>
        <w:rPr/>
        <w:t>Support joints with concealed stiffeners as needed to hold exposed faces of adjoining sheets in flush alignment.</w:t>
      </w:r>
    </w:p>
    <w:p>
      <w:pPr>
        <w:pStyle w:val="PR1"/>
        <w:numPr>
          <w:ilvl w:val="4"/>
          <w:numId w:val="1"/>
        </w:numPr>
        <w:ind w:hanging="0" w:left="0"/>
        <w:rPr/>
      </w:pPr>
      <w:r>
        <w:rPr/>
        <w:t>Build in straps, plates, and brackets as needed to support and anchor heating-cooling unit enclosures to adjoining construction.</w:t>
      </w:r>
    </w:p>
    <w:p>
      <w:pPr>
        <w:pStyle w:val="PR1"/>
        <w:numPr>
          <w:ilvl w:val="4"/>
          <w:numId w:val="1"/>
        </w:numPr>
        <w:ind w:hanging="0" w:left="0"/>
        <w:rPr/>
      </w:pPr>
      <w:r>
        <w:rPr/>
        <w:t>Provide support framing, mounting, and attachment clips; splice sleeves; fasteners; and accessories needed to install heating-cooling unit enclosures.</w:t>
      </w:r>
    </w:p>
    <w:p>
      <w:pPr>
        <w:pStyle w:val="PR1"/>
        <w:numPr>
          <w:ilvl w:val="4"/>
          <w:numId w:val="1"/>
        </w:numPr>
        <w:ind w:hanging="0" w:left="0"/>
        <w:rPr/>
      </w:pPr>
      <w:r>
        <w:rPr/>
        <w:t>Where welding is indicated, weld joints and seams continuously. Grind, fill, and dress to produce smooth, flush, exposed surfaces in which joints are not visible after finishing is completed.</w:t>
      </w:r>
    </w:p>
    <w:p>
      <w:pPr>
        <w:pStyle w:val="ART"/>
        <w:numPr>
          <w:ilvl w:val="3"/>
          <w:numId w:val="1"/>
        </w:numPr>
        <w:ind w:hanging="0" w:left="0"/>
        <w:rPr/>
      </w:pPr>
      <w:r>
        <w:rPr/>
        <w:t>GALVANIZED-STEEL SHEET FINISHES</w:t>
      </w:r>
    </w:p>
    <w:p>
      <w:pPr>
        <w:pStyle w:val="PR1"/>
        <w:numPr>
          <w:ilvl w:val="4"/>
          <w:numId w:val="1"/>
        </w:numPr>
        <w:ind w:hanging="0" w:left="0"/>
        <w:rPr/>
      </w:pPr>
      <w:r>
        <w:rPr/>
        <w:t>Preparing Galvanized Items for Factory Priming: Thoroughly clean galvanized decorative formed metal of grease, dirt, oil, flux, and other foreign matter, and treat with etching cleaner.</w:t>
      </w:r>
    </w:p>
    <w:p>
      <w:pPr>
        <w:pStyle w:val="PR1"/>
        <w:numPr>
          <w:ilvl w:val="4"/>
          <w:numId w:val="1"/>
        </w:numPr>
        <w:ind w:hanging="0" w:left="0"/>
        <w:rPr/>
      </w:pPr>
      <w:r>
        <w:rPr/>
        <w:t>Preparing Galvanized Items for Factory Finishing: Clean surfaces with nonpetroleum solvent so surfaces are free of oil and other contaminants. After cleaning, apply a conversion coating suited to the organic coating to be applied over it.</w:t>
      </w:r>
    </w:p>
    <w:p>
      <w:pPr>
        <w:pStyle w:val="PR1"/>
        <w:numPr>
          <w:ilvl w:val="4"/>
          <w:numId w:val="1"/>
        </w:numPr>
        <w:ind w:hanging="0" w:left="0"/>
        <w:rPr/>
      </w:pPr>
      <w:r>
        <w:rPr/>
        <w:t>Repairing Galvanized Surfaces: Clean welds and abraded areas and repair galvanizing to comply with ASTM A780/A780M.</w:t>
      </w:r>
    </w:p>
    <w:p>
      <w:pPr>
        <w:pStyle w:val="PR1"/>
        <w:numPr>
          <w:ilvl w:val="4"/>
          <w:numId w:val="1"/>
        </w:numPr>
        <w:ind w:hanging="0" w:left="0"/>
        <w:rPr/>
      </w:pPr>
      <w:r>
        <w:rPr/>
        <w:t>Factory Priming for Field-Painted Finish: Where field painting after installation is indicated, apply shop primer to prepared surfaces of items unless otherwise indicated. Comply with requirements in SSPC-PA 1, "Paint Application Specification No. 1: Shop, Field, and Maintenance Painting of Steel," for shop painting.</w:t>
      </w:r>
    </w:p>
    <w:p>
      <w:pPr>
        <w:pStyle w:val="CMT"/>
        <w:rPr/>
      </w:pPr>
      <w:r>
        <w:rPr/>
        <w:t>Retain one of five paragraphs below for factory finishing.</w:t>
      </w:r>
    </w:p>
    <w:p>
      <w:pPr>
        <w:pStyle w:val="PR1"/>
        <w:numPr>
          <w:ilvl w:val="4"/>
          <w:numId w:val="1"/>
        </w:numPr>
        <w:ind w:hanging="0" w:left="0"/>
        <w:rPr/>
      </w:pPr>
      <w:r>
        <w:rPr/>
        <w:t xml:space="preserve">Baked-Enamel Finish: After cleaning and pretreating, apply manufacturer's standard two-coat, baked-on finish consisting of prime coat and thermosetting topcoat, with a minimum dry film thickness of </w:t>
      </w:r>
      <w:r>
        <w:rPr>
          <w:rStyle w:val="IP"/>
        </w:rPr>
        <w:t>1 mil</w:t>
      </w:r>
      <w:r>
        <w:rPr>
          <w:rStyle w:val="SI"/>
        </w:rPr>
        <w:t xml:space="preserve"> (0.025 mm)</w:t>
      </w:r>
      <w:r>
        <w:rPr/>
        <w:t xml:space="preserve"> for topcoat. Comply with paint manufacturer's written instructions for applying and baking to achieve a minimum dry film thickness of </w:t>
      </w:r>
      <w:r>
        <w:rPr>
          <w:rStyle w:val="IP"/>
        </w:rPr>
        <w:t>2 mils</w:t>
      </w:r>
      <w:r>
        <w:rPr>
          <w:rStyle w:val="SI"/>
        </w:rPr>
        <w:t xml:space="preserve"> (0.05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 xml:space="preserve">Powder-Coat Finish: After cleaning and pretreating, apply manufacturer's standard thermosetting polyester or acrylic urethane powder coating with cured-film thickness not less than </w:t>
      </w:r>
      <w:r>
        <w:rPr>
          <w:rStyle w:val="IP"/>
        </w:rPr>
        <w:t>1.5 mils</w:t>
      </w:r>
      <w:r>
        <w:rPr>
          <w:rStyle w:val="SI"/>
        </w:rPr>
        <w:t xml:space="preserve"> (0.04 mm)</w:t>
      </w:r>
      <w:r>
        <w:rPr/>
        <w:t>. Prepare, treat, and coat metal to comply with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 xml:space="preserve">Siliconized-Polyester Coating: After cleaning and pretreating, apply manufacturer's standard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Both "High-Performance Organic Finish" paragraphs below reference AAMA 2604 or AAMA 2605 for high- or superior-performance organic coatings, respectively, spray-applied on aluminum extrusions and panels. Manufacturers of metallic-coated steel sheet also use these standards for both spray-applied and coil-coated fluoropolymer finishes. Two-coat fluoropolymer systems are not recommended for areas subject to abusive wear. AAMA 2604 provides a five-year performing finish; AAMA 2605, 10 years. Revise if specific products are required.</w:t>
      </w:r>
    </w:p>
    <w:p>
      <w:pPr>
        <w:pStyle w:val="PR1"/>
        <w:numPr>
          <w:ilvl w:val="4"/>
          <w:numId w:val="1"/>
        </w:numPr>
        <w:ind w:hanging="0" w:left="0"/>
        <w:rPr/>
      </w:pPr>
      <w:r>
        <w:rPr/>
        <w:t>High-Performance Organic Finish: Two-coat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High-Performance Organic Finish: [</w:t>
      </w:r>
      <w:r>
        <w:rPr>
          <w:b/>
        </w:rPr>
        <w:t>Three</w:t>
      </w:r>
      <w:r>
        <w:rPr/>
        <w:t>] [</w:t>
      </w:r>
      <w:r>
        <w:rPr>
          <w:b/>
        </w:rPr>
        <w:t>Four</w:t>
      </w:r>
      <w:r>
        <w:rPr/>
        <w:t>]-coat fluoropolymer finish complying with AAMA 2605 and containing not less than [</w:t>
      </w:r>
      <w:r>
        <w:rPr>
          <w:b/>
        </w:rPr>
        <w:t>50</w:t>
      </w:r>
      <w:r>
        <w:rPr/>
        <w:t>] [</w:t>
      </w:r>
      <w:r>
        <w:rPr>
          <w:b/>
        </w:rPr>
        <w:t>70</w:t>
      </w:r>
      <w:r>
        <w:rPr/>
        <w:t>] percent PVDF resin by weight in both color coat and clear topcoat. Prepare, pretreat, and apply coating to exposed metal surfaces to comply with coating and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ART"/>
        <w:numPr>
          <w:ilvl w:val="3"/>
          <w:numId w:val="1"/>
        </w:numPr>
        <w:ind w:hanging="0" w:left="0"/>
        <w:rPr/>
      </w:pPr>
      <w:r>
        <w:rPr/>
        <w:t>STEEL SHEET FINISHES</w:t>
      </w:r>
    </w:p>
    <w:p>
      <w:pPr>
        <w:pStyle w:val="PR1"/>
        <w:numPr>
          <w:ilvl w:val="4"/>
          <w:numId w:val="1"/>
        </w:numPr>
        <w:ind w:hanging="0" w:left="0"/>
        <w:rPr/>
      </w:pPr>
      <w:r>
        <w:rPr/>
        <w:t>Surface Preparation: Clean surfaces to comply with SSPC-SP 1, "Solvent Cleaning," to remove dirt, oil, grease, or other contaminants that could impair paint bond. Remove mill scale and rust, if present, from uncoated steel, complying with SSPC-SP 5/NACE No. 1, "White Metal Blast Cleaning," or with SSPC-SP 8, "Pickling."</w:t>
      </w:r>
    </w:p>
    <w:p>
      <w:pPr>
        <w:pStyle w:val="PR1"/>
        <w:numPr>
          <w:ilvl w:val="4"/>
          <w:numId w:val="1"/>
        </w:numPr>
        <w:ind w:hanging="0" w:left="0"/>
        <w:rPr/>
      </w:pPr>
      <w:r>
        <w:rPr/>
        <w:t>Pretreatment: Immediately after cleaning, apply a conversion coating of type suited to organic coating applied over it.</w:t>
      </w:r>
    </w:p>
    <w:p>
      <w:pPr>
        <w:pStyle w:val="PR1"/>
        <w:numPr>
          <w:ilvl w:val="4"/>
          <w:numId w:val="1"/>
        </w:numPr>
        <w:ind w:hanging="0" w:left="0"/>
        <w:rPr/>
      </w:pPr>
      <w:r>
        <w:rPr/>
        <w:t>Factory Priming for Field-Painted Finish: Where field painting after installation is indicated, apply shop primer to prepared surfaces of items unless otherwise indicated. Comply with requirements in SSPC-PA 1, "Paint Application Specification No. 1: Shop, Field, and Maintenance Painting of Steel," for shop painting.</w:t>
      </w:r>
    </w:p>
    <w:p>
      <w:pPr>
        <w:pStyle w:val="PR1"/>
        <w:numPr>
          <w:ilvl w:val="4"/>
          <w:numId w:val="1"/>
        </w:numPr>
        <w:ind w:hanging="0" w:left="0"/>
        <w:rPr/>
      </w:pPr>
      <w:r>
        <w:rPr/>
        <w:t xml:space="preserve">Baked-Enamel Finish: After cleaning and pretreating, apply manufacturer's standard two-coat, baked-on finish consisting of prime coat and thermosetting topcoat to a minimum dry film thickness of </w:t>
      </w:r>
      <w:r>
        <w:rPr>
          <w:rStyle w:val="IP"/>
        </w:rPr>
        <w:t>2 mils</w:t>
      </w:r>
      <w:r>
        <w:rPr>
          <w:rStyle w:val="SI"/>
        </w:rPr>
        <w:t xml:space="preserve"> (0.05 mm)</w:t>
      </w:r>
      <w:r>
        <w:rPr/>
        <w:t>.</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ind w:hanging="0" w:left="0"/>
        <w:rPr/>
      </w:pPr>
      <w:r>
        <w:rPr/>
        <w:t xml:space="preserve">Powder-Coat Finish: After cleaning and pretreating, apply manufacturer's standard thermosetting polyester or acrylic urethane powder coating with cured-film thickness not less than </w:t>
      </w:r>
      <w:r>
        <w:rPr>
          <w:rStyle w:val="IP"/>
        </w:rPr>
        <w:t>1.5 mils</w:t>
      </w:r>
      <w:r>
        <w:rPr>
          <w:rStyle w:val="SI"/>
        </w:rPr>
        <w:t xml:space="preserve"> (0.04 mm)</w:t>
      </w:r>
      <w:r>
        <w:rPr/>
        <w:t>. Prepare, treat, and coat metal to comply with resin manufacturer's written instructions.</w:t>
      </w:r>
    </w:p>
    <w:p>
      <w:pPr>
        <w:pStyle w:val="PR2"/>
        <w:numPr>
          <w:ilvl w:val="5"/>
          <w:numId w:val="1"/>
        </w:numPr>
        <w:spacing w:before="240" w:after="0"/>
        <w:ind w:hanging="0" w:left="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For exact finish, insert names of coating manufacturers and products.</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ind w:hanging="0" w:left="0"/>
        <w:rPr/>
      </w:pPr>
      <w:r>
        <w:rPr/>
        <w:t>Examine substrates, areas, and conditions, with Installer present, for compliance with requirements for installation tolerances and other conditions affecting performance of heating-cooling unit enclosures.</w:t>
      </w:r>
    </w:p>
    <w:p>
      <w:pPr>
        <w:pStyle w:val="PR1"/>
        <w:numPr>
          <w:ilvl w:val="4"/>
          <w:numId w:val="1"/>
        </w:numPr>
        <w:ind w:hanging="0" w:left="0"/>
        <w:rPr/>
      </w:pPr>
      <w:r>
        <w:rPr/>
        <w:t>Proceed with installation only after unsatisfactory conditions have been corrected.</w:t>
      </w:r>
    </w:p>
    <w:p>
      <w:pPr>
        <w:pStyle w:val="ART"/>
        <w:numPr>
          <w:ilvl w:val="3"/>
          <w:numId w:val="1"/>
        </w:numPr>
        <w:ind w:hanging="0" w:left="0"/>
        <w:rPr/>
      </w:pPr>
      <w:r>
        <w:rPr/>
        <w:t>INSTALLATION</w:t>
      </w:r>
    </w:p>
    <w:p>
      <w:pPr>
        <w:pStyle w:val="PR1"/>
        <w:numPr>
          <w:ilvl w:val="4"/>
          <w:numId w:val="1"/>
        </w:numPr>
        <w:ind w:hanging="0" w:left="0"/>
        <w:rPr/>
      </w:pPr>
      <w:r>
        <w:rPr/>
        <w:t>Locate and place heating-cooling unit enclosures level and plumb and in alignment with adjacent construction. Perform cutting, drilling, and fitting required to install heating-cooling unit enclosures.</w:t>
      </w:r>
    </w:p>
    <w:p>
      <w:pPr>
        <w:pStyle w:val="PR2"/>
        <w:numPr>
          <w:ilvl w:val="5"/>
          <w:numId w:val="1"/>
        </w:numPr>
        <w:spacing w:before="240" w:after="0"/>
        <w:ind w:hanging="0" w:left="0"/>
        <w:rPr/>
      </w:pPr>
      <w:r>
        <w:rPr/>
        <w:t>Do not cut or abrade finishes that cannot be completely restored in the field. Return items with such finishes to the shop for required alterations, followed by complete refinishing, or provide new units as required.</w:t>
      </w:r>
    </w:p>
    <w:p>
      <w:pPr>
        <w:pStyle w:val="PR1"/>
        <w:numPr>
          <w:ilvl w:val="4"/>
          <w:numId w:val="1"/>
        </w:numPr>
        <w:ind w:hanging="0" w:left="0"/>
        <w:rPr/>
      </w:pPr>
      <w:r>
        <w:rPr/>
        <w:t>Use concealed anchorages where possible.</w:t>
      </w:r>
    </w:p>
    <w:p>
      <w:pPr>
        <w:pStyle w:val="PR1"/>
        <w:numPr>
          <w:ilvl w:val="4"/>
          <w:numId w:val="1"/>
        </w:numPr>
        <w:ind w:hanging="0" w:left="0"/>
        <w:rPr/>
      </w:pPr>
      <w:r>
        <w:rPr/>
        <w:t>Form tight joints with exposed connections accurately fitted together. Provide reveals and openings for sealants and joint fillers as indicated.</w:t>
      </w:r>
    </w:p>
    <w:p>
      <w:pPr>
        <w:pStyle w:val="PR1"/>
        <w:numPr>
          <w:ilvl w:val="4"/>
          <w:numId w:val="1"/>
        </w:numPr>
        <w:ind w:hanging="0" w:left="0"/>
        <w:rPr/>
      </w:pPr>
      <w:r>
        <w:rPr/>
        <w:t>Install concealed gaskets, joint fillers, sealants, and insulation, as the Work progresses.</w:t>
      </w:r>
    </w:p>
    <w:p>
      <w:pPr>
        <w:pStyle w:val="PR1"/>
        <w:numPr>
          <w:ilvl w:val="4"/>
          <w:numId w:val="1"/>
        </w:numPr>
        <w:ind w:hanging="0" w:left="0"/>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ART"/>
        <w:numPr>
          <w:ilvl w:val="3"/>
          <w:numId w:val="1"/>
        </w:numPr>
        <w:ind w:hanging="0" w:left="0"/>
        <w:rPr/>
      </w:pPr>
      <w:r>
        <w:rPr/>
        <w:t>ADJUSTING AND CLEANING</w:t>
      </w:r>
    </w:p>
    <w:p>
      <w:pPr>
        <w:pStyle w:val="CMT"/>
        <w:rPr/>
      </w:pPr>
      <w:r>
        <w:rPr/>
        <w:t>Retain first "Touchup Painting" Paragraph below if touchup painting is included in this Section.</w:t>
      </w:r>
    </w:p>
    <w:p>
      <w:pPr>
        <w:pStyle w:val="PR1"/>
        <w:numPr>
          <w:ilvl w:val="4"/>
          <w:numId w:val="1"/>
        </w:numPr>
        <w:ind w:hanging="0" w:left="0"/>
        <w:rPr/>
      </w:pPr>
      <w:r>
        <w:rPr/>
        <w:t>Touchup Painting: Immediately after erection, clean field welds, bolted connections, and abraded areas of shop paint, and paint exposed areas with the same material as used for shop painting to comply with SSPC-PA 1 for touching up shop-painted surfaces.</w:t>
      </w:r>
    </w:p>
    <w:p>
      <w:pPr>
        <w:pStyle w:val="PR2"/>
        <w:numPr>
          <w:ilvl w:val="5"/>
          <w:numId w:val="1"/>
        </w:numPr>
        <w:spacing w:before="240" w:after="0"/>
        <w:ind w:hanging="0" w:left="0"/>
        <w:rPr/>
      </w:pPr>
      <w:r>
        <w:rPr/>
        <w:t xml:space="preserve">Apply by brush or spray to provide a minimum </w:t>
      </w:r>
      <w:r>
        <w:rPr>
          <w:rStyle w:val="IP"/>
        </w:rPr>
        <w:t>2.0-mil</w:t>
      </w:r>
      <w:r>
        <w:rPr>
          <w:rStyle w:val="SI"/>
        </w:rPr>
        <w:t xml:space="preserve"> (0.05-mm)</w:t>
      </w:r>
      <w:r>
        <w:rPr/>
        <w:t xml:space="preserve"> dry film thickness.</w:t>
      </w:r>
    </w:p>
    <w:p>
      <w:pPr>
        <w:pStyle w:val="CMT"/>
        <w:rPr/>
      </w:pPr>
      <w:r>
        <w:rPr/>
        <w:t>Retain "Touchup Painting" Paragraph below if touchup painting is specified in Section 099113 "Exterior Painting" and Section 099123 "Interior Painting."</w:t>
      </w:r>
    </w:p>
    <w:p>
      <w:pPr>
        <w:pStyle w:val="PR1"/>
        <w:numPr>
          <w:ilvl w:val="4"/>
          <w:numId w:val="1"/>
        </w:numPr>
        <w:ind w:hanging="0" w:left="0"/>
        <w:rPr/>
      </w:pPr>
      <w:r>
        <w:rPr/>
        <w:t>Touchup Painting: Cleaning and touchup painting of field welds, bolted connections, and abraded areas of shop paint are specified in [</w:t>
      </w:r>
      <w:r>
        <w:rPr>
          <w:b/>
        </w:rPr>
        <w:t>Section 099123 "Interior Painting."</w:t>
      </w:r>
      <w:r>
        <w:rPr/>
        <w:t>] [</w:t>
      </w:r>
      <w:r>
        <w:rPr>
          <w:b/>
        </w:rPr>
        <w:t>Section 099600 "High-Performance Coatings."</w:t>
      </w:r>
      <w:r>
        <w:rPr/>
        <w:t>] [</w:t>
      </w:r>
      <w:r>
        <w:rPr>
          <w:b/>
        </w:rPr>
        <w:t>Section 099123 "Interior Painting" and Section 099600 "High-Performance Coatings."</w:t>
      </w:r>
      <w:r>
        <w:rPr/>
        <w:t>]</w:t>
      </w:r>
    </w:p>
    <w:p>
      <w:pPr>
        <w:pStyle w:val="PR1"/>
        <w:numPr>
          <w:ilvl w:val="4"/>
          <w:numId w:val="1"/>
        </w:numPr>
        <w:ind w:hanging="0" w:left="0"/>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ART"/>
        <w:numPr>
          <w:ilvl w:val="3"/>
          <w:numId w:val="1"/>
        </w:numPr>
        <w:ind w:hanging="0" w:left="0"/>
        <w:rPr/>
      </w:pPr>
      <w:r>
        <w:rPr/>
        <w:t>PROTECTION</w:t>
      </w:r>
    </w:p>
    <w:p>
      <w:pPr>
        <w:pStyle w:val="PR1"/>
        <w:numPr>
          <w:ilvl w:val="4"/>
          <w:numId w:val="1"/>
        </w:numPr>
        <w:ind w:hanging="0" w:left="0"/>
        <w:rPr/>
      </w:pPr>
      <w:r>
        <w:rPr/>
        <w:t>Protect finishes of heating-cooling unit enclosures from damage during construction period. Remove temporary protective coverings at time of Substantial Completion.</w:t>
      </w:r>
    </w:p>
    <w:p>
      <w:pPr>
        <w:pStyle w:val="EOS"/>
        <w:rPr/>
      </w:pPr>
      <w:r>
        <w:rPr/>
        <w:t>END OF SECTION 055819</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HEATING/COOLING UNIT COVERS</w:t>
          </w:r>
        </w:p>
      </w:tc>
      <w:tc>
        <w:tcPr>
          <w:tcW w:w="1872" w:type="dxa"/>
          <w:tcBorders/>
        </w:tcPr>
        <w:p>
          <w:pPr>
            <w:pStyle w:val="RJUST"/>
            <w:rPr/>
          </w:pPr>
          <w:r>
            <w:rPr>
              <w:rStyle w:val="NUM"/>
            </w:rPr>
            <w:t>055819</w:t>
          </w:r>
          <w:r>
            <w:rPr/>
            <w:t xml:space="preserve"> - </w:t>
          </w:r>
          <w:r>
            <w:rPr/>
            <w:fldChar w:fldCharType="begin"/>
          </w:r>
          <w:r>
            <w:rPr/>
            <w:instrText xml:space="preserve"> PAGE </w:instrText>
          </w:r>
          <w:r>
            <w:rPr/>
            <w:fldChar w:fldCharType="separate"/>
          </w:r>
          <w:r>
            <w:rPr/>
            <w:t>11</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2016 AIA</w:t>
    </w:r>
    <w:r>
      <w:rPr/>
      <w:tab/>
    </w:r>
    <w:r>
      <w:rPr>
        <w:rStyle w:val="SPN"/>
      </w:rPr>
      <w:t>MasterSpec Full Length</w:t>
    </w:r>
    <w:r>
      <w:rPr/>
      <w:tab/>
    </w:r>
    <w:r>
      <w:rPr>
        <w:rStyle w:val="SPD"/>
      </w:rPr>
      <w:t>09/16</w:t>
    </w:r>
    <w:r>
      <mc:AlternateContent>
        <mc:Choice Requires="wps">
          <w:drawing>
            <wp:anchor behindDoc="1" distT="0" distB="0" distL="114935" distR="114935" simplePos="0" locked="0" layoutInCell="1" allowOverlap="1" relativeHeight="12">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6"/>
    <w:docVar w:name="Format" w:val="1"/>
    <w:docVar w:name="MF04" w:val="055819"/>
    <w:docVar w:name="MF95" w:val="05583"/>
    <w:docVar w:name="MFOrigin" w:val="MF04"/>
    <w:docVar w:name="SectionID" w:val="3204"/>
    <w:docVar w:name="SpecType" w:val="MasterSpec"/>
    <w:docVar w:name="Version" w:val="13305"/>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suppressAutoHyphens w:val="true"/>
      <w:spacing w:before="240" w:after="0"/>
      <w:jc w:val="both"/>
      <w:outlineLvl w:val="2"/>
    </w:pPr>
    <w:rPr/>
  </w:style>
  <w:style w:type="paragraph" w:styleId="PR2">
    <w:name w:val="PR2"/>
    <w:basedOn w:val="Normal"/>
    <w:qFormat/>
    <w:pPr>
      <w:numPr>
        <w:ilvl w:val="0"/>
        <w:numId w:val="1"/>
      </w:numPr>
      <w:suppressAutoHyphens w:val="true"/>
      <w:jc w:val="both"/>
      <w:outlineLvl w:val="3"/>
    </w:pPr>
    <w:rPr/>
  </w:style>
  <w:style w:type="paragraph" w:styleId="PR3">
    <w:name w:val="PR3"/>
    <w:basedOn w:val="Normal"/>
    <w:qFormat/>
    <w:pPr>
      <w:numPr>
        <w:ilvl w:val="0"/>
        <w:numId w:val="1"/>
      </w:numPr>
      <w:suppressAutoHyphens w:val="true"/>
      <w:jc w:val="both"/>
      <w:outlineLvl w:val="4"/>
    </w:pPr>
    <w:rPr/>
  </w:style>
  <w:style w:type="paragraph" w:styleId="PR4">
    <w:name w:val="PR4"/>
    <w:basedOn w:val="Normal"/>
    <w:qFormat/>
    <w:pPr>
      <w:numPr>
        <w:ilvl w:val="0"/>
        <w:numId w:val="1"/>
      </w:numPr>
      <w:suppressAutoHyphens w:val="true"/>
      <w:jc w:val="both"/>
      <w:outlineLvl w:val="5"/>
    </w:pPr>
    <w:rPr/>
  </w:style>
  <w:style w:type="paragraph" w:styleId="PR5">
    <w:name w:val="PR5"/>
    <w:basedOn w:val="Normal"/>
    <w:qFormat/>
    <w:pPr>
      <w:numPr>
        <w:ilvl w:val="0"/>
        <w:numId w:val="1"/>
      </w:numPr>
      <w:suppressAutoHyphens w:val="true"/>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5819&amp;ver=09-01-16&amp;format=FL&amp;sid=13305&amp;utm_source=MasterSpec&amp;utm_medium=Word" TargetMode="External"/><Relationship Id="rId3" Type="http://schemas.openxmlformats.org/officeDocument/2006/relationships/hyperlink" Target="http://www.specagent.com/LookUp/?ulid=9379&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2022-09-26T01:43:00Z</dcterms:created>
  <dc:creator>Deltek, Inc.</dc:creator>
  <dc:description/>
  <cp:keywords>BAS-12345-MS80</cp:keywords>
  <dc:language>zh-CN</dc:language>
  <cp:lastModifiedBy>Janice Nacional</cp:lastModifiedBy>
  <dcterms:modified xsi:type="dcterms:W3CDTF">2022-09-26T01:43:00Z</dcterms:modified>
  <cp:revision>2</cp:revision>
  <dc:subject>HEATING/COOLING UNIT COVERS</dc:subject>
  <dc:title>SECTION 055819 - HEATING/COOLING UNIT COVERS</dc:title>
</cp:coreProperties>
</file>