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067413</w:t>
      </w:r>
      <w:r>
        <w:rPr/>
        <w:t xml:space="preserve"> - </w:t>
      </w:r>
      <w:r>
        <w:rPr>
          <w:rStyle w:val="NAM"/>
        </w:rPr>
        <w:t>FIBERGLASS REINFORCED GRATINGS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Glass-fiber-reinforced plastic gratings.</w:t>
      </w:r>
    </w:p>
    <w:p>
      <w:pPr>
        <w:pStyle w:val="PR2"/>
        <w:numPr>
          <w:ilvl w:val="5"/>
          <w:numId w:val="1"/>
        </w:numPr>
        <w:rPr/>
      </w:pPr>
      <w:r>
        <w:rPr/>
        <w:t>Grating frames and supports.</w:t>
      </w:r>
    </w:p>
    <w:p>
      <w:pPr>
        <w:pStyle w:val="ART"/>
        <w:numPr>
          <w:ilvl w:val="3"/>
          <w:numId w:val="1"/>
        </w:numPr>
        <w:ind w:hanging="0" w:left="0"/>
        <w:rPr/>
      </w:pPr>
      <w:r>
        <w:rPr/>
        <w:t>COORDINATION</w:t>
      </w:r>
    </w:p>
    <w:p>
      <w:pPr>
        <w:pStyle w:val="PR1"/>
        <w:numPr>
          <w:ilvl w:val="4"/>
          <w:numId w:val="1"/>
        </w:numPr>
        <w:rPr/>
      </w:pPr>
      <w:r>
        <w:rPr/>
        <w:t>Coordinate installation of anchorages for gratings, grating frames, and supports. Furnish setting drawings, templates, and directions for installing anchorages, including sleeves, concrete inserts, anchor bolts, and items with integral anchors, that are to be embedded in concrete or masonry. Deliver such items to Project site in time for installation.</w:t>
      </w:r>
    </w:p>
    <w:p>
      <w:pPr>
        <w:pStyle w:val="ART"/>
        <w:numPr>
          <w:ilvl w:val="3"/>
          <w:numId w:val="1"/>
        </w:numPr>
        <w:ind w:hanging="0" w:left="0"/>
        <w:rPr/>
      </w:pPr>
      <w:r>
        <w:rPr/>
        <w:t>ACTION SUBMITTALS</w:t>
      </w:r>
    </w:p>
    <w:p>
      <w:pPr>
        <w:pStyle w:val="PR1"/>
        <w:numPr>
          <w:ilvl w:val="4"/>
          <w:numId w:val="1"/>
        </w:numPr>
        <w:rPr/>
      </w:pPr>
      <w:r>
        <w:rPr/>
        <w:t>Product Data: For glass-fiber-reinforced plastic gratings.</w:t>
      </w:r>
    </w:p>
    <w:p>
      <w:pPr>
        <w:pStyle w:val="PR1"/>
        <w:numPr>
          <w:ilvl w:val="4"/>
          <w:numId w:val="1"/>
        </w:numPr>
        <w:rPr/>
      </w:pPr>
      <w:r>
        <w:rPr/>
        <w:t>Shop Drawings: Include plans, sections, details, and attachments to other work.</w:t>
      </w:r>
    </w:p>
    <w:p>
      <w:pPr>
        <w:pStyle w:val="CMT"/>
        <w:rPr/>
      </w:pPr>
      <w:r>
        <w:rPr/>
        <w:t>Retain "Delegated Design Submittal" Paragraph below if design services have been delegated to Contractor.</w:t>
      </w:r>
    </w:p>
    <w:p>
      <w:pPr>
        <w:pStyle w:val="PR1"/>
        <w:numPr>
          <w:ilvl w:val="4"/>
          <w:numId w:val="1"/>
        </w:numPr>
        <w:rPr/>
      </w:pPr>
      <w:r>
        <w:rPr/>
        <w:t>Delegated Design Submittal: For gratings, including [</w:t>
      </w:r>
      <w:r>
        <w:rPr>
          <w:b/>
        </w:rPr>
        <w:t>manufacturer's published load tables</w:t>
      </w:r>
      <w:r>
        <w:rPr/>
        <w:t>] [</w:t>
      </w:r>
      <w:r>
        <w:rPr>
          <w:b/>
        </w:rPr>
        <w:t>analysis data signed and sealed by the qualified professional engineer responsible for their preparation</w:t>
      </w:r>
      <w:r>
        <w:rPr/>
        <w:t>].</w:t>
      </w:r>
    </w:p>
    <w:p>
      <w:pPr>
        <w:pStyle w:val="ART"/>
        <w:numPr>
          <w:ilvl w:val="3"/>
          <w:numId w:val="1"/>
        </w:numPr>
        <w:ind w:hanging="0" w:left="0"/>
        <w:rPr/>
      </w:pPr>
      <w:r>
        <w:rPr/>
        <w:t>FIELD CONDITIONS</w:t>
      </w:r>
    </w:p>
    <w:p>
      <w:pPr>
        <w:pStyle w:val="CMT"/>
        <w:rPr/>
      </w:pPr>
      <w:r>
        <w:rPr/>
        <w:t>If possible, design gratings so that they do not have to fit other construction, and delete this article.</w:t>
      </w:r>
    </w:p>
    <w:p>
      <w:pPr>
        <w:pStyle w:val="PR1"/>
        <w:numPr>
          <w:ilvl w:val="4"/>
          <w:numId w:val="1"/>
        </w:numPr>
        <w:rPr/>
      </w:pPr>
      <w:r>
        <w:rPr/>
        <w:t>Field Measurements: Verify actual locations of walls and other construction contiguous with gratings by field measurements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gratings.</w:t>
      </w:r>
    </w:p>
    <w:p>
      <w:pPr>
        <w:pStyle w:val="PR1"/>
        <w:numPr>
          <w:ilvl w:val="4"/>
          <w:numId w:val="1"/>
        </w:numPr>
        <w:rPr/>
      </w:pPr>
      <w:r>
        <w:rPr/>
        <w:t>Structural Performance: Gratings are to withstand the effects of gravity loads and the following loads and stresses within limits and under conditions indicated.</w:t>
      </w:r>
    </w:p>
    <w:p>
      <w:pPr>
        <w:pStyle w:val="CMT"/>
        <w:rPr/>
      </w:pPr>
      <w:r>
        <w:rPr/>
        <w:t>Loads in subparagraphs below are examples based on the International Building Code and ASCE/SEI 7. Verify loads with structural engineer of record.</w:t>
      </w:r>
    </w:p>
    <w:p>
      <w:pPr>
        <w:pStyle w:val="CMT"/>
        <w:rPr/>
      </w:pPr>
      <w:r>
        <w:rPr/>
        <w:t>First two subparagraphs below are for light and heavy manufacturing, respectively.</w:t>
      </w:r>
    </w:p>
    <w:p>
      <w:pPr>
        <w:pStyle w:val="PR2"/>
        <w:numPr>
          <w:ilvl w:val="5"/>
          <w:numId w:val="1"/>
        </w:numPr>
        <w:spacing w:before="240" w:after="0"/>
        <w:rPr/>
      </w:pPr>
      <w:r>
        <w:rPr/>
        <w:t xml:space="preserve">Uniform load of </w:t>
      </w:r>
      <w:r>
        <w:rPr>
          <w:rStyle w:val="IP"/>
        </w:rPr>
        <w:t>125 lbf/sq. ft.</w:t>
      </w:r>
      <w:r>
        <w:rPr>
          <w:rStyle w:val="SI"/>
        </w:rPr>
        <w:t xml:space="preserve"> (6.00 kN/sq. m)</w:t>
      </w:r>
      <w:r>
        <w:rPr/>
        <w:t xml:space="preserve"> or concentrated load of </w:t>
      </w:r>
      <w:r>
        <w:rPr>
          <w:rStyle w:val="IP"/>
        </w:rPr>
        <w:t>2000 lbf</w:t>
      </w:r>
      <w:r>
        <w:rPr>
          <w:rStyle w:val="SI"/>
        </w:rPr>
        <w:t xml:space="preserve"> (8.90 kN)</w:t>
      </w:r>
      <w:r>
        <w:rPr/>
        <w:t>, whichever produces the greater stress.</w:t>
      </w:r>
    </w:p>
    <w:p>
      <w:pPr>
        <w:pStyle w:val="PR2"/>
        <w:numPr>
          <w:ilvl w:val="5"/>
          <w:numId w:val="1"/>
        </w:numPr>
        <w:rPr/>
      </w:pPr>
      <w:r>
        <w:rPr/>
        <w:t xml:space="preserve">Uniform load of </w:t>
      </w:r>
      <w:r>
        <w:rPr>
          <w:rStyle w:val="IP"/>
        </w:rPr>
        <w:t>250 lbf/sq. ft.</w:t>
      </w:r>
      <w:r>
        <w:rPr>
          <w:rStyle w:val="SI"/>
        </w:rPr>
        <w:t xml:space="preserve"> (11.97 kN/sq. m)</w:t>
      </w:r>
      <w:r>
        <w:rPr/>
        <w:t xml:space="preserve"> or concentrated load of </w:t>
      </w:r>
      <w:r>
        <w:rPr>
          <w:rStyle w:val="IP"/>
        </w:rPr>
        <w:t>3000 lbf</w:t>
      </w:r>
      <w:r>
        <w:rPr>
          <w:rStyle w:val="SI"/>
        </w:rPr>
        <w:t xml:space="preserve"> (13.40 kN)</w:t>
      </w:r>
      <w:r>
        <w:rPr/>
        <w:t>, whichever produces the greater stress.</w:t>
      </w:r>
    </w:p>
    <w:p>
      <w:pPr>
        <w:pStyle w:val="PR2"/>
        <w:numPr>
          <w:ilvl w:val="5"/>
          <w:numId w:val="1"/>
        </w:numPr>
        <w:rPr/>
      </w:pPr>
      <w:r>
        <w:rPr/>
        <w:t xml:space="preserve">Walkways and Elevated Platforms Other Than Exits: Uniform load of </w:t>
      </w:r>
      <w:r>
        <w:rPr>
          <w:rStyle w:val="IP"/>
        </w:rPr>
        <w:t>60 lbf/sq. ft.</w:t>
      </w:r>
      <w:r>
        <w:rPr>
          <w:rStyle w:val="SI"/>
        </w:rPr>
        <w:t xml:space="preserve"> (2.87 kN/sq. m)</w:t>
      </w:r>
      <w:r>
        <w:rPr/>
        <w:t>.</w:t>
      </w:r>
    </w:p>
    <w:p>
      <w:pPr>
        <w:pStyle w:val="PR2"/>
        <w:numPr>
          <w:ilvl w:val="5"/>
          <w:numId w:val="1"/>
        </w:numPr>
        <w:rPr/>
      </w:pPr>
      <w:r>
        <w:rPr/>
        <w:t xml:space="preserve">Walkways and Elevated Platforms Used as Exits: Uniform load of </w:t>
      </w:r>
      <w:r>
        <w:rPr>
          <w:rStyle w:val="IP"/>
        </w:rPr>
        <w:t>100 lbf/sq. ft.</w:t>
      </w:r>
      <w:r>
        <w:rPr>
          <w:rStyle w:val="SI"/>
        </w:rPr>
        <w:t xml:space="preserve"> (4.79 kN/sq. m)</w:t>
      </w:r>
      <w:r>
        <w:rPr/>
        <w:t>.</w:t>
      </w:r>
    </w:p>
    <w:p>
      <w:pPr>
        <w:pStyle w:val="CMT"/>
        <w:rPr/>
      </w:pPr>
      <w:r>
        <w:rPr/>
        <w:t>According to the International Building Code and ASCE/SEI 7, other uniform loads with provisions for truck loadings may be considered instead of uniform load in "Sidewalks and Vehicular Driveways, Subject to Trucking" Subparagraph below.</w:t>
      </w:r>
    </w:p>
    <w:p>
      <w:pPr>
        <w:pStyle w:val="PR2"/>
        <w:numPr>
          <w:ilvl w:val="5"/>
          <w:numId w:val="1"/>
        </w:numPr>
        <w:rPr/>
      </w:pPr>
      <w:r>
        <w:rPr/>
        <w:t xml:space="preserve">Sidewalks and Vehicular Driveways, Subject to Trucking: Uniform load of </w:t>
      </w:r>
      <w:r>
        <w:rPr>
          <w:rStyle w:val="IP"/>
        </w:rPr>
        <w:t>250 lbf/sq. ft.</w:t>
      </w:r>
      <w:r>
        <w:rPr>
          <w:rStyle w:val="SI"/>
        </w:rPr>
        <w:t xml:space="preserve"> (11.97 kN/sq. m)</w:t>
      </w:r>
      <w:r>
        <w:rPr/>
        <w:t xml:space="preserve"> or concentrated load of </w:t>
      </w:r>
      <w:r>
        <w:rPr>
          <w:rStyle w:val="IP"/>
        </w:rPr>
        <w:t>8000 lbf</w:t>
      </w:r>
      <w:r>
        <w:rPr>
          <w:rStyle w:val="SI"/>
        </w:rPr>
        <w:t xml:space="preserve"> (35.60 kN)</w:t>
      </w:r>
      <w:r>
        <w:rPr/>
        <w:t>, whichever produces the greater stress.</w:t>
      </w:r>
    </w:p>
    <w:p>
      <w:pPr>
        <w:pStyle w:val="PR2"/>
        <w:numPr>
          <w:ilvl w:val="5"/>
          <w:numId w:val="1"/>
        </w:numPr>
        <w:rPr/>
      </w:pPr>
      <w:r>
        <w:rPr/>
        <w:t>Limit deflection to [</w:t>
      </w:r>
      <w:r>
        <w:rPr>
          <w:b/>
        </w:rPr>
        <w:t>L/360</w:t>
      </w:r>
      <w:r>
        <w:rPr/>
        <w:t>] &lt;</w:t>
      </w:r>
      <w:r>
        <w:rPr>
          <w:b/>
        </w:rPr>
        <w:t>Insert deflection ratio</w:t>
      </w:r>
      <w:r>
        <w:rPr/>
        <w:t xml:space="preserve">&gt; or </w:t>
      </w:r>
      <w:r>
        <w:rPr>
          <w:rStyle w:val="IP"/>
        </w:rPr>
        <w:t>1/4 inch</w:t>
      </w:r>
      <w:r>
        <w:rPr>
          <w:rStyle w:val="SI"/>
        </w:rPr>
        <w:t xml:space="preserve"> (6.4 mm)</w:t>
      </w:r>
      <w:r>
        <w:rPr/>
        <w:t>, whichever is less.</w:t>
      </w:r>
    </w:p>
    <w:p>
      <w:pPr>
        <w:pStyle w:val="PR1"/>
        <w:numPr>
          <w:ilvl w:val="4"/>
          <w:numId w:val="1"/>
        </w:numPr>
        <w:rPr/>
      </w:pPr>
      <w:r>
        <w:rPr/>
        <w:t>Seismic Performance: Gratings are to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rPr/>
      </w:pPr>
      <w:r>
        <w:rPr/>
        <w:t>Component Importance Factor: 1.5.</w:t>
      </w:r>
    </w:p>
    <w:p>
      <w:pPr>
        <w:pStyle w:val="ART"/>
        <w:numPr>
          <w:ilvl w:val="3"/>
          <w:numId w:val="1"/>
        </w:numPr>
        <w:ind w:hanging="0" w:left="0"/>
        <w:rPr/>
      </w:pPr>
      <w:r>
        <w:rPr/>
        <w:t>GLASS-FIBER-REINFORCED PLASTIC GRATINGS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Molded gratings have higher resin content than pultruded gratings. They are more chemical resistant but are not as strong as pultruded gratings.</w:t>
      </w:r>
    </w:p>
    <w:p>
      <w:pPr>
        <w:pStyle w:val="PR1"/>
        <w:numPr>
          <w:ilvl w:val="4"/>
          <w:numId w:val="1"/>
        </w:numPr>
        <w:rPr/>
      </w:pPr>
      <w:r>
        <w:rPr/>
        <w:t>Molded Glass-Fiber-Reinforced Gratings: Bar gratings made by placing glass-fiber strands that have been saturated with thermosetting plastic resin in molds in alternating directions to form interlocking bars without voids and with a high resin content.</w:t>
      </w:r>
    </w:p>
    <w:p>
      <w:pPr>
        <w:pStyle w:val="CMT"/>
        <w:rPr/>
      </w:pPr>
      <w:r>
        <w:rPr/>
        <w:t>Configurations listed in "Configuration" Subparagraph below are examples only; others are available. Consult manufacturers' product data for additional configurations.</w:t>
      </w:r>
    </w:p>
    <w:p>
      <w:pPr>
        <w:pStyle w:val="PR2"/>
        <w:numPr>
          <w:ilvl w:val="5"/>
          <w:numId w:val="1"/>
        </w:numPr>
        <w:spacing w:before="240" w:after="0"/>
        <w:rPr/>
      </w:pPr>
      <w:r>
        <w:rPr/>
        <w:t>Configuration: [</w:t>
      </w:r>
      <w:r>
        <w:rPr>
          <w:rStyle w:val="IP"/>
          <w:b/>
        </w:rPr>
        <w:t>1-1/2-inch-</w:t>
      </w:r>
      <w:r>
        <w:rPr>
          <w:rStyle w:val="SI"/>
          <w:b/>
        </w:rPr>
        <w:t xml:space="preserve"> (38-mm-)</w:t>
      </w:r>
      <w:r>
        <w:rPr>
          <w:b/>
        </w:rPr>
        <w:t xml:space="preserve"> square mesh, </w:t>
      </w:r>
      <w:r>
        <w:rPr>
          <w:rStyle w:val="IP"/>
          <w:b/>
        </w:rPr>
        <w:t>1 inch</w:t>
      </w:r>
      <w:r>
        <w:rPr>
          <w:rStyle w:val="SI"/>
          <w:b/>
        </w:rPr>
        <w:t xml:space="preserve"> (25 mm)</w:t>
      </w:r>
      <w:r>
        <w:rPr>
          <w:b/>
        </w:rPr>
        <w:t xml:space="preserve"> thick</w:t>
      </w:r>
      <w:r>
        <w:rPr/>
        <w:t>] [</w:t>
      </w:r>
      <w:r>
        <w:rPr>
          <w:rStyle w:val="IP"/>
          <w:b/>
        </w:rPr>
        <w:t>1-1/2-inch-</w:t>
      </w:r>
      <w:r>
        <w:rPr>
          <w:rStyle w:val="SI"/>
          <w:b/>
        </w:rPr>
        <w:t xml:space="preserve"> (38-mm-)</w:t>
      </w:r>
      <w:r>
        <w:rPr>
          <w:b/>
        </w:rPr>
        <w:t xml:space="preserve"> square mesh, </w:t>
      </w:r>
      <w:r>
        <w:rPr>
          <w:rStyle w:val="IP"/>
          <w:b/>
        </w:rPr>
        <w:t>1-1/4 inches</w:t>
      </w:r>
      <w:r>
        <w:rPr>
          <w:rStyle w:val="SI"/>
          <w:b/>
        </w:rPr>
        <w:t xml:space="preserve"> (32 mm)</w:t>
      </w:r>
      <w:r>
        <w:rPr>
          <w:b/>
        </w:rPr>
        <w:t xml:space="preserve"> thick</w:t>
      </w:r>
      <w:r>
        <w:rPr/>
        <w:t>] [</w:t>
      </w:r>
      <w:r>
        <w:rPr>
          <w:rStyle w:val="IP"/>
          <w:b/>
        </w:rPr>
        <w:t>1-1/2-inch-</w:t>
      </w:r>
      <w:r>
        <w:rPr>
          <w:rStyle w:val="SI"/>
          <w:b/>
        </w:rPr>
        <w:t xml:space="preserve"> (38-mm-)</w:t>
      </w:r>
      <w:r>
        <w:rPr>
          <w:b/>
        </w:rPr>
        <w:t xml:space="preserve"> square mesh, </w:t>
      </w:r>
      <w:r>
        <w:rPr>
          <w:rStyle w:val="IP"/>
          <w:b/>
        </w:rPr>
        <w:t>1-1/2 inches</w:t>
      </w:r>
      <w:r>
        <w:rPr>
          <w:rStyle w:val="SI"/>
          <w:b/>
        </w:rPr>
        <w:t xml:space="preserve"> (38 mm)</w:t>
      </w:r>
      <w:r>
        <w:rPr>
          <w:b/>
        </w:rPr>
        <w:t xml:space="preserve"> thick</w:t>
      </w:r>
      <w:r>
        <w:rPr/>
        <w:t>] [</w:t>
      </w:r>
      <w:r>
        <w:rPr>
          <w:rStyle w:val="IP"/>
          <w:b/>
        </w:rPr>
        <w:t>2-inch-</w:t>
      </w:r>
      <w:r>
        <w:rPr>
          <w:rStyle w:val="SI"/>
          <w:b/>
        </w:rPr>
        <w:t xml:space="preserve"> (51-mm-)</w:t>
      </w:r>
      <w:r>
        <w:rPr>
          <w:b/>
        </w:rPr>
        <w:t xml:space="preserve"> square mesh, </w:t>
      </w:r>
      <w:r>
        <w:rPr>
          <w:rStyle w:val="IP"/>
          <w:b/>
        </w:rPr>
        <w:t>2 inches</w:t>
      </w:r>
      <w:r>
        <w:rPr>
          <w:rStyle w:val="SI"/>
          <w:b/>
        </w:rPr>
        <w:t xml:space="preserve"> (51 mm)</w:t>
      </w:r>
      <w:r>
        <w:rPr>
          <w:b/>
        </w:rPr>
        <w:t xml:space="preserve"> thick</w:t>
      </w:r>
      <w:r>
        <w:rPr/>
        <w:t>] [</w:t>
      </w:r>
      <w:r>
        <w:rPr>
          <w:rStyle w:val="IP"/>
          <w:b/>
        </w:rPr>
        <w:t>1-1/2-inch-</w:t>
      </w:r>
      <w:r>
        <w:rPr>
          <w:rStyle w:val="SI"/>
          <w:b/>
        </w:rPr>
        <w:t xml:space="preserve"> (38-mm-)</w:t>
      </w:r>
      <w:r>
        <w:rPr>
          <w:b/>
        </w:rPr>
        <w:t xml:space="preserve"> square mesh, thickness as required to comply with structural performance requirements</w:t>
      </w:r>
      <w:r>
        <w:rPr/>
        <w:t>] [</w:t>
      </w:r>
      <w:r>
        <w:rPr>
          <w:b/>
        </w:rPr>
        <w:t>As required to comply with structural performance requirements</w:t>
      </w:r>
      <w:r>
        <w:rPr/>
        <w:t>] &lt;</w:t>
      </w:r>
      <w:r>
        <w:rPr>
          <w:b/>
        </w:rPr>
        <w:t>Insert configuration</w:t>
      </w:r>
      <w:r>
        <w:rPr/>
        <w:t>&gt;.</w:t>
      </w:r>
    </w:p>
    <w:p>
      <w:pPr>
        <w:pStyle w:val="CMT"/>
        <w:rPr/>
      </w:pPr>
      <w:r>
        <w:rPr/>
        <w:t>Delete "Weight" Subparagraph below if Contractor is required to design gratings. If retaining, consult manufacturers' product data and coordinate with configuration retained in "Configuration" Subparagraph above. Delete below and insert requirements for structural properties if structural properties are critical.</w:t>
      </w:r>
    </w:p>
    <w:p>
      <w:pPr>
        <w:pStyle w:val="PR2"/>
        <w:numPr>
          <w:ilvl w:val="5"/>
          <w:numId w:val="1"/>
        </w:numPr>
        <w:rPr/>
      </w:pPr>
      <w:r>
        <w:rPr/>
        <w:t>Weight: [</w:t>
      </w:r>
      <w:r>
        <w:rPr>
          <w:rStyle w:val="IP"/>
          <w:b/>
        </w:rPr>
        <w:t>2.5 lb/sq. ft.</w:t>
      </w:r>
      <w:r>
        <w:rPr>
          <w:rStyle w:val="SI"/>
          <w:b/>
        </w:rPr>
        <w:t xml:space="preserve"> (12.2 kg/sq. m)</w:t>
      </w:r>
      <w:r>
        <w:rPr/>
        <w:t>] [</w:t>
      </w:r>
      <w:r>
        <w:rPr>
          <w:rStyle w:val="IP"/>
          <w:b/>
        </w:rPr>
        <w:t>2.7 lb/sq. ft.</w:t>
      </w:r>
      <w:r>
        <w:rPr>
          <w:rStyle w:val="SI"/>
          <w:b/>
        </w:rPr>
        <w:t xml:space="preserve"> (13.2 kg/sq. m)</w:t>
      </w:r>
      <w:r>
        <w:rPr/>
        <w:t>] [</w:t>
      </w:r>
      <w:r>
        <w:rPr>
          <w:rStyle w:val="IP"/>
          <w:b/>
        </w:rPr>
        <w:t>3.2 lb/sq. ft.</w:t>
      </w:r>
      <w:r>
        <w:rPr>
          <w:rStyle w:val="SI"/>
          <w:b/>
        </w:rPr>
        <w:t xml:space="preserve"> (15.6 kg/sq. m)</w:t>
      </w:r>
      <w:r>
        <w:rPr/>
        <w:t>] [</w:t>
      </w:r>
      <w:r>
        <w:rPr>
          <w:rStyle w:val="IP"/>
          <w:b/>
        </w:rPr>
        <w:t>3.5 lb/sq. ft.</w:t>
      </w:r>
      <w:r>
        <w:rPr>
          <w:rStyle w:val="SI"/>
          <w:b/>
        </w:rPr>
        <w:t xml:space="preserve"> (17.1 kg/sq. m)</w:t>
      </w:r>
      <w:r>
        <w:rPr/>
        <w:t>] [</w:t>
      </w:r>
      <w:r>
        <w:rPr>
          <w:rStyle w:val="IP"/>
          <w:b/>
        </w:rPr>
        <w:t>3.7 lb/sq. ft.</w:t>
      </w:r>
      <w:r>
        <w:rPr>
          <w:rStyle w:val="SI"/>
          <w:b/>
        </w:rPr>
        <w:t xml:space="preserve"> (18.1 kg/sq. m)</w:t>
      </w:r>
      <w:r>
        <w:rPr/>
        <w:t>] [</w:t>
      </w:r>
      <w:r>
        <w:rPr>
          <w:rStyle w:val="IP"/>
          <w:b/>
        </w:rPr>
        <w:t>4.1 lb/sq. ft.</w:t>
      </w:r>
      <w:r>
        <w:rPr>
          <w:rStyle w:val="SI"/>
          <w:b/>
        </w:rPr>
        <w:t xml:space="preserve"> (20.0 kg/sq. m)</w:t>
      </w:r>
      <w:r>
        <w:rPr/>
        <w:t>] [</w:t>
      </w:r>
      <w:r>
        <w:rPr>
          <w:rStyle w:val="IP"/>
          <w:b/>
        </w:rPr>
        <w:t>5.0 lb/sq. ft.</w:t>
      </w:r>
      <w:r>
        <w:rPr>
          <w:rStyle w:val="SI"/>
          <w:b/>
        </w:rPr>
        <w:t xml:space="preserve"> (24.4 kg/sq. m)</w:t>
      </w:r>
      <w:r>
        <w:rPr/>
        <w:t>] &lt;</w:t>
      </w:r>
      <w:r>
        <w:rPr>
          <w:b/>
        </w:rPr>
        <w:t>Insert value</w:t>
      </w:r>
      <w:r>
        <w:rPr/>
        <w:t>&gt;.</w:t>
      </w:r>
    </w:p>
    <w:p>
      <w:pPr>
        <w:pStyle w:val="CMT"/>
        <w:rPr/>
      </w:pPr>
      <w:r>
        <w:rPr/>
        <w:t>Usually retain first option in "Resin" Subparagraph below. Delete both options and insert other descriptive terms if a particular resin is required for chemical resistance or other reasons.</w:t>
      </w:r>
    </w:p>
    <w:p>
      <w:pPr>
        <w:pStyle w:val="PR2"/>
        <w:numPr>
          <w:ilvl w:val="5"/>
          <w:numId w:val="1"/>
        </w:numPr>
        <w:rPr/>
      </w:pPr>
      <w:r>
        <w:rPr/>
        <w:t>Resin: [</w:t>
      </w:r>
      <w:r>
        <w:rPr>
          <w:b/>
        </w:rPr>
        <w:t>Polyester</w:t>
      </w:r>
      <w:r>
        <w:rPr/>
        <w:t>] [</w:t>
      </w:r>
      <w:r>
        <w:rPr>
          <w:b/>
        </w:rPr>
        <w:t>Vinylester</w:t>
      </w:r>
      <w:r>
        <w:rPr/>
        <w:t>] &lt;</w:t>
      </w:r>
      <w:r>
        <w:rPr>
          <w:b/>
        </w:rPr>
        <w:t>Insert description</w:t>
      </w:r>
      <w:r>
        <w:rPr/>
        <w:t>&gt;.</w:t>
      </w:r>
    </w:p>
    <w:p>
      <w:pPr>
        <w:pStyle w:val="CMT"/>
        <w:rPr/>
      </w:pPr>
      <w:r>
        <w:rPr/>
        <w:t>Retain one of or both "Flame-Spread Index" and "USDA Acceptance" subparagraphs below if required.</w:t>
      </w:r>
    </w:p>
    <w:p>
      <w:pPr>
        <w:pStyle w:val="PR3"/>
        <w:numPr>
          <w:ilvl w:val="6"/>
          <w:numId w:val="1"/>
        </w:numPr>
        <w:spacing w:before="240" w:after="0"/>
        <w:rPr/>
      </w:pPr>
      <w:r>
        <w:rPr/>
        <w:t>Flame-Spread Index: 25 or less when tested according to ASTM E84.</w:t>
      </w:r>
    </w:p>
    <w:p>
      <w:pPr>
        <w:pStyle w:val="PR3"/>
        <w:numPr>
          <w:ilvl w:val="6"/>
          <w:numId w:val="1"/>
        </w:numPr>
        <w:rPr/>
      </w:pPr>
      <w:r>
        <w:rPr/>
        <w:t>USDA Acceptance: Accepted for food-processing applications.</w:t>
      </w:r>
    </w:p>
    <w:p>
      <w:pPr>
        <w:pStyle w:val="CMT"/>
        <w:rPr/>
      </w:pPr>
      <w:r>
        <w:rPr/>
        <w:t>Usually retain last option in "Color" Subparagraph below. Some manufacturers color-code their gratings, so they have only one standard color for a particular grating type and resin.</w:t>
      </w:r>
    </w:p>
    <w:p>
      <w:pPr>
        <w:pStyle w:val="PR2"/>
        <w:numPr>
          <w:ilvl w:val="5"/>
          <w:numId w:val="1"/>
        </w:numPr>
        <w:spacing w:before="240" w:after="0"/>
        <w:rPr/>
      </w:pPr>
      <w:r>
        <w:rPr/>
        <w:t>Color: [</w:t>
      </w:r>
      <w:r>
        <w:rPr>
          <w:b/>
        </w:rPr>
        <w:t>Beige</w:t>
      </w:r>
      <w:r>
        <w:rPr/>
        <w:t>] [</w:t>
      </w:r>
      <w:r>
        <w:rPr>
          <w:b/>
        </w:rPr>
        <w:t>Gray</w:t>
      </w:r>
      <w:r>
        <w:rPr/>
        <w:t>] [</w:t>
      </w:r>
      <w:r>
        <w:rPr>
          <w:b/>
        </w:rPr>
        <w:t>Green</w:t>
      </w:r>
      <w:r>
        <w:rPr/>
        <w:t>] [</w:t>
      </w:r>
      <w:r>
        <w:rPr>
          <w:b/>
        </w:rPr>
        <w:t>Orange</w:t>
      </w:r>
      <w:r>
        <w:rPr/>
        <w:t>] [</w:t>
      </w:r>
      <w:r>
        <w:rPr>
          <w:b/>
        </w:rPr>
        <w:t>Yellow</w:t>
      </w:r>
      <w:r>
        <w:rPr/>
        <w:t>] [</w:t>
      </w:r>
      <w:r>
        <w:rPr>
          <w:b/>
        </w:rPr>
        <w:t>Manufacturer's standard</w:t>
      </w:r>
      <w:r>
        <w:rPr/>
        <w:t>].</w:t>
      </w:r>
    </w:p>
    <w:p>
      <w:pPr>
        <w:pStyle w:val="PR2"/>
        <w:numPr>
          <w:ilvl w:val="5"/>
          <w:numId w:val="1"/>
        </w:numPr>
        <w:rPr/>
      </w:pPr>
      <w:r>
        <w:rPr/>
        <w:t>Traffic Surface: [</w:t>
      </w:r>
      <w:r>
        <w:rPr>
          <w:b/>
        </w:rPr>
        <w:t>Plain, meniscus</w:t>
      </w:r>
      <w:r>
        <w:rPr/>
        <w:t>] [</w:t>
      </w:r>
      <w:r>
        <w:rPr>
          <w:b/>
        </w:rPr>
        <w:t>Applied abrasive finish</w:t>
      </w:r>
      <w:r>
        <w:rPr/>
        <w:t>] [</w:t>
      </w:r>
      <w:r>
        <w:rPr>
          <w:b/>
        </w:rPr>
        <w:t>As indicated</w:t>
      </w:r>
      <w:r>
        <w:rPr/>
        <w:t>].</w:t>
      </w:r>
    </w:p>
    <w:p>
      <w:pPr>
        <w:pStyle w:val="CMT"/>
        <w:rPr/>
      </w:pPr>
      <w:r>
        <w:rPr/>
        <w:t>Pultruded gratings have higher glass-fiber content than molded gratings. They are stronger than, but not as chemical resistant as, molded gratings.</w:t>
      </w:r>
    </w:p>
    <w:p>
      <w:pPr>
        <w:pStyle w:val="PR1"/>
        <w:numPr>
          <w:ilvl w:val="4"/>
          <w:numId w:val="1"/>
        </w:numPr>
        <w:rPr/>
      </w:pPr>
      <w:r>
        <w:rPr/>
        <w:t>Pultruded Glass-Fiber-Reinforced Gratings: Bar gratings assembled from components made by simultaneously pulling glass fibers and extruding thermosetting plastic resin through a heated die under pressure to produce a product without voids and with a high glass-fiber content.</w:t>
      </w:r>
    </w:p>
    <w:p>
      <w:pPr>
        <w:pStyle w:val="CMT"/>
        <w:rPr/>
      </w:pPr>
      <w:r>
        <w:rPr/>
        <w:t>Configurations listed in "Configuration" Subparagraph below are examples only; others are available. Consult manufacturers' product data for additional configurations.</w:t>
      </w:r>
    </w:p>
    <w:p>
      <w:pPr>
        <w:pStyle w:val="PR2"/>
        <w:numPr>
          <w:ilvl w:val="5"/>
          <w:numId w:val="1"/>
        </w:numPr>
        <w:spacing w:before="240" w:after="0"/>
        <w:rPr/>
      </w:pPr>
      <w:r>
        <w:rPr/>
        <w:t>Configuration: [</w:t>
      </w:r>
      <w:r>
        <w:rPr>
          <w:b/>
        </w:rPr>
        <w:t xml:space="preserve">I4010; </w:t>
      </w:r>
      <w:r>
        <w:rPr>
          <w:rStyle w:val="IP"/>
          <w:b/>
        </w:rPr>
        <w:t>1-inch</w:t>
      </w:r>
      <w:r>
        <w:rPr>
          <w:rStyle w:val="SI"/>
          <w:b/>
        </w:rPr>
        <w:t xml:space="preserve"> (25-mm)</w:t>
      </w:r>
      <w:r>
        <w:rPr>
          <w:b/>
        </w:rPr>
        <w:t xml:space="preserve"> I-bars spaced </w:t>
      </w:r>
      <w:r>
        <w:rPr>
          <w:rStyle w:val="IP"/>
          <w:b/>
        </w:rPr>
        <w:t>1 inch</w:t>
      </w:r>
      <w:r>
        <w:rPr>
          <w:rStyle w:val="SI"/>
          <w:b/>
        </w:rPr>
        <w:t xml:space="preserve"> (25 mm)</w:t>
      </w:r>
      <w:r>
        <w:rPr>
          <w:b/>
        </w:rPr>
        <w:t xml:space="preserve"> o.c. (40 percent open)</w:t>
      </w:r>
      <w:r>
        <w:rPr/>
        <w:t>] [</w:t>
      </w:r>
      <w:r>
        <w:rPr>
          <w:b/>
        </w:rPr>
        <w:t xml:space="preserve">I6010; </w:t>
      </w:r>
      <w:r>
        <w:rPr>
          <w:rStyle w:val="IP"/>
          <w:b/>
        </w:rPr>
        <w:t>1-inch</w:t>
      </w:r>
      <w:r>
        <w:rPr>
          <w:rStyle w:val="SI"/>
          <w:b/>
        </w:rPr>
        <w:t xml:space="preserve"> (25-mm)</w:t>
      </w:r>
      <w:r>
        <w:rPr>
          <w:b/>
        </w:rPr>
        <w:t xml:space="preserve"> I-bars spaced </w:t>
      </w:r>
      <w:r>
        <w:rPr>
          <w:rStyle w:val="IP"/>
          <w:b/>
        </w:rPr>
        <w:t>1-1/2 inches</w:t>
      </w:r>
      <w:r>
        <w:rPr>
          <w:rStyle w:val="SI"/>
          <w:b/>
        </w:rPr>
        <w:t xml:space="preserve"> (38 mm)</w:t>
      </w:r>
      <w:r>
        <w:rPr>
          <w:b/>
        </w:rPr>
        <w:t xml:space="preserve"> o.c. (60 percent open)</w:t>
      </w:r>
      <w:r>
        <w:rPr/>
        <w:t>] [</w:t>
      </w:r>
      <w:r>
        <w:rPr>
          <w:b/>
        </w:rPr>
        <w:t xml:space="preserve">I4015; </w:t>
      </w:r>
      <w:r>
        <w:rPr>
          <w:rStyle w:val="IP"/>
          <w:b/>
        </w:rPr>
        <w:t>1-1/2-inch</w:t>
      </w:r>
      <w:r>
        <w:rPr>
          <w:rStyle w:val="SI"/>
          <w:b/>
        </w:rPr>
        <w:t xml:space="preserve"> (38-mm)</w:t>
      </w:r>
      <w:r>
        <w:rPr>
          <w:b/>
        </w:rPr>
        <w:t xml:space="preserve"> I-bars spaced </w:t>
      </w:r>
      <w:r>
        <w:rPr>
          <w:rStyle w:val="IP"/>
          <w:b/>
        </w:rPr>
        <w:t>1 inch</w:t>
      </w:r>
      <w:r>
        <w:rPr>
          <w:rStyle w:val="SI"/>
          <w:b/>
        </w:rPr>
        <w:t xml:space="preserve"> (25 mm)</w:t>
      </w:r>
      <w:r>
        <w:rPr>
          <w:b/>
        </w:rPr>
        <w:t xml:space="preserve"> o.c. (40 percent open)</w:t>
      </w:r>
      <w:r>
        <w:rPr/>
        <w:t>] [</w:t>
      </w:r>
      <w:r>
        <w:rPr>
          <w:b/>
        </w:rPr>
        <w:t xml:space="preserve">I6015; </w:t>
      </w:r>
      <w:r>
        <w:rPr>
          <w:rStyle w:val="IP"/>
          <w:b/>
        </w:rPr>
        <w:t>1-1/2-inch</w:t>
      </w:r>
      <w:r>
        <w:rPr>
          <w:rStyle w:val="SI"/>
          <w:b/>
        </w:rPr>
        <w:t xml:space="preserve"> (38-mm)</w:t>
      </w:r>
      <w:r>
        <w:rPr>
          <w:b/>
        </w:rPr>
        <w:t xml:space="preserve"> I-bars spaced </w:t>
      </w:r>
      <w:r>
        <w:rPr>
          <w:rStyle w:val="IP"/>
          <w:b/>
        </w:rPr>
        <w:t>1-1/2 inches</w:t>
      </w:r>
      <w:r>
        <w:rPr>
          <w:rStyle w:val="SI"/>
          <w:b/>
        </w:rPr>
        <w:t xml:space="preserve"> (38 mm)</w:t>
      </w:r>
      <w:r>
        <w:rPr>
          <w:b/>
        </w:rPr>
        <w:t xml:space="preserve"> o.c. (60 percent open)</w:t>
      </w:r>
      <w:r>
        <w:rPr/>
        <w:t>] [</w:t>
      </w:r>
      <w:r>
        <w:rPr>
          <w:b/>
        </w:rPr>
        <w:t xml:space="preserve">T3320; </w:t>
      </w:r>
      <w:r>
        <w:rPr>
          <w:rStyle w:val="IP"/>
          <w:b/>
        </w:rPr>
        <w:t>2-inch</w:t>
      </w:r>
      <w:r>
        <w:rPr>
          <w:rStyle w:val="SI"/>
          <w:b/>
        </w:rPr>
        <w:t xml:space="preserve"> (51-mm)</w:t>
      </w:r>
      <w:r>
        <w:rPr>
          <w:b/>
        </w:rPr>
        <w:t xml:space="preserve"> T-bars spaced </w:t>
      </w:r>
      <w:r>
        <w:rPr>
          <w:rStyle w:val="IP"/>
          <w:b/>
        </w:rPr>
        <w:t>1-1/2 inches</w:t>
      </w:r>
      <w:r>
        <w:rPr>
          <w:rStyle w:val="SI"/>
          <w:b/>
        </w:rPr>
        <w:t xml:space="preserve"> (38 mm)</w:t>
      </w:r>
      <w:r>
        <w:rPr>
          <w:b/>
        </w:rPr>
        <w:t xml:space="preserve"> o.c. (33 percent open)</w:t>
      </w:r>
      <w:r>
        <w:rPr/>
        <w:t>] [</w:t>
      </w:r>
      <w:r>
        <w:rPr>
          <w:b/>
        </w:rPr>
        <w:t xml:space="preserve">T5020; </w:t>
      </w:r>
      <w:r>
        <w:rPr>
          <w:rStyle w:val="IP"/>
          <w:b/>
        </w:rPr>
        <w:t>2-inch</w:t>
      </w:r>
      <w:r>
        <w:rPr>
          <w:rStyle w:val="SI"/>
          <w:b/>
        </w:rPr>
        <w:t xml:space="preserve"> (51-mm)</w:t>
      </w:r>
      <w:r>
        <w:rPr>
          <w:b/>
        </w:rPr>
        <w:t xml:space="preserve"> T-bars spaced </w:t>
      </w:r>
      <w:r>
        <w:rPr>
          <w:rStyle w:val="IP"/>
          <w:b/>
        </w:rPr>
        <w:t>2 inches</w:t>
      </w:r>
      <w:r>
        <w:rPr>
          <w:rStyle w:val="SI"/>
          <w:b/>
        </w:rPr>
        <w:t xml:space="preserve"> (51 mm)</w:t>
      </w:r>
      <w:r>
        <w:rPr>
          <w:b/>
        </w:rPr>
        <w:t xml:space="preserve"> o.c. (50 percent open)</w:t>
      </w:r>
      <w:r>
        <w:rPr/>
        <w:t>] [</w:t>
      </w:r>
      <w:r>
        <w:rPr>
          <w:b/>
        </w:rPr>
        <w:t>As required to comply with structural performance requirements</w:t>
      </w:r>
      <w:r>
        <w:rPr/>
        <w:t>] &lt;</w:t>
      </w:r>
      <w:r>
        <w:rPr>
          <w:b/>
        </w:rPr>
        <w:t>Insert configuration</w:t>
      </w:r>
      <w:r>
        <w:rPr/>
        <w:t>&gt;.</w:t>
      </w:r>
    </w:p>
    <w:p>
      <w:pPr>
        <w:pStyle w:val="CMT"/>
        <w:rPr/>
      </w:pPr>
      <w:r>
        <w:rPr/>
        <w:t>Delete "Weight" Subparagraph below if Contractor is required to design gratings. If retaining, consult manufacturers' product data and coordinate with configuration retained in "Configuration" Subparagraph above. Delete below and insert requirements for structural properties if structural properties are critical.</w:t>
      </w:r>
    </w:p>
    <w:p>
      <w:pPr>
        <w:pStyle w:val="PR2"/>
        <w:numPr>
          <w:ilvl w:val="5"/>
          <w:numId w:val="1"/>
        </w:numPr>
        <w:rPr/>
      </w:pPr>
      <w:r>
        <w:rPr/>
        <w:t>Weight: [</w:t>
      </w:r>
      <w:r>
        <w:rPr>
          <w:rStyle w:val="IP"/>
          <w:b/>
        </w:rPr>
        <w:t>2.35 lb/sq. ft.</w:t>
      </w:r>
      <w:r>
        <w:rPr>
          <w:rStyle w:val="SI"/>
          <w:b/>
        </w:rPr>
        <w:t xml:space="preserve"> (11.5 kg/sq. m)</w:t>
      </w:r>
      <w:r>
        <w:rPr/>
        <w:t>] [</w:t>
      </w:r>
      <w:r>
        <w:rPr>
          <w:rStyle w:val="IP"/>
          <w:b/>
        </w:rPr>
        <w:t>2.83 lb/sq. ft.</w:t>
      </w:r>
      <w:r>
        <w:rPr>
          <w:rStyle w:val="SI"/>
          <w:b/>
        </w:rPr>
        <w:t xml:space="preserve"> (13.8 kg/sq. m)</w:t>
      </w:r>
      <w:r>
        <w:rPr/>
        <w:t>] [</w:t>
      </w:r>
      <w:r>
        <w:rPr>
          <w:rStyle w:val="IP"/>
          <w:b/>
        </w:rPr>
        <w:t>3.10 lb/sq. ft.</w:t>
      </w:r>
      <w:r>
        <w:rPr>
          <w:rStyle w:val="SI"/>
          <w:b/>
        </w:rPr>
        <w:t xml:space="preserve"> (15.1 kg/sq. m)</w:t>
      </w:r>
      <w:r>
        <w:rPr/>
        <w:t>] [</w:t>
      </w:r>
      <w:r>
        <w:rPr>
          <w:rStyle w:val="IP"/>
          <w:b/>
        </w:rPr>
        <w:t>3.41 lb/sq. ft.</w:t>
      </w:r>
      <w:r>
        <w:rPr>
          <w:rStyle w:val="SI"/>
          <w:b/>
        </w:rPr>
        <w:t xml:space="preserve"> (16.6 kg/sq. m)</w:t>
      </w:r>
      <w:r>
        <w:rPr/>
        <w:t>] [</w:t>
      </w:r>
      <w:r>
        <w:rPr>
          <w:rStyle w:val="IP"/>
          <w:b/>
        </w:rPr>
        <w:t>4.10 lb/sq. ft.</w:t>
      </w:r>
      <w:r>
        <w:rPr>
          <w:rStyle w:val="SI"/>
          <w:b/>
        </w:rPr>
        <w:t xml:space="preserve"> (20.0 kg/sq. m)</w:t>
      </w:r>
      <w:r>
        <w:rPr/>
        <w:t>] [</w:t>
      </w:r>
      <w:r>
        <w:rPr>
          <w:rStyle w:val="IP"/>
          <w:b/>
        </w:rPr>
        <w:t>4.13 lb/sq. ft.</w:t>
      </w:r>
      <w:r>
        <w:rPr>
          <w:rStyle w:val="SI"/>
          <w:b/>
        </w:rPr>
        <w:t xml:space="preserve"> (20.2 kg/sq. m)</w:t>
      </w:r>
      <w:r>
        <w:rPr/>
        <w:t>] &lt;</w:t>
      </w:r>
      <w:r>
        <w:rPr>
          <w:b/>
        </w:rPr>
        <w:t>Insert value</w:t>
      </w:r>
      <w:r>
        <w:rPr/>
        <w:t>&gt;.</w:t>
      </w:r>
    </w:p>
    <w:p>
      <w:pPr>
        <w:pStyle w:val="CMT"/>
        <w:rPr/>
      </w:pPr>
      <w:r>
        <w:rPr/>
        <w:t>Usually retain first option in "Resin Type" Subparagraph below. Delete both options and insert other descriptive terms if a particular resin is required for chemical resistance or other reasons.</w:t>
      </w:r>
    </w:p>
    <w:p>
      <w:pPr>
        <w:pStyle w:val="PR2"/>
        <w:numPr>
          <w:ilvl w:val="5"/>
          <w:numId w:val="1"/>
        </w:numPr>
        <w:rPr/>
      </w:pPr>
      <w:r>
        <w:rPr/>
        <w:t>Resin Type: [</w:t>
      </w:r>
      <w:r>
        <w:rPr>
          <w:b/>
        </w:rPr>
        <w:t>Polyester</w:t>
      </w:r>
      <w:r>
        <w:rPr/>
        <w:t>] [</w:t>
      </w:r>
      <w:r>
        <w:rPr>
          <w:b/>
        </w:rPr>
        <w:t>Vinylester</w:t>
      </w:r>
      <w:r>
        <w:rPr/>
        <w:t>] &lt;</w:t>
      </w:r>
      <w:r>
        <w:rPr>
          <w:b/>
        </w:rPr>
        <w:t>Insert description</w:t>
      </w:r>
      <w:r>
        <w:rPr/>
        <w:t>&gt;.</w:t>
      </w:r>
    </w:p>
    <w:p>
      <w:pPr>
        <w:pStyle w:val="CMT"/>
        <w:rPr/>
      </w:pPr>
      <w:r>
        <w:rPr/>
        <w:t>Retain one of or both "Flame-Spread Index" and "USDA Acceptance" subparagraphs below if required.</w:t>
      </w:r>
    </w:p>
    <w:p>
      <w:pPr>
        <w:pStyle w:val="PR3"/>
        <w:numPr>
          <w:ilvl w:val="6"/>
          <w:numId w:val="1"/>
        </w:numPr>
        <w:spacing w:before="240" w:after="0"/>
        <w:rPr/>
      </w:pPr>
      <w:r>
        <w:rPr/>
        <w:t>Flame-Spread Index: 25 or less when tested according to ASTM E84.</w:t>
      </w:r>
    </w:p>
    <w:p>
      <w:pPr>
        <w:pStyle w:val="PR3"/>
        <w:numPr>
          <w:ilvl w:val="6"/>
          <w:numId w:val="1"/>
        </w:numPr>
        <w:rPr/>
      </w:pPr>
      <w:r>
        <w:rPr/>
        <w:t>USDA Acceptance: Accepted for food-processing applications.</w:t>
      </w:r>
    </w:p>
    <w:p>
      <w:pPr>
        <w:pStyle w:val="CMT"/>
        <w:rPr/>
      </w:pPr>
      <w:r>
        <w:rPr/>
        <w:t>Usually retain last option in "Color" Subparagraph below. Some manufacturers color-code their gratings, so they have only one standard color for a particular grating type and resin.</w:t>
      </w:r>
    </w:p>
    <w:p>
      <w:pPr>
        <w:pStyle w:val="PR2"/>
        <w:numPr>
          <w:ilvl w:val="5"/>
          <w:numId w:val="1"/>
        </w:numPr>
        <w:spacing w:before="240" w:after="0"/>
        <w:rPr/>
      </w:pPr>
      <w:r>
        <w:rPr/>
        <w:t>Color: [</w:t>
      </w:r>
      <w:r>
        <w:rPr>
          <w:b/>
        </w:rPr>
        <w:t>Beige</w:t>
      </w:r>
      <w:r>
        <w:rPr/>
        <w:t>] [</w:t>
      </w:r>
      <w:r>
        <w:rPr>
          <w:b/>
        </w:rPr>
        <w:t>Gray</w:t>
      </w:r>
      <w:r>
        <w:rPr/>
        <w:t>] [</w:t>
      </w:r>
      <w:r>
        <w:rPr>
          <w:b/>
        </w:rPr>
        <w:t>Green</w:t>
      </w:r>
      <w:r>
        <w:rPr/>
        <w:t>] [</w:t>
      </w:r>
      <w:r>
        <w:rPr>
          <w:b/>
        </w:rPr>
        <w:t>Orange</w:t>
      </w:r>
      <w:r>
        <w:rPr/>
        <w:t>] [</w:t>
      </w:r>
      <w:r>
        <w:rPr>
          <w:b/>
        </w:rPr>
        <w:t>Yellow</w:t>
      </w:r>
      <w:r>
        <w:rPr/>
        <w:t>] [</w:t>
      </w:r>
      <w:r>
        <w:rPr>
          <w:b/>
        </w:rPr>
        <w:t>Manufacturer's standard</w:t>
      </w:r>
      <w:r>
        <w:rPr/>
        <w:t>].</w:t>
      </w:r>
    </w:p>
    <w:p>
      <w:pPr>
        <w:pStyle w:val="PR2"/>
        <w:numPr>
          <w:ilvl w:val="5"/>
          <w:numId w:val="1"/>
        </w:numPr>
        <w:rPr/>
      </w:pPr>
      <w:r>
        <w:rPr/>
        <w:t>Traffic Surface: [</w:t>
      </w:r>
      <w:r>
        <w:rPr>
          <w:b/>
        </w:rPr>
        <w:t>Plain, grooved</w:t>
      </w:r>
      <w:r>
        <w:rPr/>
        <w:t>] [</w:t>
      </w:r>
      <w:r>
        <w:rPr>
          <w:b/>
        </w:rPr>
        <w:t>Applied abrasive finish</w:t>
      </w:r>
      <w:r>
        <w:rPr/>
        <w:t>] [</w:t>
      </w:r>
      <w:r>
        <w:rPr>
          <w:b/>
        </w:rPr>
        <w:t>As indicated</w:t>
      </w:r>
      <w:r>
        <w:rPr/>
        <w:t>].</w:t>
      </w:r>
    </w:p>
    <w:p>
      <w:pPr>
        <w:pStyle w:val="ART"/>
        <w:numPr>
          <w:ilvl w:val="3"/>
          <w:numId w:val="1"/>
        </w:numPr>
        <w:ind w:hanging="0" w:left="0"/>
        <w:rPr/>
      </w:pPr>
      <w:r>
        <w:rPr/>
        <w:t>FASTENERS</w:t>
      </w:r>
    </w:p>
    <w:p>
      <w:pPr>
        <w:pStyle w:val="CMT"/>
        <w:rPr/>
      </w:pPr>
      <w:r>
        <w:rPr/>
        <w:t>Usually retain Type 304 in "General" Paragraph below; retain Type 316 if required for corrosive environments.</w:t>
      </w:r>
    </w:p>
    <w:p>
      <w:pPr>
        <w:pStyle w:val="PR1"/>
        <w:numPr>
          <w:ilvl w:val="4"/>
          <w:numId w:val="1"/>
        </w:numPr>
        <w:rPr/>
      </w:pPr>
      <w:r>
        <w:rPr/>
        <w:t>General: Unless otherwise indicated, provide [</w:t>
      </w:r>
      <w:r>
        <w:rPr>
          <w:b/>
        </w:rPr>
        <w:t>Type 304</w:t>
      </w:r>
      <w:r>
        <w:rPr/>
        <w:t>] [</w:t>
      </w:r>
      <w:r>
        <w:rPr>
          <w:b/>
        </w:rPr>
        <w:t>Type 316</w:t>
      </w:r>
      <w:r>
        <w:rPr/>
        <w:t xml:space="preserve">] stainless steel fasteners for exterior use and zinc-plated fasteners with coating complying with ASTM B633 or </w:t>
      </w:r>
      <w:r>
        <w:rPr>
          <w:rStyle w:val="IP"/>
        </w:rPr>
        <w:t>ASTM F1941</w:t>
      </w:r>
      <w:r>
        <w:rPr>
          <w:rStyle w:val="SI"/>
        </w:rPr>
        <w:t xml:space="preserve"> (ASTM F1941M)</w:t>
      </w:r>
      <w:r>
        <w:rPr/>
        <w:t>, Class Fe/Zn 5, at exterior walls. Select fasteners for type, grade, and class required.</w:t>
      </w:r>
    </w:p>
    <w:p>
      <w:pPr>
        <w:pStyle w:val="CMT"/>
        <w:rPr/>
      </w:pPr>
      <w:r>
        <w:rPr/>
        <w:t>Delete remaining paragraphs below if no detailed fastening requirements; retain for complex work.</w:t>
      </w:r>
    </w:p>
    <w:p>
      <w:pPr>
        <w:pStyle w:val="PR1"/>
        <w:numPr>
          <w:ilvl w:val="4"/>
          <w:numId w:val="1"/>
        </w:numPr>
        <w:rPr/>
      </w:pPr>
      <w:r>
        <w:rPr/>
        <w:t xml:space="preserve">Steel Bolts and Nuts: Regular hexagon-head bolts, </w:t>
      </w:r>
      <w:r>
        <w:rPr>
          <w:rStyle w:val="IP"/>
        </w:rPr>
        <w:t>ASTM A307, Grade A</w:t>
      </w:r>
      <w:r>
        <w:rPr>
          <w:rStyle w:val="SI"/>
        </w:rPr>
        <w:t xml:space="preserve"> (ASTM F568M, Property Class 4.6)</w:t>
      </w:r>
      <w:r>
        <w:rPr/>
        <w:t xml:space="preserve">; with hex nuts, </w:t>
      </w:r>
      <w:r>
        <w:rPr>
          <w:rStyle w:val="IP"/>
        </w:rPr>
        <w:t>ASTM A563</w:t>
      </w:r>
      <w:r>
        <w:rPr>
          <w:rStyle w:val="SI"/>
        </w:rPr>
        <w:t xml:space="preserve"> (ASTM A563M)</w:t>
      </w:r>
      <w:r>
        <w:rPr/>
        <w:t>; and, where indicated, flat washers.</w:t>
      </w:r>
    </w:p>
    <w:p>
      <w:pPr>
        <w:pStyle w:val="CMT"/>
        <w:rPr/>
      </w:pPr>
      <w:r>
        <w:rPr/>
        <w:t>Retain Alloy Group 1 (A1) fasteners in "Stainless Steel Bolts and Nuts" Paragraph below for use with Type 304; retain Alloy Group 2 (A4) fasteners for use with Type 316.</w:t>
      </w:r>
    </w:p>
    <w:p>
      <w:pPr>
        <w:pStyle w:val="PR1"/>
        <w:numPr>
          <w:ilvl w:val="4"/>
          <w:numId w:val="1"/>
        </w:numPr>
        <w:rPr/>
      </w:pPr>
      <w:r>
        <w:rPr/>
        <w:t xml:space="preserve">Stainless Steel Bolts and Nuts: Regular hexagon-head annealed stainless steel bolts, nuts, and, where indicated, flat washers; </w:t>
      </w:r>
      <w:r>
        <w:rPr>
          <w:rStyle w:val="IP"/>
        </w:rPr>
        <w:t>ASTM F593</w:t>
      </w:r>
      <w:r>
        <w:rPr>
          <w:rStyle w:val="SI"/>
        </w:rPr>
        <w:t xml:space="preserve"> (ASTM F738M)</w:t>
      </w:r>
      <w:r>
        <w:rPr/>
        <w:t xml:space="preserve"> for bolts and </w:t>
      </w:r>
      <w:r>
        <w:rPr>
          <w:rStyle w:val="IP"/>
        </w:rPr>
        <w:t>ASTM F594</w:t>
      </w:r>
      <w:r>
        <w:rPr>
          <w:rStyle w:val="SI"/>
        </w:rPr>
        <w:t xml:space="preserve"> (ASTM F836M)</w:t>
      </w:r>
      <w:r>
        <w:rPr/>
        <w:t xml:space="preserve"> for nuts,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w:t>
      </w:r>
    </w:p>
    <w:p>
      <w:pPr>
        <w:pStyle w:val="PR1"/>
        <w:numPr>
          <w:ilvl w:val="4"/>
          <w:numId w:val="1"/>
        </w:numPr>
        <w:rPr/>
      </w:pPr>
      <w:r>
        <w:rPr/>
        <w:t xml:space="preserve">Anchor Bolts: ASTM F1554, Grade 36, of dimensions indicated; with nuts, </w:t>
      </w:r>
      <w:r>
        <w:rPr>
          <w:rStyle w:val="IP"/>
        </w:rPr>
        <w:t>ASTM A563</w:t>
      </w:r>
      <w:r>
        <w:rPr>
          <w:rStyle w:val="SI"/>
        </w:rPr>
        <w:t xml:space="preserve"> (ASTM A563M)</w:t>
      </w:r>
      <w:r>
        <w:rPr/>
        <w:t>; and, where indicated, flat washers.</w:t>
      </w:r>
    </w:p>
    <w:p>
      <w:pPr>
        <w:pStyle w:val="CMT"/>
        <w:rPr/>
      </w:pPr>
      <w:r>
        <w:rPr/>
        <w:t>If retaining "Post-Installed Anchors" Paragraph below, indicate loads on Drawings and verify safety factors with Project's structural engineer.</w:t>
      </w:r>
    </w:p>
    <w:p>
      <w:pPr>
        <w:pStyle w:val="PR1"/>
        <w:numPr>
          <w:ilvl w:val="4"/>
          <w:numId w:val="1"/>
        </w:numPr>
        <w:rPr/>
      </w:pPr>
      <w:r>
        <w:rPr/>
        <w:t>Post-Installed Anchors: [</w:t>
      </w:r>
      <w:r>
        <w:rPr>
          <w:b/>
        </w:rPr>
        <w:t>Torque-controlled expansion anchors</w:t>
      </w:r>
      <w:r>
        <w:rPr/>
        <w:t>] [</w:t>
      </w:r>
      <w:r>
        <w:rPr>
          <w:b/>
        </w:rPr>
        <w:t>or</w:t>
      </w:r>
      <w:r>
        <w:rPr/>
        <w:t>] [</w:t>
      </w:r>
      <w:r>
        <w:rPr>
          <w:b/>
        </w:rPr>
        <w:t>chemical anchors</w:t>
      </w:r>
      <w:r>
        <w:rPr/>
        <w:t>] capable of sustaining, without failure, a load equal to 6 times the load imposed when installed in unit masonry and 4 times the load imposed when installed in concrete, as determined by testing according to ASTM E488/E488M, conducted by a qualified independent testing agency.</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 xml:space="preserve">Material for Interior Locations: Carbon-steel components are zinc plated to comply with ASTM B633 or </w:t>
      </w:r>
      <w:r>
        <w:rPr>
          <w:rStyle w:val="IP"/>
        </w:rPr>
        <w:t>ASTM F1941</w:t>
      </w:r>
      <w:r>
        <w:rPr>
          <w:rStyle w:val="SI"/>
        </w:rPr>
        <w:t xml:space="preserve"> (ASTM F1941M)</w:t>
      </w:r>
      <w:r>
        <w:rPr/>
        <w:t>, Class Fe/Zn 5, unless otherwise indicated.</w:t>
      </w:r>
    </w:p>
    <w:p>
      <w:pPr>
        <w:pStyle w:val="CMT"/>
        <w:rPr/>
      </w:pPr>
      <w:r>
        <w:rPr/>
        <w:t>In "Material for Exterior Locations and Where Stainless Steel Is Indicated" Subparagraph below, Alloy Group 1 (A1) refers to Type 304 and similar alloys, and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ART"/>
        <w:numPr>
          <w:ilvl w:val="3"/>
          <w:numId w:val="1"/>
        </w:numPr>
        <w:ind w:hanging="0" w:left="0"/>
        <w:rPr/>
      </w:pPr>
      <w:r>
        <w:rPr/>
        <w:t>FABRICATION</w:t>
      </w:r>
    </w:p>
    <w:p>
      <w:pPr>
        <w:pStyle w:val="PR1"/>
        <w:numPr>
          <w:ilvl w:val="4"/>
          <w:numId w:val="1"/>
        </w:numPr>
        <w:rPr/>
      </w:pPr>
      <w:r>
        <w:rPr/>
        <w:t>Shop Assembly: Shop fabricate grating sections to greatest extent possible to minimize field splicing and assembly. Disassemble units only as necessary for shipping and handling limitations. Use connections that maintain structural value of joined pieces. Clearly mark units for reassembly and coordinated installation.</w:t>
      </w:r>
    </w:p>
    <w:p>
      <w:pPr>
        <w:pStyle w:val="PR1"/>
        <w:numPr>
          <w:ilvl w:val="4"/>
          <w:numId w:val="1"/>
        </w:numPr>
        <w:rPr/>
      </w:pPr>
      <w:r>
        <w:rPr/>
        <w:t xml:space="preserve">Cut, drill, and punch material cleanly and accurately. Remove burrs and ease edges to a radius of approximately </w:t>
      </w:r>
      <w:r>
        <w:rPr>
          <w:rStyle w:val="IP"/>
        </w:rPr>
        <w:t>1/32 inch</w:t>
      </w:r>
      <w:r>
        <w:rPr>
          <w:rStyle w:val="SI"/>
        </w:rPr>
        <w:t xml:space="preserve"> (1 mm)</w:t>
      </w:r>
      <w:r>
        <w:rPr/>
        <w:t xml:space="preserve"> unless otherwise indicated. Remove sharp or rough areas on exposed surfaces.</w:t>
      </w:r>
    </w:p>
    <w:p>
      <w:pPr>
        <w:pStyle w:val="PR1"/>
        <w:numPr>
          <w:ilvl w:val="4"/>
          <w:numId w:val="1"/>
        </w:numPr>
        <w:rPr/>
      </w:pPr>
      <w:r>
        <w:rPr/>
        <w:t>Form gratings from materials of size, thickness, and shapes indicated, but not less than that needed to support indicated loads.</w:t>
      </w:r>
    </w:p>
    <w:p>
      <w:pPr>
        <w:pStyle w:val="PR1"/>
        <w:numPr>
          <w:ilvl w:val="4"/>
          <w:numId w:val="1"/>
        </w:numPr>
        <w:rPr/>
      </w:pPr>
      <w:r>
        <w:rPr/>
        <w:t>Fit exposed connections accurately together to form hairline joints.</w:t>
      </w:r>
    </w:p>
    <w:p>
      <w:pPr>
        <w:pStyle w:val="PR1"/>
        <w:numPr>
          <w:ilvl w:val="4"/>
          <w:numId w:val="1"/>
        </w:numPr>
        <w:rPr/>
      </w:pPr>
      <w:r>
        <w:rPr/>
        <w:t>Provide for anchorage of type indicated; coordinate with supporting structure. Fabricate and space the anchoring devices to secure gratings, frames, and supports rigidly in place and to support indicated loads.</w:t>
      </w:r>
    </w:p>
    <w:p>
      <w:pPr>
        <w:pStyle w:val="PR1"/>
        <w:numPr>
          <w:ilvl w:val="4"/>
          <w:numId w:val="1"/>
        </w:numPr>
        <w:rPr/>
      </w:pPr>
      <w:r>
        <w:rPr/>
        <w:t>Fabricate cutouts in grating sections for penetrations indicated. Arrange cutouts to permit grating removal without disturbing items penetrating gratings.</w:t>
      </w:r>
    </w:p>
    <w:p>
      <w:pPr>
        <w:pStyle w:val="ART"/>
        <w:numPr>
          <w:ilvl w:val="3"/>
          <w:numId w:val="1"/>
        </w:numPr>
        <w:ind w:hanging="0" w:left="0"/>
        <w:rPr/>
      </w:pPr>
      <w:r>
        <w:rPr/>
        <w:t>GRATING FRAMES AND SUPPORTS</w:t>
      </w:r>
    </w:p>
    <w:p>
      <w:pPr>
        <w:pStyle w:val="PR1"/>
        <w:numPr>
          <w:ilvl w:val="4"/>
          <w:numId w:val="1"/>
        </w:numPr>
        <w:rPr/>
      </w:pPr>
      <w:r>
        <w:rPr/>
        <w:t>Frames and Supports for Glass-Fiber-Reinforced Plastic Gratings: Fabricate from glass-fiber-reinforced plastic shapes of sizes, shapes, and profiles indicated and as necessary to receive gratings. Miter connections for perimeter angle frames. Cut, drill, and tap units to receive hardware and similar items.</w:t>
      </w:r>
    </w:p>
    <w:p>
      <w:pPr>
        <w:pStyle w:val="PR2"/>
        <w:numPr>
          <w:ilvl w:val="5"/>
          <w:numId w:val="1"/>
        </w:numPr>
        <w:spacing w:before="240" w:after="0"/>
        <w:rPr/>
      </w:pPr>
      <w:r>
        <w:rPr/>
        <w:t>Unless otherwise indicated, use shapes made from same resin as gratings.</w:t>
      </w:r>
    </w:p>
    <w:p>
      <w:pPr>
        <w:pStyle w:val="PR2"/>
        <w:numPr>
          <w:ilvl w:val="5"/>
          <w:numId w:val="1"/>
        </w:numPr>
        <w:rPr/>
      </w:pPr>
      <w:r>
        <w:rPr/>
        <w:t>Equip units indicated to be cast into concrete or built into masonry with integral anchors.</w:t>
      </w:r>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Fastening to In-Place Construction: Provide anchorage devices and fasteners where necessary for securing gratings to in-place construction. Include threaded fasteners for concrete and masonry inserts, through-bolts, lag bolts, and other connectors.</w:t>
      </w:r>
    </w:p>
    <w:p>
      <w:pPr>
        <w:pStyle w:val="PR1"/>
        <w:numPr>
          <w:ilvl w:val="4"/>
          <w:numId w:val="1"/>
        </w:numPr>
        <w:rPr/>
      </w:pPr>
      <w:r>
        <w:rPr/>
        <w:t>Cutting, Fitting, and Placement: Perform cutting, drilling, and fitting required for installing gratings. Set units accurately in location, alignment, and elevation; measured from established lines and levels and free of rack.</w:t>
      </w:r>
    </w:p>
    <w:p>
      <w:pPr>
        <w:pStyle w:val="PR1"/>
        <w:numPr>
          <w:ilvl w:val="4"/>
          <w:numId w:val="1"/>
        </w:numPr>
        <w:rPr/>
      </w:pPr>
      <w:r>
        <w:rPr/>
        <w:t>Provide temporary bracing or anchors in formwork for items that are to be built into concrete or masonry.</w:t>
      </w:r>
    </w:p>
    <w:p>
      <w:pPr>
        <w:pStyle w:val="PR1"/>
        <w:numPr>
          <w:ilvl w:val="4"/>
          <w:numId w:val="1"/>
        </w:numPr>
        <w:rPr/>
      </w:pPr>
      <w:r>
        <w:rPr/>
        <w:t>Fit exposed connections accurately together to form hairline joints.</w:t>
      </w:r>
    </w:p>
    <w:p>
      <w:pPr>
        <w:pStyle w:val="ART"/>
        <w:numPr>
          <w:ilvl w:val="3"/>
          <w:numId w:val="1"/>
        </w:numPr>
        <w:ind w:hanging="0" w:left="0"/>
        <w:rPr/>
      </w:pPr>
      <w:r>
        <w:rPr/>
        <w:t>INSTALLATION OF GLASS-FIBER-REINFORCED PLASTIC GRATINGS</w:t>
      </w:r>
    </w:p>
    <w:p>
      <w:pPr>
        <w:pStyle w:val="PR1"/>
        <w:numPr>
          <w:ilvl w:val="4"/>
          <w:numId w:val="1"/>
        </w:numPr>
        <w:rPr/>
      </w:pPr>
      <w:r>
        <w:rPr/>
        <w:t>Comply with manufacturer's written instructions for installing gratings. Use manufacturer's standard stainless steel anchor clips and hold-down devices for bolted connections.</w:t>
      </w:r>
    </w:p>
    <w:p>
      <w:pPr>
        <w:pStyle w:val="EOS"/>
        <w:rPr/>
      </w:pPr>
      <w:r>
        <w:rPr/>
        <w:t>END OF SECTION 067413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FIBERGLASS REINFORCED GRATINGS</w:t>
          </w:r>
        </w:p>
      </w:tc>
      <w:tc>
        <w:tcPr>
          <w:tcW w:w="1872" w:type="dxa"/>
          <w:tcBorders/>
        </w:tcPr>
        <w:p>
          <w:pPr>
            <w:pStyle w:val="RJUST"/>
            <w:rPr/>
          </w:pPr>
          <w:r>
            <w:rPr>
              <w:rStyle w:val="NUM"/>
            </w:rPr>
            <w:t>067413</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7413"/>
    <w:docVar w:name="MF95" w:val="06522"/>
    <w:docVar w:name="MFOrigin" w:val="MF04"/>
    <w:docVar w:name="SectionID" w:val="1777"/>
    <w:docVar w:name="SpecType" w:val="MasterSpec"/>
    <w:docVar w:name="Version" w:val="1589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7413&amp;ver=09-01-21&amp;format=FL&amp;sid=15898&amp;utm_source=MasterSpec&amp;utm_medium=Word" TargetMode="External"/><Relationship Id="rId3" Type="http://schemas.openxmlformats.org/officeDocument/2006/relationships/hyperlink" Target="http://www.specagent.com/LookUp/?ulid=9050&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2022-09-26T01:47:00Z</dcterms:created>
  <dc:creator>Deltek, Inc.</dc:creator>
  <dc:description/>
  <cp:keywords>BAS-12345-MS80</cp:keywords>
  <dc:language>zh-CN</dc:language>
  <cp:lastModifiedBy>Janice Nacional</cp:lastModifiedBy>
  <dcterms:modified xsi:type="dcterms:W3CDTF">2022-09-26T01:47:00Z</dcterms:modified>
  <cp:revision>2</cp:revision>
  <dc:subject>FIBERGLASS REINFORCED GRATINGS</dc:subject>
  <dc:title>SECTION 067413 - FIBERGLASS REINFORCED GRATINGS</dc:title>
</cp:coreProperties>
</file>