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084213</w:t>
      </w:r>
      <w:r>
        <w:rPr/>
        <w:t xml:space="preserve"> - </w:t>
      </w:r>
      <w:r>
        <w:rPr>
          <w:rStyle w:val="NAM"/>
        </w:rPr>
        <w:t>ALUMINUM-FRAMED ENTRANCES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v4, LEED v4.1, IgCC/ASHRAE 189.1,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Aluminum-framed entrance door systems.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084226 "All-Glass Entrances" for systems without aluminum support framing.</w:t>
      </w:r>
    </w:p>
    <w:p>
      <w:pPr>
        <w:pStyle w:val="PR2"/>
        <w:numPr>
          <w:ilvl w:val="5"/>
          <w:numId w:val="1"/>
        </w:numPr>
        <w:rPr/>
      </w:pPr>
      <w:r>
        <w:rPr/>
        <w:t>Section 081216 "Aluminum Frames" for interior aluminum framing.</w:t>
      </w:r>
    </w:p>
    <w:p>
      <w:pPr>
        <w:pStyle w:val="ART"/>
        <w:numPr>
          <w:ilvl w:val="3"/>
          <w:numId w:val="1"/>
        </w:numPr>
        <w:ind w:hanging="0" w:left="0"/>
        <w:rPr/>
      </w:pPr>
      <w:r>
        <w:rPr/>
        <w:t>ALLOWANCES</w:t>
      </w:r>
    </w:p>
    <w:p>
      <w:pPr>
        <w:pStyle w:val="CMT"/>
        <w:rPr/>
      </w:pPr>
      <w:r>
        <w:rPr/>
        <w:t>Retain this article if products and Work included in this Section are covered by lump-sum, unit-cost, quantity, or testing and inspection allowances.</w:t>
      </w:r>
    </w:p>
    <w:p>
      <w:pPr>
        <w:pStyle w:val="PR1"/>
        <w:numPr>
          <w:ilvl w:val="4"/>
          <w:numId w:val="1"/>
        </w:numPr>
        <w:rPr/>
      </w:pPr>
      <w:r>
        <w:rPr/>
        <w:t>See Section 012100 "Allowances" for description of allowances affecting items specified in this Section.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Aluminum-framed entrance door systems.</w:t>
      </w:r>
    </w:p>
    <w:p>
      <w:pPr>
        <w:pStyle w:val="PR1"/>
        <w:numPr>
          <w:ilvl w:val="4"/>
          <w:numId w:val="1"/>
        </w:numPr>
        <w:rPr/>
      </w:pPr>
      <w:r>
        <w:rPr/>
        <w:t>Product Data Submittals: For each product.</w:t>
      </w:r>
    </w:p>
    <w:p>
      <w:pPr>
        <w:pStyle w:val="PR2"/>
        <w:numPr>
          <w:ilvl w:val="5"/>
          <w:numId w:val="1"/>
        </w:numPr>
        <w:spacing w:before="240" w:after="0"/>
        <w:rPr/>
      </w:pPr>
      <w:r>
        <w:rPr/>
        <w:t>Construction details, material descriptions, dimensions of individual components and profiles, and finishes.</w:t>
      </w:r>
    </w:p>
    <w:p>
      <w:pPr>
        <w:pStyle w:val="PR2"/>
        <w:numPr>
          <w:ilvl w:val="5"/>
          <w:numId w:val="1"/>
        </w:numPr>
        <w:rPr/>
      </w:pPr>
      <w:r>
        <w:rPr/>
        <w:t>Operating characteristics, electrical characteristics, and furnished accessories.</w:t>
      </w:r>
    </w:p>
    <w:p>
      <w:pPr>
        <w:pStyle w:val="PR1"/>
        <w:numPr>
          <w:ilvl w:val="4"/>
          <w:numId w:val="1"/>
        </w:numPr>
        <w:rPr/>
      </w:pPr>
      <w:r>
        <w:rPr/>
        <w:t>Shop Drawings:</w:t>
      </w:r>
    </w:p>
    <w:p>
      <w:pPr>
        <w:pStyle w:val="PR2"/>
        <w:numPr>
          <w:ilvl w:val="5"/>
          <w:numId w:val="1"/>
        </w:numPr>
        <w:spacing w:before="240" w:after="0"/>
        <w:rPr/>
      </w:pPr>
      <w:r>
        <w:rPr/>
        <w:t>Plans, elevations, sections, full-size details, and attachments to other work.</w:t>
      </w:r>
    </w:p>
    <w:p>
      <w:pPr>
        <w:pStyle w:val="PR2"/>
        <w:numPr>
          <w:ilvl w:val="5"/>
          <w:numId w:val="1"/>
        </w:numPr>
        <w:rPr/>
      </w:pPr>
      <w:r>
        <w:rPr/>
        <w:t>Details of provisions for assembly expansion and contraction and for draining moisture occurring within the assembly to the exterior.</w:t>
      </w:r>
    </w:p>
    <w:p>
      <w:pPr>
        <w:pStyle w:val="PR2"/>
        <w:numPr>
          <w:ilvl w:val="5"/>
          <w:numId w:val="1"/>
        </w:numPr>
        <w:rPr/>
      </w:pPr>
      <w:r>
        <w:rPr/>
        <w:t>Full-size isometric details of each type of vertical-to-horizontal intersection of aluminum-framed entrance door systems, showing the following:</w:t>
      </w:r>
    </w:p>
    <w:p>
      <w:pPr>
        <w:pStyle w:val="PR3"/>
        <w:numPr>
          <w:ilvl w:val="6"/>
          <w:numId w:val="1"/>
        </w:numPr>
        <w:spacing w:before="240" w:after="0"/>
        <w:rPr/>
      </w:pPr>
      <w:r>
        <w:rPr/>
        <w:t>Joinery, including concealed welds.</w:t>
      </w:r>
    </w:p>
    <w:p>
      <w:pPr>
        <w:pStyle w:val="PR3"/>
        <w:numPr>
          <w:ilvl w:val="6"/>
          <w:numId w:val="1"/>
        </w:numPr>
        <w:rPr/>
      </w:pPr>
      <w:r>
        <w:rPr/>
        <w:t>Anchorage.</w:t>
      </w:r>
    </w:p>
    <w:p>
      <w:pPr>
        <w:pStyle w:val="PR3"/>
        <w:numPr>
          <w:ilvl w:val="6"/>
          <w:numId w:val="1"/>
        </w:numPr>
        <w:rPr/>
      </w:pPr>
      <w:r>
        <w:rPr/>
        <w:t>Expansion provisions.</w:t>
      </w:r>
    </w:p>
    <w:p>
      <w:pPr>
        <w:pStyle w:val="PR3"/>
        <w:numPr>
          <w:ilvl w:val="6"/>
          <w:numId w:val="1"/>
        </w:numPr>
        <w:rPr/>
      </w:pPr>
      <w:r>
        <w:rPr/>
        <w:t>Glazing.</w:t>
      </w:r>
    </w:p>
    <w:p>
      <w:pPr>
        <w:pStyle w:val="PR3"/>
        <w:numPr>
          <w:ilvl w:val="6"/>
          <w:numId w:val="1"/>
        </w:numPr>
        <w:rPr/>
      </w:pPr>
      <w:r>
        <w:rPr/>
        <w:t>Flashing and drainage.</w:t>
      </w:r>
    </w:p>
    <w:p>
      <w:pPr>
        <w:pStyle w:val="PR2"/>
        <w:numPr>
          <w:ilvl w:val="5"/>
          <w:numId w:val="1"/>
        </w:numPr>
        <w:spacing w:before="240" w:after="0"/>
        <w:rPr/>
      </w:pPr>
      <w:r>
        <w:rPr/>
        <w:t>Connection to and continuity with adjacent thermal, weather, air, and vapor barriers.</w:t>
      </w:r>
    </w:p>
    <w:p>
      <w:pPr>
        <w:pStyle w:val="PR2"/>
        <w:numPr>
          <w:ilvl w:val="5"/>
          <w:numId w:val="1"/>
        </w:numPr>
        <w:rPr/>
      </w:pPr>
      <w:r>
        <w:rPr/>
        <w:t>Point-to-point wiring diagrams showing the following:</w:t>
      </w:r>
    </w:p>
    <w:p>
      <w:pPr>
        <w:pStyle w:val="PR3"/>
        <w:numPr>
          <w:ilvl w:val="6"/>
          <w:numId w:val="1"/>
        </w:numPr>
        <w:spacing w:before="240" w:after="0"/>
        <w:rPr/>
      </w:pPr>
      <w:r>
        <w:rPr/>
        <w:t>Power requirements for each electrically operated door hardware.</w:t>
      </w:r>
    </w:p>
    <w:p>
      <w:pPr>
        <w:pStyle w:val="PR3"/>
        <w:numPr>
          <w:ilvl w:val="6"/>
          <w:numId w:val="1"/>
        </w:numPr>
        <w:rPr/>
      </w:pPr>
      <w:r>
        <w:rPr/>
        <w:t>Location and types of switches, signal device, conduit sizes, and number and size of wires.</w:t>
      </w:r>
    </w:p>
    <w:p>
      <w:pPr>
        <w:pStyle w:val="PR2"/>
        <w:numPr>
          <w:ilvl w:val="5"/>
          <w:numId w:val="1"/>
        </w:numPr>
        <w:spacing w:before="240" w:after="0"/>
        <w:rPr/>
      </w:pPr>
      <w:r>
        <w:rPr/>
        <w:t>&lt;</w:t>
      </w:r>
      <w:r>
        <w:rPr>
          <w:b/>
        </w:rPr>
        <w:t>Insert requirements</w:t>
      </w:r>
      <w:r>
        <w:rPr/>
        <w:t>&gt;.</w:t>
      </w:r>
    </w:p>
    <w:p>
      <w:pPr>
        <w:pStyle w:val="PR2"/>
        <w:numPr>
          <w:ilvl w:val="5"/>
          <w:numId w:val="1"/>
        </w:numPr>
        <w:rPr/>
      </w:pPr>
      <w:r>
        <w:rPr/>
        <w:t>Signed and sealed by the qualified professional engineer responsible for their preparation.</w:t>
      </w:r>
    </w:p>
    <w:p>
      <w:pPr>
        <w:pStyle w:val="CMT"/>
        <w:rPr/>
      </w:pPr>
      <w:r>
        <w:rPr/>
        <w:t>Retain "Samples for Initial Selection" or "Samples for Verification" Paragraph below, or both.</w:t>
      </w:r>
    </w:p>
    <w:p>
      <w:pPr>
        <w:pStyle w:val="PR1"/>
        <w:numPr>
          <w:ilvl w:val="4"/>
          <w:numId w:val="1"/>
        </w:numPr>
        <w:rPr/>
      </w:pPr>
      <w:r>
        <w:rPr/>
        <w:t>Samples for Initial Selection: Manufacturer's standard color sheets, showing full range of available colors for each type of exposed finish.</w:t>
      </w:r>
    </w:p>
    <w:p>
      <w:pPr>
        <w:pStyle w:val="PR1"/>
        <w:numPr>
          <w:ilvl w:val="4"/>
          <w:numId w:val="1"/>
        </w:numPr>
        <w:rPr/>
      </w:pPr>
      <w:r>
        <w:rPr/>
        <w:t>Samples for Verification: Actual sample of finished products for each type of exposed finish.</w:t>
      </w:r>
    </w:p>
    <w:p>
      <w:pPr>
        <w:pStyle w:val="PR2"/>
        <w:numPr>
          <w:ilvl w:val="5"/>
          <w:numId w:val="1"/>
        </w:numPr>
        <w:spacing w:before="240" w:after="0"/>
        <w:rPr/>
      </w:pPr>
      <w:r>
        <w:rPr/>
        <w:t>Size: [</w:t>
      </w:r>
      <w:r>
        <w:rPr>
          <w:b/>
        </w:rPr>
        <w:t>Manufacturers' standard size</w:t>
      </w:r>
      <w:r>
        <w:rPr/>
        <w:t>] &lt;</w:t>
      </w:r>
      <w:r>
        <w:rPr>
          <w:b/>
        </w:rPr>
        <w:t>Insert size</w:t>
      </w:r>
      <w:r>
        <w:rPr/>
        <w:t>&gt;.</w:t>
      </w:r>
    </w:p>
    <w:p>
      <w:pPr>
        <w:pStyle w:val="CMT"/>
        <w:rPr/>
      </w:pPr>
      <w:r>
        <w:rPr/>
        <w:t>Retain "Fabrication Sample" Paragraph below to verify details of assembly.</w:t>
      </w:r>
    </w:p>
    <w:p>
      <w:pPr>
        <w:pStyle w:val="PR1"/>
        <w:numPr>
          <w:ilvl w:val="4"/>
          <w:numId w:val="1"/>
        </w:numPr>
        <w:rPr/>
      </w:pPr>
      <w:r>
        <w:rPr/>
        <w:t xml:space="preserve">Fabrication Sample: Of each vertical-to-horizontal intersection of assemblies, made from </w:t>
      </w:r>
      <w:r>
        <w:rPr>
          <w:rStyle w:val="IP"/>
        </w:rPr>
        <w:t>12-inch</w:t>
      </w:r>
      <w:r>
        <w:rPr>
          <w:rStyle w:val="SI"/>
        </w:rPr>
        <w:t xml:space="preserve"> (300-mm)</w:t>
      </w:r>
      <w:r>
        <w:rPr/>
        <w:t xml:space="preserve"> lengths of full-size components and showing details of the following:</w:t>
      </w:r>
    </w:p>
    <w:p>
      <w:pPr>
        <w:pStyle w:val="PR2"/>
        <w:numPr>
          <w:ilvl w:val="5"/>
          <w:numId w:val="1"/>
        </w:numPr>
        <w:spacing w:before="240" w:after="0"/>
        <w:rPr/>
      </w:pPr>
      <w:r>
        <w:rPr/>
        <w:t>Joinery, including concealed welds.</w:t>
      </w:r>
    </w:p>
    <w:p>
      <w:pPr>
        <w:pStyle w:val="PR2"/>
        <w:numPr>
          <w:ilvl w:val="5"/>
          <w:numId w:val="1"/>
        </w:numPr>
        <w:rPr/>
      </w:pPr>
      <w:r>
        <w:rPr/>
        <w:t>Anchorage.</w:t>
      </w:r>
    </w:p>
    <w:p>
      <w:pPr>
        <w:pStyle w:val="PR2"/>
        <w:numPr>
          <w:ilvl w:val="5"/>
          <w:numId w:val="1"/>
        </w:numPr>
        <w:rPr/>
      </w:pPr>
      <w:r>
        <w:rPr/>
        <w:t>Expansion provisions.</w:t>
      </w:r>
    </w:p>
    <w:p>
      <w:pPr>
        <w:pStyle w:val="PR2"/>
        <w:numPr>
          <w:ilvl w:val="5"/>
          <w:numId w:val="1"/>
        </w:numPr>
        <w:rPr/>
      </w:pPr>
      <w:r>
        <w:rPr/>
        <w:t>Glazing.</w:t>
      </w:r>
    </w:p>
    <w:p>
      <w:pPr>
        <w:pStyle w:val="PR2"/>
        <w:numPr>
          <w:ilvl w:val="5"/>
          <w:numId w:val="1"/>
        </w:numPr>
        <w:rPr/>
      </w:pPr>
      <w:r>
        <w:rPr/>
        <w:t>Flashing and drainage.</w:t>
      </w:r>
    </w:p>
    <w:p>
      <w:pPr>
        <w:pStyle w:val="PR1"/>
        <w:numPr>
          <w:ilvl w:val="4"/>
          <w:numId w:val="1"/>
        </w:numPr>
        <w:rPr/>
      </w:pPr>
      <w:r>
        <w:rPr/>
        <w:t>Entrance Door Hardware Schedule: Prepared by or under supervision of supplier, detailing fabrication and assembly of entrance door hardware, as well as procedures and diagrams. Coordinate final entrance door hardware schedule with doors, frames, and related work to ensure proper size, thickness, hand, function, and finish of entrance door hardware.</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aluminum-framed entrances and storefront systems, including analysis data signed and sealed by the qualified professional engineer responsible for their preparation.</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sealants.&gt;</w:t>
        </w:r>
      </w:hyperlink>
    </w:p>
    <w:p>
      <w:pPr>
        <w:pStyle w:val="PR2"/>
        <w:numPr>
          <w:ilvl w:val="5"/>
          <w:numId w:val="1"/>
        </w:numPr>
        <w:rPr/>
      </w:pPr>
      <w:hyperlink r:id="rId5">
        <w:r>
          <w:rPr>
            <w:rStyle w:val="Hyperlink"/>
          </w:rPr>
          <w:t>&lt;Double click to insert sustainable design text for recycled content.&gt;</w:t>
        </w:r>
      </w:hyperlink>
    </w:p>
    <w:p>
      <w:pPr>
        <w:pStyle w:val="PR2"/>
        <w:numPr>
          <w:ilvl w:val="5"/>
          <w:numId w:val="1"/>
        </w:numPr>
        <w:rPr/>
      </w:pPr>
      <w:hyperlink r:id="rId6">
        <w:r>
          <w:rPr>
            <w:rStyle w:val="Hyperlink"/>
          </w:rPr>
          <w:t>&lt;Double click to insert sustainable design text for regional materials.&gt;</w:t>
        </w:r>
      </w:hyperlink>
    </w:p>
    <w:p>
      <w:pPr>
        <w:pStyle w:val="PR2"/>
        <w:numPr>
          <w:ilvl w:val="5"/>
          <w:numId w:val="1"/>
        </w:numPr>
        <w:rPr/>
      </w:pPr>
      <w:hyperlink r:id="rId7">
        <w:r>
          <w:rPr>
            <w:rStyle w:val="Hyperlink"/>
          </w:rPr>
          <w:t>&lt;Double click to insert sustainable design text for EPDs and HPDs.&gt;</w:t>
        </w:r>
      </w:hyperlink>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Energy Performance Certificates: For aluminum-framed entrance door systems, accessories, and components, from manufacturer.</w:t>
      </w:r>
    </w:p>
    <w:p>
      <w:pPr>
        <w:pStyle w:val="PR2"/>
        <w:numPr>
          <w:ilvl w:val="5"/>
          <w:numId w:val="1"/>
        </w:numPr>
        <w:spacing w:before="240" w:after="0"/>
        <w:rPr/>
      </w:pPr>
      <w:r>
        <w:rPr/>
        <w:t>Basis for Certification: NFRC-certified energy performance values for each aluminum-framed entrance.</w:t>
      </w:r>
    </w:p>
    <w:p>
      <w:pPr>
        <w:pStyle w:val="PR1"/>
        <w:numPr>
          <w:ilvl w:val="4"/>
          <w:numId w:val="1"/>
        </w:numPr>
        <w:rPr/>
      </w:pPr>
      <w:r>
        <w:rPr/>
        <w:t>Product Test Reports: For aluminum-framed entrance door systems, for tests performed by [</w:t>
      </w:r>
      <w:r>
        <w:rPr>
          <w:b/>
        </w:rPr>
        <w:t>a qualified testing agency</w:t>
      </w:r>
      <w:r>
        <w:rPr/>
        <w:t>] [</w:t>
      </w:r>
      <w:r>
        <w:rPr>
          <w:b/>
        </w:rPr>
        <w:t>manufacturer and witnessed by a qualified testing agency</w:t>
      </w:r>
      <w:r>
        <w:rPr/>
        <w:t>].</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 For aluminum-framed entrance door systems.</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PR1"/>
        <w:numPr>
          <w:ilvl w:val="4"/>
          <w:numId w:val="1"/>
        </w:numPr>
        <w:rPr/>
      </w:pPr>
      <w:r>
        <w:rPr/>
        <w:t>Qualification Statements:</w:t>
      </w:r>
    </w:p>
    <w:p>
      <w:pPr>
        <w:pStyle w:val="CMT"/>
        <w:rPr/>
      </w:pPr>
      <w:r>
        <w:rPr/>
        <w:t>Retain second option in subparagraph below if retaining "Egress Door Inspections" Subparagraph in "Field Quality Control" Article.</w:t>
      </w:r>
    </w:p>
    <w:p>
      <w:pPr>
        <w:pStyle w:val="PR2"/>
        <w:numPr>
          <w:ilvl w:val="5"/>
          <w:numId w:val="1"/>
        </w:numPr>
        <w:spacing w:before="240" w:after="0"/>
        <w:rPr/>
      </w:pPr>
      <w:r>
        <w:rPr/>
        <w:t>For Installer[</w:t>
      </w:r>
      <w:r>
        <w:rPr>
          <w:b/>
        </w:rPr>
        <w:t> and field testing agency</w:t>
      </w:r>
      <w:r>
        <w:rPr/>
        <w:t>][</w:t>
      </w:r>
      <w:r>
        <w:rPr>
          <w:b/>
        </w:rPr>
        <w:t> and egress door inspector</w:t>
      </w:r>
      <w:r>
        <w:rPr/>
        <w:t>].</w:t>
      </w:r>
    </w:p>
    <w:p>
      <w:pPr>
        <w:pStyle w:val="PR1"/>
        <w:numPr>
          <w:ilvl w:val="4"/>
          <w:numId w:val="1"/>
        </w:numPr>
        <w:rPr/>
      </w:pPr>
      <w:r>
        <w:rPr/>
        <w:t>Delegated Design Engineer Qualifications: For aluminum-framed entrance and storefront systems.</w:t>
      </w:r>
    </w:p>
    <w:p>
      <w:pPr>
        <w:pStyle w:val="PR1"/>
        <w:numPr>
          <w:ilvl w:val="4"/>
          <w:numId w:val="1"/>
        </w:numPr>
        <w:rPr/>
      </w:pPr>
      <w:r>
        <w:rPr/>
        <w:t>Sample Warranties: For aluminum-framed entrance door systems.</w:t>
      </w:r>
    </w:p>
    <w:p>
      <w:pPr>
        <w:pStyle w:val="ART"/>
        <w:numPr>
          <w:ilvl w:val="3"/>
          <w:numId w:val="1"/>
        </w:numPr>
        <w:ind w:hanging="0" w:left="0"/>
        <w:rPr/>
      </w:pPr>
      <w:r>
        <w:rPr/>
        <w:t>CLOSEOUT SUBMITTALS</w:t>
      </w:r>
    </w:p>
    <w:p>
      <w:pPr>
        <w:pStyle w:val="PR1"/>
        <w:numPr>
          <w:ilvl w:val="4"/>
          <w:numId w:val="1"/>
        </w:numPr>
        <w:rPr/>
      </w:pPr>
      <w:r>
        <w:rPr/>
        <w:t>Operation and Maintenance Data: For aluminum-framed entrance door systems.</w:t>
      </w:r>
    </w:p>
    <w:p>
      <w:pPr>
        <w:pStyle w:val="ART"/>
        <w:numPr>
          <w:ilvl w:val="3"/>
          <w:numId w:val="1"/>
        </w:numPr>
        <w:ind w:hanging="0" w:left="0"/>
        <w:rPr/>
      </w:pPr>
      <w:r>
        <w:rPr/>
        <w:t>QUALITY ASSURANCE</w:t>
      </w:r>
    </w:p>
    <w:p>
      <w:pPr>
        <w:pStyle w:val="PR1"/>
        <w:numPr>
          <w:ilvl w:val="4"/>
          <w:numId w:val="1"/>
        </w:numPr>
        <w:rPr/>
      </w:pPr>
      <w:r>
        <w:rPr/>
        <w:t>Installer Qualifications:</w:t>
      </w:r>
    </w:p>
    <w:p>
      <w:pPr>
        <w:pStyle w:val="CMT"/>
        <w:rPr/>
      </w:pPr>
      <w:r>
        <w:rPr/>
        <w:t>Retain one of four subparagraphs below.</w:t>
      </w:r>
    </w:p>
    <w:p>
      <w:pPr>
        <w:pStyle w:val="PR2"/>
        <w:numPr>
          <w:ilvl w:val="5"/>
          <w:numId w:val="1"/>
        </w:numPr>
        <w:spacing w:before="240" w:after="0"/>
        <w:rPr/>
      </w:pPr>
      <w:r>
        <w:rPr/>
        <w:t>Fabricator of products.</w:t>
      </w:r>
    </w:p>
    <w:p>
      <w:pPr>
        <w:pStyle w:val="PR2"/>
        <w:numPr>
          <w:ilvl w:val="5"/>
          <w:numId w:val="1"/>
        </w:numPr>
        <w:rPr/>
      </w:pPr>
      <w:r>
        <w:rPr/>
        <w:t>Entity that employs installers and supervisors who are trained and approved by manufacturer.</w:t>
      </w:r>
    </w:p>
    <w:p>
      <w:pPr>
        <w:pStyle w:val="PR2"/>
        <w:numPr>
          <w:ilvl w:val="5"/>
          <w:numId w:val="1"/>
        </w:numPr>
        <w:rPr/>
      </w:pPr>
      <w:r>
        <w:rPr/>
        <w:t>Authorized representative who is trained and approved by manufacturer.</w:t>
      </w:r>
    </w:p>
    <w:p>
      <w:pPr>
        <w:pStyle w:val="PR2"/>
        <w:numPr>
          <w:ilvl w:val="5"/>
          <w:numId w:val="1"/>
        </w:numPr>
        <w:rPr/>
      </w:pPr>
      <w:r>
        <w:rPr/>
        <w:t>Entity that is certified under the North American Contractor Certification Program (NACC) and that employs installers and supervisors who are trained and approved by manufacturer[</w:t>
      </w:r>
      <w:r>
        <w:rPr>
          <w:b/>
        </w:rPr>
        <w:t> and who are certified under the Architectural Glass and Metal Technician (AGMT) certification program</w:t>
      </w:r>
      <w:r>
        <w:rPr/>
        <w:t>].</w:t>
      </w:r>
    </w:p>
    <w:p>
      <w:pPr>
        <w:pStyle w:val="PR1"/>
        <w:numPr>
          <w:ilvl w:val="4"/>
          <w:numId w:val="1"/>
        </w:numPr>
        <w:rPr/>
      </w:pPr>
      <w:r>
        <w:rPr/>
        <w:t>Delegated Design Engineer Qualifications: A professional engineer who is legally qualified to practice in [</w:t>
      </w:r>
      <w:r>
        <w:rPr>
          <w:b/>
        </w:rPr>
        <w:t>state</w:t>
      </w:r>
      <w:r>
        <w:rPr/>
        <w:t>] &lt;</w:t>
      </w:r>
      <w:r>
        <w:rPr>
          <w:b/>
        </w:rPr>
        <w:t>Insert jurisdiction</w:t>
      </w:r>
      <w:r>
        <w:rPr/>
        <w:t>&gt; where Project is located and who is experienced in providing engineering services of the type indicated.</w:t>
      </w:r>
    </w:p>
    <w:p>
      <w:pPr>
        <w:pStyle w:val="CMT"/>
        <w:rPr/>
      </w:pPr>
      <w:r>
        <w:rPr/>
        <w:t>Retain "Testing Agency Qualifications" Paragraph below if Contractor selects testing agency or if Contractor is required to provide services of a qualified testing agency in "Field Quality Control" Article. Qualification requirements are in addition to those specified in Section 014000 "Quality Requirements."</w:t>
      </w:r>
    </w:p>
    <w:p>
      <w:pPr>
        <w:pStyle w:val="PR1"/>
        <w:numPr>
          <w:ilvl w:val="4"/>
          <w:numId w:val="1"/>
        </w:numPr>
        <w:rPr/>
      </w:pPr>
      <w:r>
        <w:rPr/>
        <w:t>Testing Agency Qualifications: Qualified in accordance with ASTM E699 for testing indicated[</w:t>
      </w:r>
      <w:r>
        <w:rPr>
          <w:b/>
        </w:rPr>
        <w:t> and accredited by IAS or ILAC Mutual Recognition Arrangement as complying with ISO/IEC 17025</w:t>
      </w:r>
      <w:r>
        <w:rPr/>
        <w:t>] and acceptable to Owner and Architect.</w:t>
      </w:r>
    </w:p>
    <w:p>
      <w:pPr>
        <w:pStyle w:val="CMT"/>
        <w:rPr/>
      </w:pPr>
      <w:r>
        <w:rPr/>
        <w:t>Retain "Egress Door Inspector Qualifications" Paragraph below if retaining "Egress Door Inspections" Subparagraph in "Field Quality Control" Article.</w:t>
      </w:r>
    </w:p>
    <w:p>
      <w:pPr>
        <w:pStyle w:val="PR1"/>
        <w:numPr>
          <w:ilvl w:val="4"/>
          <w:numId w:val="1"/>
        </w:numPr>
        <w:rPr/>
      </w:pPr>
      <w:r>
        <w:rPr/>
        <w:t>Egress Door Inspector Qualifications:</w:t>
      </w:r>
    </w:p>
    <w:p>
      <w:pPr>
        <w:pStyle w:val="PR2"/>
        <w:numPr>
          <w:ilvl w:val="5"/>
          <w:numId w:val="1"/>
        </w:numPr>
        <w:spacing w:before="240" w:after="0"/>
        <w:rPr/>
      </w:pPr>
      <w:r>
        <w:rPr/>
        <w:t>Inspector for field quality-control inspections of egress door assemblies to comply with qualifications set forth in NFPA 101, Ch. 7 "Means of Egress," Section "Means of Egress Components," Article "Inspection of Door Openings."</w:t>
      </w:r>
    </w:p>
    <w:p>
      <w:pPr>
        <w:pStyle w:val="CMT"/>
        <w:rPr/>
      </w:pPr>
      <w:r>
        <w:rPr/>
        <w:t>Retain subparagraph below if requiring egress door inspectors to be certified under DHI's certification program. Verify, with authorities having jurisdiction, if other DHI certifications are acceptable.</w:t>
      </w:r>
    </w:p>
    <w:p>
      <w:pPr>
        <w:pStyle w:val="PR2"/>
        <w:numPr>
          <w:ilvl w:val="5"/>
          <w:numId w:val="1"/>
        </w:numPr>
        <w:rPr/>
      </w:pPr>
      <w:r>
        <w:rPr/>
        <w:t>Inspector for field quality-control inspections of egress door assemblies to be certified under DHI's certification program as a Fire and Egress Door Assembly Inspector (FDAI) or a Certified Fire and Egress Door Assembly Inspector (CFDAI).</w:t>
      </w:r>
    </w:p>
    <w:p>
      <w:pPr>
        <w:pStyle w:val="PR1"/>
        <w:numPr>
          <w:ilvl w:val="4"/>
          <w:numId w:val="1"/>
        </w:numPr>
        <w:rPr/>
      </w:pPr>
      <w:r>
        <w:rPr/>
        <w:t>Product Options: Information on Drawings and in Specifications establishes requirements for aesthetic effects and performance characteristics of assemblies. Aesthetic effects are indicated by dimensions, arrangements, alignment, and profiles of components and assemblies as they relate to sightlines, to one another, and to adjoining construction.</w:t>
      </w:r>
    </w:p>
    <w:p>
      <w:pPr>
        <w:pStyle w:val="CMT"/>
        <w:rPr/>
      </w:pPr>
      <w:r>
        <w:rPr/>
        <w:t>Retain subparagraph below or revise to suit Project.</w:t>
      </w:r>
    </w:p>
    <w:p>
      <w:pPr>
        <w:pStyle w:val="PR2"/>
        <w:numPr>
          <w:ilvl w:val="5"/>
          <w:numId w:val="1"/>
        </w:numPr>
        <w:spacing w:before="240" w:after="0"/>
        <w:rPr/>
      </w:pPr>
      <w:r>
        <w:rPr/>
        <w:t>Do not change intended aesthetic effects, as judged solely by Architect, except with Architect's approval. If changes are proposed, submit comprehensive explanatory data to Architect for review.</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under prevailing local laws.</w:t>
      </w:r>
    </w:p>
    <w:p>
      <w:pPr>
        <w:pStyle w:val="PR1"/>
        <w:numPr>
          <w:ilvl w:val="4"/>
          <w:numId w:val="1"/>
        </w:numPr>
        <w:rPr/>
      </w:pPr>
      <w:r>
        <w:rPr/>
        <w:t>Special Warranty: [</w:t>
      </w:r>
      <w:r>
        <w:rPr>
          <w:b/>
        </w:rPr>
        <w:t>Manufacturer agrees</w:t>
      </w:r>
      <w:r>
        <w:rPr/>
        <w:t>] [</w:t>
      </w:r>
      <w:r>
        <w:rPr>
          <w:b/>
        </w:rPr>
        <w:t>Installer agrees</w:t>
      </w:r>
      <w:r>
        <w:rPr/>
        <w:t>] [</w:t>
      </w:r>
      <w:r>
        <w:rPr>
          <w:b/>
        </w:rPr>
        <w:t>Manufacturer and Installer agree</w:t>
      </w:r>
      <w:r>
        <w:rPr/>
        <w:t>] to repair or replace components of aluminum-framed entrance door systems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&lt;</w:t>
      </w:r>
      <w:r>
        <w:rPr>
          <w:b/>
        </w:rPr>
        <w:t>Insert type of failure</w:t>
      </w:r>
      <w:r>
        <w:rPr/>
        <w:t>&gt;.</w:t>
      </w:r>
    </w:p>
    <w:p>
      <w:pPr>
        <w:pStyle w:val="PR3"/>
        <w:numPr>
          <w:ilvl w:val="6"/>
          <w:numId w:val="1"/>
        </w:numPr>
        <w:rPr/>
      </w:pPr>
      <w:r>
        <w:rPr/>
        <w:t>Faulty operation of &lt;</w:t>
      </w:r>
      <w:r>
        <w:rPr>
          <w:b/>
        </w:rPr>
        <w:t>Insert components</w:t>
      </w:r>
      <w:r>
        <w:rPr/>
        <w:t>&gt;.</w:t>
      </w:r>
    </w:p>
    <w:p>
      <w:pPr>
        <w:pStyle w:val="CMT"/>
        <w:rPr/>
      </w:pPr>
      <w:r>
        <w:rPr/>
        <w:t>Delete option in first subparagraph below if retaining "Special Finish Warranty, Factory-Applied Finishes" or "Special Finish Warranty, Anodized Finishes" Paragraph below</w:t>
      </w:r>
    </w:p>
    <w:p>
      <w:pPr>
        <w:pStyle w:val="PR3"/>
        <w:numPr>
          <w:ilvl w:val="6"/>
          <w:numId w:val="1"/>
        </w:numPr>
        <w:rPr/>
      </w:pPr>
      <w:r>
        <w:rPr/>
        <w:t>Deterioration of metals[</w:t>
      </w:r>
      <w:r>
        <w:rPr>
          <w:b/>
        </w:rPr>
        <w:t>, metal finishes,</w:t>
      </w:r>
      <w:r>
        <w:rPr/>
        <w:t>] and other materials beyond normal [</w:t>
      </w:r>
      <w:r>
        <w:rPr>
          <w:b/>
        </w:rPr>
        <w:t>weathering</w:t>
      </w:r>
      <w:r>
        <w:rPr/>
        <w:t>] [</w:t>
      </w:r>
      <w:r>
        <w:rPr>
          <w:b/>
        </w:rPr>
        <w:t>use</w:t>
      </w:r>
      <w:r>
        <w:rPr/>
        <w:t>].</w:t>
      </w:r>
    </w:p>
    <w:p>
      <w:pPr>
        <w:pStyle w:val="PR3"/>
        <w:numPr>
          <w:ilvl w:val="6"/>
          <w:numId w:val="1"/>
        </w:numPr>
        <w:rPr/>
      </w:pPr>
      <w:r>
        <w:rPr/>
        <w:t>&lt;</w:t>
      </w:r>
      <w:r>
        <w:rPr>
          <w:b/>
        </w:rPr>
        <w:t>Insert conditions relating to specified products</w:t>
      </w:r>
      <w:r>
        <w:rPr/>
        <w:t>&gt;.</w:t>
      </w:r>
    </w:p>
    <w:p>
      <w:pPr>
        <w:pStyle w:val="PR3"/>
        <w:numPr>
          <w:ilvl w:val="6"/>
          <w:numId w:val="1"/>
        </w:numPr>
        <w:rPr/>
      </w:pPr>
      <w:r>
        <w:rPr/>
        <w:t>&lt;</w:t>
      </w:r>
      <w:r>
        <w:rPr>
          <w:b/>
        </w:rPr>
        <w:t>Insert failure modes</w:t>
      </w:r>
      <w:r>
        <w:rPr/>
        <w:t>&gt;.</w:t>
      </w:r>
    </w:p>
    <w:p>
      <w:pPr>
        <w:pStyle w:val="CMT"/>
        <w:rPr/>
      </w:pPr>
      <w:r>
        <w:rPr/>
        <w:t>Verify warranty periods for aluminum-framed entrance door systems.</w:t>
      </w:r>
    </w:p>
    <w:p>
      <w:pPr>
        <w:pStyle w:val="PR2"/>
        <w:numPr>
          <w:ilvl w:val="5"/>
          <w:numId w:val="1"/>
        </w:numPr>
        <w:spacing w:before="240" w:after="0"/>
        <w:rPr/>
      </w:pPr>
      <w:r>
        <w:rPr/>
        <w:t>Warranty Period: [</w:t>
      </w:r>
      <w:r>
        <w:rPr>
          <w:b/>
        </w:rPr>
        <w:t>Two</w:t>
      </w:r>
      <w:r>
        <w:rPr/>
        <w:t>] [</w:t>
      </w:r>
      <w:r>
        <w:rPr>
          <w:b/>
        </w:rPr>
        <w:t>Five</w:t>
      </w:r>
      <w:r>
        <w:rPr/>
        <w:t>] [</w:t>
      </w:r>
      <w:r>
        <w:rPr>
          <w:b/>
        </w:rPr>
        <w:t>10</w:t>
      </w:r>
      <w:r>
        <w:rPr/>
        <w:t>] &lt;</w:t>
      </w:r>
      <w:r>
        <w:rPr>
          <w:b/>
        </w:rPr>
        <w:t>Insert number</w:t>
      </w:r>
      <w:r>
        <w:rPr/>
        <w:t>&gt; years from date of Substantial Completion.</w:t>
      </w:r>
    </w:p>
    <w:p>
      <w:pPr>
        <w:pStyle w:val="PR1"/>
        <w:numPr>
          <w:ilvl w:val="4"/>
          <w:numId w:val="1"/>
        </w:numPr>
        <w:rPr/>
      </w:pPr>
      <w:r>
        <w:rPr/>
        <w:t>Special Finish Warranty, Factory-Applied Finishes: Standard form in which manufacturer agrees to repair finishes or replace aluminum that shows evidence of deterioration of factory-applied finishes within specified warranty period.</w:t>
      </w:r>
    </w:p>
    <w:p>
      <w:pPr>
        <w:pStyle w:val="CMT"/>
        <w:rPr/>
      </w:pPr>
      <w:r>
        <w:rPr/>
        <w:t>Retain first subparagraph below for factory-painted finishes. Coordinate color 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checking, peeling, or failure of paint to adhere to bare metal.</w:t>
      </w:r>
    </w:p>
    <w:p>
      <w:pPr>
        <w:pStyle w:val="CMT"/>
        <w:rPr/>
      </w:pPr>
      <w:r>
        <w:rPr/>
        <w:t>Coordinate "Warranty Period" Subparagraph below with "Aluminum Finishes" Article. AAMA 2604 is intended to represent five years of performance; AAMA 2605 is intended to represent 10 years of performance. Some manufacturers also offer a 20-year warranty.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w:t>
      </w:r>
      <w:r>
        <w:rPr>
          <w:b/>
        </w:rPr>
        <w:t>20</w:t>
      </w:r>
      <w:r>
        <w:rPr/>
        <w:t>] &lt;</w:t>
      </w:r>
      <w:r>
        <w:rPr>
          <w:b/>
        </w:rPr>
        <w:t>Insert number</w:t>
      </w:r>
      <w:r>
        <w:rPr/>
        <w:t>&gt; years from date of Substantial Completion.</w:t>
      </w:r>
    </w:p>
    <w:p>
      <w:pPr>
        <w:pStyle w:val="PR1"/>
        <w:numPr>
          <w:ilvl w:val="4"/>
          <w:numId w:val="1"/>
        </w:numPr>
        <w:rPr/>
      </w:pPr>
      <w:r>
        <w:rPr/>
        <w:t>Special Finish Warranty, Anodized Finishes: Standard form in which manufacturer agrees to repair finishes or replace aluminum that shows evidence of deterioration of anodized finishes within specified warranty period.</w:t>
      </w:r>
    </w:p>
    <w:p>
      <w:pPr>
        <w:pStyle w:val="CMT"/>
        <w:rPr/>
      </w:pPr>
      <w:r>
        <w:rPr/>
        <w:t>Retain first subparagraph below for anodized finishes. Coordinate color 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E units when tested in accordance with ASTM D 2244.</w:t>
      </w:r>
    </w:p>
    <w:p>
      <w:pPr>
        <w:pStyle w:val="PR3"/>
        <w:numPr>
          <w:ilvl w:val="6"/>
          <w:numId w:val="1"/>
        </w:numPr>
        <w:rPr/>
      </w:pPr>
      <w:r>
        <w:rPr/>
        <w:t>Chalking in excess of a No. 8 rating when tested in accordance with ASTM D 4214.</w:t>
      </w:r>
    </w:p>
    <w:p>
      <w:pPr>
        <w:pStyle w:val="PR3"/>
        <w:numPr>
          <w:ilvl w:val="6"/>
          <w:numId w:val="1"/>
        </w:numPr>
        <w:rPr/>
      </w:pPr>
      <w:r>
        <w:rPr/>
        <w:t>Cracking, peeling, or chipping.</w:t>
      </w:r>
    </w:p>
    <w:p>
      <w:pPr>
        <w:pStyle w:val="CMT"/>
        <w:rPr/>
      </w:pPr>
      <w:r>
        <w:rPr/>
        <w:t>Coordinate "Warranty Period" Subparagraph below with "Aluminum Finishes" Article. Five years is standard for Class I anodized finishes, although a few manufacturers offer a 10- or 20-year warranty. Class II anodized finishes often carry less than a five-year warranty.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all components of aluminum-framed entrance door systems, including framing and accessories, from single manufacturer.</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aluminum-framed entrance door systems.</w:t>
      </w:r>
    </w:p>
    <w:p>
      <w:pPr>
        <w:pStyle w:val="PR1"/>
        <w:numPr>
          <w:ilvl w:val="4"/>
          <w:numId w:val="1"/>
        </w:numPr>
        <w:rPr/>
      </w:pPr>
      <w:r>
        <w:rPr/>
        <w:t>General Performance: Comply with performance requirements specified, as determined by testing of aluminum-framed entrance door systems representing those indicated for this Project without failure due to defective manufacture, fabrication, installation, or other defects in construction.</w:t>
      </w:r>
    </w:p>
    <w:p>
      <w:pPr>
        <w:pStyle w:val="PR1"/>
        <w:numPr>
          <w:ilvl w:val="4"/>
          <w:numId w:val="1"/>
        </w:numPr>
        <w:rPr/>
      </w:pPr>
      <w:r>
        <w:rPr/>
        <w:t>Structural Loads:</w:t>
      </w:r>
    </w:p>
    <w:p>
      <w:pPr>
        <w:pStyle w:val="CMT"/>
        <w:rPr/>
      </w:pPr>
      <w:r>
        <w:rPr/>
        <w:t>Usually indicate on Drawings design loads determined by Project's structural engineer. Verify requirements of authorities having jurisdiction. See the Evaluations for additional information.</w:t>
      </w:r>
    </w:p>
    <w:p>
      <w:pPr>
        <w:pStyle w:val="PR2"/>
        <w:numPr>
          <w:ilvl w:val="5"/>
          <w:numId w:val="1"/>
        </w:numPr>
        <w:spacing w:before="240" w:after="0"/>
        <w:rPr/>
      </w:pPr>
      <w:r>
        <w:rPr/>
        <w:t>Wind Loads: As indicated on Drawings.</w:t>
      </w:r>
    </w:p>
    <w:p>
      <w:pPr>
        <w:pStyle w:val="PR2"/>
        <w:numPr>
          <w:ilvl w:val="5"/>
          <w:numId w:val="1"/>
        </w:numPr>
        <w:rPr/>
      </w:pPr>
      <w:r>
        <w:rPr/>
        <w:t>Other Design Loads: [</w:t>
      </w:r>
      <w:r>
        <w:rPr>
          <w:b/>
        </w:rPr>
        <w:t>As indicated on Drawings</w:t>
      </w:r>
      <w:r>
        <w:rPr/>
        <w:t>] &lt;</w:t>
      </w:r>
      <w:r>
        <w:rPr>
          <w:b/>
        </w:rPr>
        <w:t>Insert loads</w:t>
      </w:r>
      <w:r>
        <w:rPr/>
        <w:t>&gt;.</w:t>
      </w:r>
    </w:p>
    <w:p>
      <w:pPr>
        <w:pStyle w:val="CMT"/>
        <w:rPr/>
      </w:pPr>
      <w:r>
        <w:rPr/>
        <w:t>ASTM E330/E330M test method evaluates structural performance of aluminum-framed entrance door systems and not structural performance of contiguous construction.</w:t>
      </w:r>
    </w:p>
    <w:p>
      <w:pPr>
        <w:pStyle w:val="PR1"/>
        <w:numPr>
          <w:ilvl w:val="4"/>
          <w:numId w:val="1"/>
        </w:numPr>
        <w:rPr/>
      </w:pPr>
      <w:r>
        <w:rPr/>
        <w:t>Structural: Test in accordance with ASTM E330/E330M as follows:</w:t>
      </w:r>
    </w:p>
    <w:p>
      <w:pPr>
        <w:pStyle w:val="PR2"/>
        <w:numPr>
          <w:ilvl w:val="5"/>
          <w:numId w:val="1"/>
        </w:numPr>
        <w:spacing w:before="240" w:after="0"/>
        <w:rPr/>
      </w:pPr>
      <w:r>
        <w:rPr/>
        <w:t>When tested at [</w:t>
      </w:r>
      <w:r>
        <w:rPr>
          <w:b/>
        </w:rPr>
        <w:t>150</w:t>
      </w:r>
      <w:r>
        <w:rPr/>
        <w:t>] &lt;</w:t>
      </w:r>
      <w:r>
        <w:rPr>
          <w:b/>
        </w:rPr>
        <w:t>Insert number</w:t>
      </w:r>
      <w:r>
        <w:rPr/>
        <w:t>&gt; percent of positive and negative wind-load design pressures, entrance doors, including anchorage, do not evidence material failures, structural distress, or permanent deformation of main framing members exceeding [</w:t>
      </w:r>
      <w:r>
        <w:rPr>
          <w:b/>
        </w:rPr>
        <w:t>0.2</w:t>
      </w:r>
      <w:r>
        <w:rPr/>
        <w:t>] &lt;</w:t>
      </w:r>
      <w:r>
        <w:rPr>
          <w:b/>
        </w:rPr>
        <w:t>Insert number</w:t>
      </w:r>
      <w:r>
        <w:rPr/>
        <w:t>&gt; percent of span.</w:t>
      </w:r>
    </w:p>
    <w:p>
      <w:pPr>
        <w:pStyle w:val="CMT"/>
        <w:rPr/>
      </w:pPr>
      <w:r>
        <w:rPr/>
        <w:t>Minimum test duration in accordance with ASTM E330/E330M is 10 seconds, which is historically U.S. practice.</w:t>
      </w:r>
    </w:p>
    <w:p>
      <w:pPr>
        <w:pStyle w:val="PR2"/>
        <w:numPr>
          <w:ilvl w:val="5"/>
          <w:numId w:val="1"/>
        </w:numPr>
        <w:rPr/>
      </w:pPr>
      <w:r>
        <w:rPr/>
        <w:t>Test Durations: As required by design wind velocity, but not less than [</w:t>
      </w:r>
      <w:r>
        <w:rPr>
          <w:b/>
        </w:rPr>
        <w:t>10</w:t>
      </w:r>
      <w:r>
        <w:rPr/>
        <w:t>] &lt;</w:t>
      </w:r>
      <w:r>
        <w:rPr>
          <w:b/>
        </w:rPr>
        <w:t>Insert number</w:t>
      </w:r>
      <w:r>
        <w:rPr/>
        <w:t>&gt; seconds.</w:t>
      </w:r>
    </w:p>
    <w:p>
      <w:pPr>
        <w:pStyle w:val="CMT"/>
        <w:rPr/>
      </w:pPr>
      <w:r>
        <w:rPr/>
        <w:t>Retain "Water Penetration under Static Pressure" Paragraph below for static-pressure method, which is most frequently specified. For water-penetration tests, AAMA 501 states that a static-air-pressure differential of 20 percent of wind-load design pressure provides satisfactory performance in most parts of the United States. Locations where high winds and heavy rains occur simultaneously require higher test-pressure differences.</w:t>
      </w:r>
    </w:p>
    <w:p>
      <w:pPr>
        <w:pStyle w:val="PR1"/>
        <w:numPr>
          <w:ilvl w:val="4"/>
          <w:numId w:val="1"/>
        </w:numPr>
        <w:rPr/>
      </w:pPr>
      <w:r>
        <w:rPr/>
        <w:t>Water Penetration under Static Pressure: Test in accordance with ASTM E331 as follows:</w:t>
      </w:r>
    </w:p>
    <w:p>
      <w:pPr>
        <w:pStyle w:val="PR2"/>
        <w:numPr>
          <w:ilvl w:val="5"/>
          <w:numId w:val="1"/>
        </w:numPr>
        <w:spacing w:before="240" w:after="0"/>
        <w:rPr/>
      </w:pPr>
      <w:r>
        <w:rPr/>
        <w:t>No evidence of water penetration through fixed glazing and framing areas of entrance doors when tested according to a minimum static-air-pressure differential of 20 percent of positive wind-load design pressure, but not less than [</w:t>
      </w:r>
      <w:r>
        <w:rPr>
          <w:rStyle w:val="IP"/>
          <w:b/>
        </w:rPr>
        <w:t>6.24 lbf/sq. ft.</w:t>
      </w:r>
      <w:r>
        <w:rPr>
          <w:rStyle w:val="SI"/>
          <w:b/>
        </w:rPr>
        <w:t xml:space="preserve"> (300 Pa)</w:t>
      </w:r>
      <w:r>
        <w:rPr/>
        <w:t>] [</w:t>
      </w:r>
      <w:r>
        <w:rPr>
          <w:rStyle w:val="IP"/>
          <w:b/>
        </w:rPr>
        <w:t>10 lbf/sq. ft.</w:t>
      </w:r>
      <w:r>
        <w:rPr>
          <w:rStyle w:val="SI"/>
          <w:b/>
        </w:rPr>
        <w:t xml:space="preserve"> (480 Pa)</w:t>
      </w:r>
      <w:r>
        <w:rPr/>
        <w:t>] [</w:t>
      </w:r>
      <w:r>
        <w:rPr>
          <w:rStyle w:val="IP"/>
          <w:b/>
        </w:rPr>
        <w:t>15 lbf/sq. ft.</w:t>
      </w:r>
      <w:r>
        <w:rPr>
          <w:rStyle w:val="SI"/>
          <w:b/>
        </w:rPr>
        <w:t xml:space="preserve"> (720 Pa)</w:t>
      </w:r>
      <w:r>
        <w:rPr/>
        <w:t>] &lt;</w:t>
      </w:r>
      <w:r>
        <w:rPr>
          <w:b/>
        </w:rPr>
        <w:t>Insert value</w:t>
      </w:r>
      <w:r>
        <w:rPr/>
        <w:t>&gt;.</w:t>
      </w:r>
    </w:p>
    <w:p>
      <w:pPr>
        <w:pStyle w:val="CMT"/>
        <w:rPr/>
      </w:pPr>
      <w:r>
        <w:rPr/>
        <w:t>The IECC and ASHRAE/IES 90.1 require that all fenestration be certified and labeled by manufacturer for energy performance for thermal transmittance (U-factor), Solar Heat-Gain Coefficient (SHGC), air leakage, and visible transmittance (VT). Energy performance for fenestration products is typically determined for the whole fenestration product or system, which includes the framing, glazing, and the spacer. Coordinate the values selected for energy performance with the glazing selections in Section 088000 "Glazing," and confirm that manufacturer can meet the specified energy performance and can provide certification and labeling. Verify requirements of authorities having jurisdiction.</w:t>
      </w:r>
    </w:p>
    <w:p>
      <w:pPr>
        <w:pStyle w:val="PR1"/>
        <w:numPr>
          <w:ilvl w:val="4"/>
          <w:numId w:val="1"/>
        </w:numPr>
        <w:rPr/>
      </w:pPr>
      <w:r>
        <w:rPr/>
        <w:t>Energy Performance: Certified and labeled by manufacturer for energy performance as follows:</w:t>
      </w:r>
    </w:p>
    <w:p>
      <w:pPr>
        <w:pStyle w:val="CMT"/>
        <w:rPr/>
      </w:pPr>
      <w:r>
        <w:rPr/>
        <w:t>Options in subparagraphs below are examples only; revise values to suit climate zone of building envelope as defined by the IECC. Testing for visible light transmittance (VT) is specified in Section 088000 "Glazing."</w:t>
      </w:r>
    </w:p>
    <w:p>
      <w:pPr>
        <w:pStyle w:val="PR2"/>
        <w:numPr>
          <w:ilvl w:val="5"/>
          <w:numId w:val="1"/>
        </w:numPr>
        <w:spacing w:before="240" w:after="0"/>
        <w:rPr/>
      </w:pPr>
      <w:r>
        <w:rPr/>
        <w:t>Thermal Transmittance (U-factor):</w:t>
      </w:r>
    </w:p>
    <w:p>
      <w:pPr>
        <w:pStyle w:val="CMT"/>
        <w:rPr/>
      </w:pPr>
      <w:r>
        <w:rPr/>
        <w:t>Retain "Fixed Glazing and Framing Areas" Subparagraph below for sidelights and/or transoms.</w:t>
      </w:r>
    </w:p>
    <w:p>
      <w:pPr>
        <w:pStyle w:val="PR3"/>
        <w:numPr>
          <w:ilvl w:val="6"/>
          <w:numId w:val="1"/>
        </w:numPr>
        <w:spacing w:before="240" w:after="0"/>
        <w:rPr/>
      </w:pPr>
      <w:r>
        <w:rPr/>
        <w:t>Fixed Glazing and Framing Areas: U-factor for the system of not more than [</w:t>
      </w:r>
      <w:r>
        <w:rPr>
          <w:rStyle w:val="IP"/>
          <w:b/>
        </w:rPr>
        <w:t>0.41 Btu/sq. ft. x h x deg F</w:t>
      </w:r>
      <w:r>
        <w:rPr>
          <w:rStyle w:val="SI"/>
          <w:b/>
        </w:rPr>
        <w:t xml:space="preserve"> (2.33 W/sq. m x K)</w:t>
      </w:r>
      <w:r>
        <w:rPr/>
        <w:t>] [</w:t>
      </w:r>
      <w:r>
        <w:rPr>
          <w:rStyle w:val="IP"/>
          <w:b/>
        </w:rPr>
        <w:t>0.45 Btu/sq. ft. x h x deg F</w:t>
      </w:r>
      <w:r>
        <w:rPr>
          <w:rStyle w:val="SI"/>
          <w:b/>
        </w:rPr>
        <w:t xml:space="preserve"> (2.55 W/sq. m x K)</w:t>
      </w:r>
      <w:r>
        <w:rPr/>
        <w:t>] [</w:t>
      </w:r>
      <w:r>
        <w:rPr>
          <w:rStyle w:val="IP"/>
          <w:b/>
        </w:rPr>
        <w:t>0.57 Btu/sq. ft. x h x deg F</w:t>
      </w:r>
      <w:r>
        <w:rPr>
          <w:rStyle w:val="SI"/>
          <w:b/>
        </w:rPr>
        <w:t xml:space="preserve"> (3.23 W/sq. m x K)</w:t>
      </w:r>
      <w:r>
        <w:rPr/>
        <w:t>] [</w:t>
      </w:r>
      <w:r>
        <w:rPr>
          <w:rStyle w:val="IP"/>
          <w:b/>
        </w:rPr>
        <w:t>0.69 Btu/sq. ft. x h x deg F</w:t>
      </w:r>
      <w:r>
        <w:rPr>
          <w:rStyle w:val="SI"/>
          <w:b/>
        </w:rPr>
        <w:t xml:space="preserve"> (3.92 W/sq. m x K)</w:t>
      </w:r>
      <w:r>
        <w:rPr/>
        <w:t>] &lt;</w:t>
      </w:r>
      <w:r>
        <w:rPr>
          <w:b/>
        </w:rPr>
        <w:t>Insert value</w:t>
      </w:r>
      <w:r>
        <w:rPr/>
        <w:t>&gt; as determined in accordance with NFRC 100.</w:t>
      </w:r>
    </w:p>
    <w:p>
      <w:pPr>
        <w:pStyle w:val="PR3"/>
        <w:numPr>
          <w:ilvl w:val="6"/>
          <w:numId w:val="1"/>
        </w:numPr>
        <w:rPr/>
      </w:pPr>
      <w:r>
        <w:rPr/>
        <w:t>Entrance Doors: U-factor of not more than [</w:t>
      </w:r>
      <w:r>
        <w:rPr>
          <w:rStyle w:val="IP"/>
          <w:b/>
        </w:rPr>
        <w:t>0.68 Btu/sq. ft. x h x deg F</w:t>
      </w:r>
      <w:r>
        <w:rPr>
          <w:rStyle w:val="SI"/>
          <w:b/>
        </w:rPr>
        <w:t xml:space="preserve"> (3.86 W/sq. m x K)</w:t>
      </w:r>
      <w:r>
        <w:rPr/>
        <w:t>] [</w:t>
      </w:r>
      <w:r>
        <w:rPr>
          <w:rStyle w:val="IP"/>
          <w:b/>
        </w:rPr>
        <w:t>0.77 Btu/sq. ft. x h x deg F</w:t>
      </w:r>
      <w:r>
        <w:rPr>
          <w:rStyle w:val="SI"/>
          <w:b/>
        </w:rPr>
        <w:t xml:space="preserve"> (4.37 W/sq. m x K)</w:t>
      </w:r>
      <w:r>
        <w:rPr/>
        <w:t>] [</w:t>
      </w:r>
      <w:r>
        <w:rPr>
          <w:rStyle w:val="IP"/>
          <w:b/>
        </w:rPr>
        <w:t>0.83 Btu/sq. ft. x h x deg F</w:t>
      </w:r>
      <w:r>
        <w:rPr>
          <w:rStyle w:val="SI"/>
          <w:b/>
        </w:rPr>
        <w:t xml:space="preserve"> (4.71 W/sq. m x K)</w:t>
      </w:r>
      <w:r>
        <w:rPr/>
        <w:t>] [</w:t>
      </w:r>
      <w:r>
        <w:rPr>
          <w:rStyle w:val="IP"/>
          <w:b/>
        </w:rPr>
        <w:t>1.10 Btu/sq. ft. x h x deg F</w:t>
      </w:r>
      <w:r>
        <w:rPr>
          <w:rStyle w:val="SI"/>
          <w:b/>
        </w:rPr>
        <w:t xml:space="preserve"> (6.253 W/sq. m x K)</w:t>
      </w:r>
      <w:r>
        <w:rPr/>
        <w:t>] &lt;</w:t>
      </w:r>
      <w:r>
        <w:rPr>
          <w:b/>
        </w:rPr>
        <w:t>Insert value</w:t>
      </w:r>
      <w:r>
        <w:rPr/>
        <w:t>&gt; as determined in accordance with NFRC 100.</w:t>
      </w:r>
    </w:p>
    <w:p>
      <w:pPr>
        <w:pStyle w:val="PR2"/>
        <w:numPr>
          <w:ilvl w:val="5"/>
          <w:numId w:val="1"/>
        </w:numPr>
        <w:spacing w:before="240" w:after="0"/>
        <w:rPr/>
      </w:pPr>
      <w:r>
        <w:rPr/>
        <w:t>Solar Heat-Gain Coefficient (SHGC):</w:t>
      </w:r>
    </w:p>
    <w:p>
      <w:pPr>
        <w:pStyle w:val="CMT"/>
        <w:rPr/>
      </w:pPr>
      <w:r>
        <w:rPr/>
        <w:t>Retain "Fixed Glazing and Framing Areas" Subparagraph below for sidelights and/or transoms.</w:t>
      </w:r>
    </w:p>
    <w:p>
      <w:pPr>
        <w:pStyle w:val="PR3"/>
        <w:numPr>
          <w:ilvl w:val="6"/>
          <w:numId w:val="1"/>
        </w:numPr>
        <w:spacing w:before="240" w:after="0"/>
        <w:rPr/>
      </w:pPr>
      <w:r>
        <w:rPr/>
        <w:t>Fixed Glazing and Framing Areas: SHGC for the system of not more than [</w:t>
      </w:r>
      <w:r>
        <w:rPr>
          <w:b/>
        </w:rPr>
        <w:t>0.26</w:t>
      </w:r>
      <w:r>
        <w:rPr/>
        <w:t>] [</w:t>
      </w:r>
      <w:r>
        <w:rPr>
          <w:b/>
        </w:rPr>
        <w:t>0.35</w:t>
      </w:r>
      <w:r>
        <w:rPr/>
        <w:t>] [</w:t>
      </w:r>
      <w:r>
        <w:rPr>
          <w:b/>
        </w:rPr>
        <w:t>0.40</w:t>
      </w:r>
      <w:r>
        <w:rPr/>
        <w:t>] [</w:t>
      </w:r>
      <w:r>
        <w:rPr>
          <w:b/>
        </w:rPr>
        <w:t>0.45</w:t>
      </w:r>
      <w:r>
        <w:rPr/>
        <w:t>] &lt;</w:t>
      </w:r>
      <w:r>
        <w:rPr>
          <w:b/>
        </w:rPr>
        <w:t>Insert value</w:t>
      </w:r>
      <w:r>
        <w:rPr/>
        <w:t>&gt; as determined in accordance with NFRC 200.</w:t>
      </w:r>
    </w:p>
    <w:p>
      <w:pPr>
        <w:pStyle w:val="PR3"/>
        <w:numPr>
          <w:ilvl w:val="6"/>
          <w:numId w:val="1"/>
        </w:numPr>
        <w:rPr/>
      </w:pPr>
      <w:r>
        <w:rPr/>
        <w:t>Entrance Doors: SHGC of not more than [</w:t>
      </w:r>
      <w:r>
        <w:rPr>
          <w:b/>
        </w:rPr>
        <w:t>0.22</w:t>
      </w:r>
      <w:r>
        <w:rPr/>
        <w:t>] [</w:t>
      </w:r>
      <w:r>
        <w:rPr>
          <w:b/>
        </w:rPr>
        <w:t>0.25</w:t>
      </w:r>
      <w:r>
        <w:rPr/>
        <w:t>] [</w:t>
      </w:r>
      <w:r>
        <w:rPr>
          <w:b/>
        </w:rPr>
        <w:t>0.35</w:t>
      </w:r>
      <w:r>
        <w:rPr/>
        <w:t>] [</w:t>
      </w:r>
      <w:r>
        <w:rPr>
          <w:b/>
        </w:rPr>
        <w:t>0.40</w:t>
      </w:r>
      <w:r>
        <w:rPr/>
        <w:t>] [</w:t>
      </w:r>
      <w:r>
        <w:rPr>
          <w:b/>
        </w:rPr>
        <w:t>0.45</w:t>
      </w:r>
      <w:r>
        <w:rPr/>
        <w:t>] &lt;</w:t>
      </w:r>
      <w:r>
        <w:rPr>
          <w:b/>
        </w:rPr>
        <w:t>Insert value</w:t>
      </w:r>
      <w:r>
        <w:rPr/>
        <w:t>&gt; as determined in accordance with NFRC 200.</w:t>
      </w:r>
    </w:p>
    <w:p>
      <w:pPr>
        <w:pStyle w:val="PR2"/>
        <w:numPr>
          <w:ilvl w:val="5"/>
          <w:numId w:val="1"/>
        </w:numPr>
        <w:spacing w:before="240" w:after="0"/>
        <w:rPr/>
      </w:pPr>
      <w:r>
        <w:rPr/>
        <w:t>Air Leakage:</w:t>
      </w:r>
    </w:p>
    <w:p>
      <w:pPr>
        <w:pStyle w:val="CMT"/>
        <w:rPr/>
      </w:pPr>
      <w:r>
        <w:rPr/>
        <w:t>Retain first option in first subparagraph below for maximum air-leakage rate based on ASHRAE/IES 90.1 requirements. Static-air-pressure differential of 1.57 lbf/sq. ft. (75 Pa) in second option, equivalent to a 25-mph (40-km/h) wind, is ASHRAE/IES 90.1 minimum, which is adequate for many buildings. Air-pressure differential in third option is equivalent to a 50-mph (80-km/h) wind and is recommended for buildings in which greater control of air quality or humidity is required.</w:t>
      </w:r>
    </w:p>
    <w:p>
      <w:pPr>
        <w:pStyle w:val="CMT"/>
        <w:rPr/>
      </w:pPr>
      <w:r>
        <w:rPr/>
        <w:t>Retain "Fixed Glazing and Framing Areas" Subparagraph below for sidelights and/or transoms.</w:t>
      </w:r>
    </w:p>
    <w:p>
      <w:pPr>
        <w:pStyle w:val="PR3"/>
        <w:numPr>
          <w:ilvl w:val="6"/>
          <w:numId w:val="1"/>
        </w:numPr>
        <w:spacing w:before="240" w:after="0"/>
        <w:rPr/>
      </w:pPr>
      <w:r>
        <w:rPr/>
        <w:t>Fixed Glazing and Framing Areas: Air leakage for the system of not more than [</w:t>
      </w:r>
      <w:r>
        <w:rPr>
          <w:rStyle w:val="IP"/>
          <w:b/>
        </w:rPr>
        <w:t>0.06 cfm/sq. ft.</w:t>
      </w:r>
      <w:r>
        <w:rPr>
          <w:rStyle w:val="SI"/>
          <w:b/>
        </w:rPr>
        <w:t xml:space="preserve"> (0.30 L/s per sq. m)</w:t>
      </w:r>
      <w:r>
        <w:rPr/>
        <w:t>] &lt;</w:t>
      </w:r>
      <w:r>
        <w:rPr>
          <w:b/>
        </w:rPr>
        <w:t>Insert value</w:t>
      </w:r>
      <w:r>
        <w:rPr/>
        <w:t>&gt; at a static-air-pressure differential of [</w:t>
      </w:r>
      <w:r>
        <w:rPr>
          <w:rStyle w:val="IP"/>
          <w:b/>
        </w:rPr>
        <w:t>1.57 lbf/sq. ft.</w:t>
      </w:r>
      <w:r>
        <w:rPr>
          <w:rStyle w:val="SI"/>
          <w:b/>
        </w:rPr>
        <w:t xml:space="preserve"> (75 Pa)</w:t>
      </w:r>
      <w:r>
        <w:rPr/>
        <w:t>] [</w:t>
      </w:r>
      <w:r>
        <w:rPr>
          <w:rStyle w:val="IP"/>
          <w:b/>
        </w:rPr>
        <w:t>6.24 lbf/sq. ft.</w:t>
      </w:r>
      <w:r>
        <w:rPr>
          <w:rStyle w:val="SI"/>
          <w:b/>
        </w:rPr>
        <w:t xml:space="preserve"> (300 Pa)</w:t>
      </w:r>
      <w:r>
        <w:rPr/>
        <w:t>] &lt;</w:t>
      </w:r>
      <w:r>
        <w:rPr>
          <w:b/>
        </w:rPr>
        <w:t>Insert value</w:t>
      </w:r>
      <w:r>
        <w:rPr/>
        <w:t>&gt; when tested in accordance with ASTM E283.</w:t>
      </w:r>
    </w:p>
    <w:p>
      <w:pPr>
        <w:pStyle w:val="CMT"/>
        <w:rPr/>
      </w:pPr>
      <w:r>
        <w:rPr/>
        <w:t>Below is the maximum air-leakage rate based on the IECC and ASHRAE/IES 90.1 for glazed swinging entrance doors. Retain first subparagraph below if required.</w:t>
      </w:r>
    </w:p>
    <w:p>
      <w:pPr>
        <w:pStyle w:val="PR3"/>
        <w:numPr>
          <w:ilvl w:val="6"/>
          <w:numId w:val="1"/>
        </w:numPr>
        <w:rPr/>
      </w:pPr>
      <w:r>
        <w:rPr/>
        <w:t>Entrance Doors: Air leakage of not more than [</w:t>
      </w:r>
      <w:r>
        <w:rPr>
          <w:rStyle w:val="IP"/>
          <w:b/>
        </w:rPr>
        <w:t>1.0 cfm/sq. ft.</w:t>
      </w:r>
      <w:r>
        <w:rPr>
          <w:rStyle w:val="SI"/>
          <w:b/>
        </w:rPr>
        <w:t xml:space="preserve"> (5.08 L/s per sq. m)</w:t>
      </w:r>
      <w:r>
        <w:rPr/>
        <w:t>] &lt;</w:t>
      </w:r>
      <w:r>
        <w:rPr>
          <w:b/>
        </w:rPr>
        <w:t>Insert value</w:t>
      </w:r>
      <w:r>
        <w:rPr/>
        <w:t xml:space="preserve">&gt; at a static-air-pressure differential of </w:t>
      </w:r>
      <w:r>
        <w:rPr>
          <w:rStyle w:val="IP"/>
        </w:rPr>
        <w:t>1.57 lbf/sq. ft.</w:t>
      </w:r>
      <w:r>
        <w:rPr>
          <w:rStyle w:val="SI"/>
        </w:rPr>
        <w:t xml:space="preserve"> (75 Pa)</w:t>
      </w:r>
      <w:r>
        <w:rPr/>
        <w:t>.</w:t>
      </w:r>
    </w:p>
    <w:p>
      <w:pPr>
        <w:pStyle w:val="PR2"/>
        <w:numPr>
          <w:ilvl w:val="5"/>
          <w:numId w:val="1"/>
        </w:numPr>
        <w:spacing w:before="240" w:after="0"/>
        <w:rPr/>
      </w:pPr>
      <w:r>
        <w:rPr/>
        <w:t>Condensation Resistance Factor (CRF):</w:t>
      </w:r>
    </w:p>
    <w:p>
      <w:pPr>
        <w:pStyle w:val="CMT"/>
        <w:rPr/>
      </w:pPr>
      <w:r>
        <w:rPr/>
        <w:t>Retain "Fixed Glazing and Framing Areas" Subparagraph below for sidelights and/or transoms.</w:t>
      </w:r>
    </w:p>
    <w:p>
      <w:pPr>
        <w:pStyle w:val="PR3"/>
        <w:numPr>
          <w:ilvl w:val="6"/>
          <w:numId w:val="1"/>
        </w:numPr>
        <w:spacing w:before="240" w:after="0"/>
        <w:rPr/>
      </w:pPr>
      <w:r>
        <w:rPr/>
        <w:t>Fixed Glazing and Framing Areas: CRF for the system of not less than [</w:t>
      </w:r>
      <w:r>
        <w:rPr>
          <w:b/>
        </w:rPr>
        <w:t>35</w:t>
      </w:r>
      <w:r>
        <w:rPr/>
        <w:t>] [</w:t>
      </w:r>
      <w:r>
        <w:rPr>
          <w:b/>
        </w:rPr>
        <w:t>55</w:t>
      </w:r>
      <w:r>
        <w:rPr/>
        <w:t>] [</w:t>
      </w:r>
      <w:r>
        <w:rPr>
          <w:b/>
        </w:rPr>
        <w:t>70</w:t>
      </w:r>
      <w:r>
        <w:rPr/>
        <w:t>] &lt;</w:t>
      </w:r>
      <w:r>
        <w:rPr>
          <w:b/>
        </w:rPr>
        <w:t>Insert value</w:t>
      </w:r>
      <w:r>
        <w:rPr/>
        <w:t>&gt; as determined in accordance with AAMA 1503.</w:t>
      </w:r>
    </w:p>
    <w:p>
      <w:pPr>
        <w:pStyle w:val="PR3"/>
        <w:numPr>
          <w:ilvl w:val="6"/>
          <w:numId w:val="1"/>
        </w:numPr>
        <w:rPr/>
      </w:pPr>
      <w:r>
        <w:rPr/>
        <w:t>Entrance Doors: CRF of not less than [</w:t>
      </w:r>
      <w:r>
        <w:rPr>
          <w:b/>
        </w:rPr>
        <w:t>57</w:t>
      </w:r>
      <w:r>
        <w:rPr/>
        <w:t>] [</w:t>
      </w:r>
      <w:r>
        <w:rPr>
          <w:b/>
        </w:rPr>
        <w:t>63</w:t>
      </w:r>
      <w:r>
        <w:rPr/>
        <w:t>] [</w:t>
      </w:r>
      <w:r>
        <w:rPr>
          <w:b/>
        </w:rPr>
        <w:t>68</w:t>
      </w:r>
      <w:r>
        <w:rPr/>
        <w:t>] &lt;</w:t>
      </w:r>
      <w:r>
        <w:rPr>
          <w:b/>
        </w:rPr>
        <w:t>Insert value</w:t>
      </w:r>
      <w:r>
        <w:rPr/>
        <w:t>&gt; as determined in accordance with AAMA 1503.</w:t>
      </w:r>
    </w:p>
    <w:p>
      <w:pPr>
        <w:pStyle w:val="CMT"/>
        <w:rPr/>
      </w:pPr>
      <w:r>
        <w:rPr/>
        <w:t>Retain "Noise Reduction" Paragraph below if required for Project.</w:t>
      </w:r>
    </w:p>
    <w:p>
      <w:pPr>
        <w:pStyle w:val="PR1"/>
        <w:numPr>
          <w:ilvl w:val="4"/>
          <w:numId w:val="1"/>
        </w:numPr>
        <w:rPr/>
      </w:pPr>
      <w:r>
        <w:rPr/>
        <w:t>Noise Reduction: Test in accordance with ASTM E90, with ratings determined by ASTM E1332, as follows.</w:t>
      </w:r>
    </w:p>
    <w:p>
      <w:pPr>
        <w:pStyle w:val="CMT"/>
        <w:rPr/>
      </w:pPr>
      <w:r>
        <w:rPr/>
        <w:t>Ratings in "Outdoor-Indoor Transmission Class" Subparagraph below represent noise reductions based on a sound spectrum with frequencies weighted to correlate with transportation sources (aircraft takeoff, freeway, and railroad passby). The higher the OITC, the more effective the noise reduction.</w:t>
      </w:r>
    </w:p>
    <w:p>
      <w:pPr>
        <w:pStyle w:val="PR2"/>
        <w:numPr>
          <w:ilvl w:val="5"/>
          <w:numId w:val="1"/>
        </w:numPr>
        <w:spacing w:before="240" w:after="0"/>
        <w:rPr/>
      </w:pPr>
      <w:r>
        <w:rPr/>
        <w:t>Outdoor-Indoor Transmission Class: Minimum [</w:t>
      </w:r>
      <w:r>
        <w:rPr>
          <w:b/>
        </w:rPr>
        <w:t>26</w:t>
      </w:r>
      <w:r>
        <w:rPr/>
        <w:t>] [</w:t>
      </w:r>
      <w:r>
        <w:rPr>
          <w:b/>
        </w:rPr>
        <w:t>30</w:t>
      </w:r>
      <w:r>
        <w:rPr/>
        <w:t>] [</w:t>
      </w:r>
      <w:r>
        <w:rPr>
          <w:b/>
        </w:rPr>
        <w:t>34</w:t>
      </w:r>
      <w:r>
        <w:rPr/>
        <w:t>] &lt;</w:t>
      </w:r>
      <w:r>
        <w:rPr>
          <w:b/>
        </w:rPr>
        <w:t>Insert number</w:t>
      </w:r>
      <w:r>
        <w:rPr/>
        <w:t>&gt;.</w:t>
      </w:r>
    </w:p>
    <w:p>
      <w:pPr>
        <w:pStyle w:val="CMT"/>
        <w:rPr/>
      </w:pPr>
      <w:r>
        <w:rPr/>
        <w:t>Retain "Blast Resistance" Paragraph below for aluminum-framed entrances required to resist explosions. Verify requirements with Owner and insert requirements for other blast hazard mitigation testing standards if required.</w:t>
      </w:r>
    </w:p>
    <w:p>
      <w:pPr>
        <w:pStyle w:val="PR1"/>
        <w:numPr>
          <w:ilvl w:val="4"/>
          <w:numId w:val="1"/>
        </w:numPr>
        <w:rPr/>
      </w:pPr>
      <w:r>
        <w:rPr/>
        <w:t>Blast Resistance:</w:t>
      </w:r>
    </w:p>
    <w:p>
      <w:pPr>
        <w:pStyle w:val="CMT"/>
        <w:rPr/>
      </w:pPr>
      <w:r>
        <w:rPr/>
        <w:t>The ratings in "Hazard Rating" and "Performance Condition" subparagraphs below are based on the severity of fragments generated during an airblast test. See the Evaluations.</w:t>
      </w:r>
    </w:p>
    <w:p>
      <w:pPr>
        <w:pStyle w:val="PR2"/>
        <w:numPr>
          <w:ilvl w:val="5"/>
          <w:numId w:val="1"/>
        </w:numPr>
        <w:spacing w:before="240" w:after="0"/>
        <w:rPr/>
      </w:pPr>
      <w:r>
        <w:rPr/>
        <w:t>Hazard Rating: [</w:t>
      </w:r>
      <w:r>
        <w:rPr>
          <w:b/>
        </w:rPr>
        <w:t>No Break</w:t>
      </w:r>
      <w:r>
        <w:rPr/>
        <w:t>] [</w:t>
      </w:r>
      <w:r>
        <w:rPr>
          <w:b/>
        </w:rPr>
        <w:t>No Hazard</w:t>
      </w:r>
      <w:r>
        <w:rPr/>
        <w:t>] [</w:t>
      </w:r>
      <w:r>
        <w:rPr>
          <w:b/>
        </w:rPr>
        <w:t>Minimal Hazard</w:t>
      </w:r>
      <w:r>
        <w:rPr/>
        <w:t>] [</w:t>
      </w:r>
      <w:r>
        <w:rPr>
          <w:b/>
        </w:rPr>
        <w:t>Very Low Hazard</w:t>
      </w:r>
      <w:r>
        <w:rPr/>
        <w:t>] [</w:t>
      </w:r>
      <w:r>
        <w:rPr>
          <w:b/>
        </w:rPr>
        <w:t>Low Hazard</w:t>
      </w:r>
      <w:r>
        <w:rPr/>
        <w:t>] [</w:t>
      </w:r>
      <w:r>
        <w:rPr>
          <w:b/>
        </w:rPr>
        <w:t>High Hazard</w:t>
      </w:r>
      <w:r>
        <w:rPr/>
        <w:t>] in accordance with ASTM F2912.</w:t>
      </w:r>
    </w:p>
    <w:p>
      <w:pPr>
        <w:pStyle w:val="PR2"/>
        <w:numPr>
          <w:ilvl w:val="5"/>
          <w:numId w:val="1"/>
        </w:numPr>
        <w:rPr/>
      </w:pPr>
      <w:r>
        <w:rPr/>
        <w:t>Performance Condition: [</w:t>
      </w:r>
      <w:r>
        <w:rPr>
          <w:b/>
        </w:rPr>
        <w:t>1</w:t>
      </w:r>
      <w:r>
        <w:rPr/>
        <w:t>] [</w:t>
      </w:r>
      <w:r>
        <w:rPr>
          <w:b/>
        </w:rPr>
        <w:t>2</w:t>
      </w:r>
      <w:r>
        <w:rPr/>
        <w:t>] [</w:t>
      </w:r>
      <w:r>
        <w:rPr>
          <w:b/>
        </w:rPr>
        <w:t>3a</w:t>
      </w:r>
      <w:r>
        <w:rPr/>
        <w:t>] [</w:t>
      </w:r>
      <w:r>
        <w:rPr>
          <w:b/>
        </w:rPr>
        <w:t>3b</w:t>
      </w:r>
      <w:r>
        <w:rPr/>
        <w:t>] [</w:t>
      </w:r>
      <w:r>
        <w:rPr>
          <w:b/>
        </w:rPr>
        <w:t>4</w:t>
      </w:r>
      <w:r>
        <w:rPr/>
        <w:t>] [</w:t>
      </w:r>
      <w:r>
        <w:rPr>
          <w:b/>
        </w:rPr>
        <w:t>5</w:t>
      </w:r>
      <w:r>
        <w:rPr/>
        <w:t>] per GSA-TS01.</w:t>
      </w:r>
    </w:p>
    <w:p>
      <w:pPr>
        <w:pStyle w:val="CMT"/>
        <w:rPr/>
      </w:pPr>
      <w:r>
        <w:rPr/>
        <w:t>Retain one of first five paragraphs below for aluminum-framed entrances required to resist bullets. Verify which manufacturers have tested aluminum-framed entrances and can demonstrate compliance. UL 752 is the test most widely referenced by manufacturers.</w:t>
      </w:r>
    </w:p>
    <w:p>
      <w:pPr>
        <w:pStyle w:val="CMT"/>
        <w:rPr/>
      </w:pPr>
      <w:r>
        <w:rPr/>
        <w:t>Retaining first option in "Ballistic Resistance, UL 752" Paragraph below, in addition to one of the level options, requires that products be UL listed with ongoing performance verification by Underwriters Laboratories.</w:t>
      </w:r>
    </w:p>
    <w:p>
      <w:pPr>
        <w:pStyle w:val="PR1"/>
        <w:numPr>
          <w:ilvl w:val="4"/>
          <w:numId w:val="1"/>
        </w:numPr>
        <w:rPr/>
      </w:pPr>
      <w:r>
        <w:rPr/>
        <w:t>Ballistic Resistance, UL 752: [</w:t>
      </w:r>
      <w:r>
        <w:rPr>
          <w:b/>
        </w:rPr>
        <w:t>Listed and labeled as</w:t>
      </w:r>
      <w:r>
        <w:rPr/>
        <w:t>] [</w:t>
      </w:r>
      <w:r>
        <w:rPr>
          <w:b/>
        </w:rPr>
        <w:t>Level 1</w:t>
      </w:r>
      <w:r>
        <w:rPr/>
        <w:t>] [</w:t>
      </w:r>
      <w:r>
        <w:rPr>
          <w:b/>
        </w:rPr>
        <w:t>Level 2</w:t>
      </w:r>
      <w:r>
        <w:rPr/>
        <w:t>] [</w:t>
      </w:r>
      <w:r>
        <w:rPr>
          <w:b/>
        </w:rPr>
        <w:t>Level 3</w:t>
      </w:r>
      <w:r>
        <w:rPr/>
        <w:t>] [</w:t>
      </w:r>
      <w:r>
        <w:rPr>
          <w:b/>
        </w:rPr>
        <w:t>Level 4</w:t>
      </w:r>
      <w:r>
        <w:rPr/>
        <w:t>] [</w:t>
      </w:r>
      <w:r>
        <w:rPr>
          <w:b/>
        </w:rPr>
        <w:t>Level 5</w:t>
      </w:r>
      <w:r>
        <w:rPr/>
        <w:t>] [</w:t>
      </w:r>
      <w:r>
        <w:rPr>
          <w:b/>
        </w:rPr>
        <w:t>Level 6</w:t>
      </w:r>
      <w:r>
        <w:rPr/>
        <w:t>] [</w:t>
      </w:r>
      <w:r>
        <w:rPr>
          <w:b/>
        </w:rPr>
        <w:t>Level 7</w:t>
      </w:r>
      <w:r>
        <w:rPr/>
        <w:t>] [</w:t>
      </w:r>
      <w:r>
        <w:rPr>
          <w:b/>
        </w:rPr>
        <w:t>Level 8</w:t>
      </w:r>
      <w:r>
        <w:rPr/>
        <w:t>] [</w:t>
      </w:r>
      <w:r>
        <w:rPr>
          <w:b/>
        </w:rPr>
        <w:t>Level 9</w:t>
      </w:r>
      <w:r>
        <w:rPr/>
        <w:t>] [</w:t>
      </w:r>
      <w:r>
        <w:rPr>
          <w:b/>
        </w:rPr>
        <w:t>Level 10</w:t>
      </w:r>
      <w:r>
        <w:rPr/>
        <w:t>] [</w:t>
      </w:r>
      <w:r>
        <w:rPr>
          <w:b/>
        </w:rPr>
        <w:t>Level 1-SG</w:t>
      </w:r>
      <w:r>
        <w:rPr/>
        <w:t>] [</w:t>
      </w:r>
      <w:r>
        <w:rPr>
          <w:b/>
        </w:rPr>
        <w:t>Level 2-SG</w:t>
      </w:r>
      <w:r>
        <w:rPr/>
        <w:t>] [</w:t>
      </w:r>
      <w:r>
        <w:rPr>
          <w:b/>
        </w:rPr>
        <w:t>Level 3-SG</w:t>
      </w:r>
      <w:r>
        <w:rPr/>
        <w:t>] [</w:t>
      </w:r>
      <w:r>
        <w:rPr>
          <w:b/>
        </w:rPr>
        <w:t>Level 4-SG</w:t>
      </w:r>
      <w:r>
        <w:rPr/>
        <w:t>] [</w:t>
      </w:r>
      <w:r>
        <w:rPr>
          <w:b/>
        </w:rPr>
        <w:t>Level 5-SG</w:t>
      </w:r>
      <w:r>
        <w:rPr/>
        <w:t>] [</w:t>
      </w:r>
      <w:r>
        <w:rPr>
          <w:b/>
        </w:rPr>
        <w:t>Level 6-SG</w:t>
      </w:r>
      <w:r>
        <w:rPr/>
        <w:t>] [</w:t>
      </w:r>
      <w:r>
        <w:rPr>
          <w:b/>
        </w:rPr>
        <w:t>Level 7-SG</w:t>
      </w:r>
      <w:r>
        <w:rPr/>
        <w:t>] [</w:t>
      </w:r>
      <w:r>
        <w:rPr>
          <w:b/>
        </w:rPr>
        <w:t>Level 8-SG</w:t>
      </w:r>
      <w:r>
        <w:rPr/>
        <w:t>] [</w:t>
      </w:r>
      <w:r>
        <w:rPr>
          <w:b/>
        </w:rPr>
        <w:t>Level 9-SG</w:t>
      </w:r>
      <w:r>
        <w:rPr/>
        <w:t>] [</w:t>
      </w:r>
      <w:r>
        <w:rPr>
          <w:b/>
        </w:rPr>
        <w:t>Level 10-SG</w:t>
      </w:r>
      <w:r>
        <w:rPr/>
        <w:t>] when tested in accordance with UL 752.</w:t>
      </w:r>
    </w:p>
    <w:p>
      <w:pPr>
        <w:pStyle w:val="PR1"/>
        <w:numPr>
          <w:ilvl w:val="4"/>
          <w:numId w:val="1"/>
        </w:numPr>
        <w:rPr/>
      </w:pPr>
      <w:r>
        <w:rPr/>
        <w:t>Ballistic Resistance, ASTM F1233: [</w:t>
      </w:r>
      <w:r>
        <w:rPr>
          <w:b/>
        </w:rPr>
        <w:t>Class/Level HG1</w:t>
      </w:r>
      <w:r>
        <w:rPr/>
        <w:t>] [</w:t>
      </w:r>
      <w:r>
        <w:rPr>
          <w:b/>
        </w:rPr>
        <w:t>Class/Level HG2</w:t>
      </w:r>
      <w:r>
        <w:rPr/>
        <w:t>] [</w:t>
      </w:r>
      <w:r>
        <w:rPr>
          <w:b/>
        </w:rPr>
        <w:t>Class/Level HG3</w:t>
      </w:r>
      <w:r>
        <w:rPr/>
        <w:t>] [</w:t>
      </w:r>
      <w:r>
        <w:rPr>
          <w:b/>
        </w:rPr>
        <w:t>Class/Level HG4</w:t>
      </w:r>
      <w:r>
        <w:rPr/>
        <w:t>] [</w:t>
      </w:r>
      <w:r>
        <w:rPr>
          <w:b/>
        </w:rPr>
        <w:t>Class/Level SMG</w:t>
      </w:r>
      <w:r>
        <w:rPr/>
        <w:t>] [</w:t>
      </w:r>
      <w:r>
        <w:rPr>
          <w:b/>
        </w:rPr>
        <w:t>Class/Level R1</w:t>
      </w:r>
      <w:r>
        <w:rPr/>
        <w:t>] [</w:t>
      </w:r>
      <w:r>
        <w:rPr>
          <w:b/>
        </w:rPr>
        <w:t>Class/Level R2</w:t>
      </w:r>
      <w:r>
        <w:rPr/>
        <w:t>] [</w:t>
      </w:r>
      <w:r>
        <w:rPr>
          <w:b/>
        </w:rPr>
        <w:t>Class/Level R3</w:t>
      </w:r>
      <w:r>
        <w:rPr/>
        <w:t>] [</w:t>
      </w:r>
      <w:r>
        <w:rPr>
          <w:b/>
        </w:rPr>
        <w:t>Class/Level R4-AP</w:t>
      </w:r>
      <w:r>
        <w:rPr/>
        <w:t>] [</w:t>
      </w:r>
      <w:r>
        <w:rPr>
          <w:b/>
        </w:rPr>
        <w:t>Class/Level R5</w:t>
      </w:r>
      <w:r>
        <w:rPr/>
        <w:t>] [</w:t>
      </w:r>
      <w:r>
        <w:rPr>
          <w:b/>
        </w:rPr>
        <w:t>Class/Level SH1</w:t>
      </w:r>
      <w:r>
        <w:rPr/>
        <w:t>] [</w:t>
      </w:r>
      <w:r>
        <w:rPr>
          <w:b/>
        </w:rPr>
        <w:t>Class/Level SH2</w:t>
      </w:r>
      <w:r>
        <w:rPr/>
        <w:t>] when tested in accordance with ASTM F1233.</w:t>
      </w:r>
    </w:p>
    <w:p>
      <w:pPr>
        <w:pStyle w:val="PR1"/>
        <w:numPr>
          <w:ilvl w:val="4"/>
          <w:numId w:val="1"/>
        </w:numPr>
        <w:rPr/>
      </w:pPr>
      <w:r>
        <w:rPr/>
        <w:t>Ballistic Resistance, HPW-TP-0500.03: [</w:t>
      </w:r>
      <w:r>
        <w:rPr>
          <w:b/>
        </w:rPr>
        <w:t>A</w:t>
      </w:r>
      <w:r>
        <w:rPr/>
        <w:t>] [</w:t>
      </w:r>
      <w:r>
        <w:rPr>
          <w:b/>
        </w:rPr>
        <w:t>B</w:t>
      </w:r>
      <w:r>
        <w:rPr/>
        <w:t>] [</w:t>
      </w:r>
      <w:r>
        <w:rPr>
          <w:b/>
        </w:rPr>
        <w:t>C</w:t>
      </w:r>
      <w:r>
        <w:rPr/>
        <w:t>] [</w:t>
      </w:r>
      <w:r>
        <w:rPr>
          <w:b/>
        </w:rPr>
        <w:t>D</w:t>
      </w:r>
      <w:r>
        <w:rPr/>
        <w:t>] [</w:t>
      </w:r>
      <w:r>
        <w:rPr>
          <w:b/>
        </w:rPr>
        <w:t>E</w:t>
      </w:r>
      <w:r>
        <w:rPr/>
        <w:t>] when tested in accordance with HPW-TP-0500.03.</w:t>
      </w:r>
    </w:p>
    <w:p>
      <w:pPr>
        <w:pStyle w:val="PR1"/>
        <w:numPr>
          <w:ilvl w:val="4"/>
          <w:numId w:val="1"/>
        </w:numPr>
        <w:rPr/>
      </w:pPr>
      <w:r>
        <w:rPr/>
        <w:t>Ballistic Resistance, SD-STD-01.01: [</w:t>
      </w:r>
      <w:r>
        <w:rPr>
          <w:b/>
        </w:rPr>
        <w:t>R</w:t>
      </w:r>
      <w:r>
        <w:rPr/>
        <w:t>] [</w:t>
      </w:r>
      <w:r>
        <w:rPr>
          <w:b/>
        </w:rPr>
        <w:t>SH</w:t>
      </w:r>
      <w:r>
        <w:rPr/>
        <w:t>] when tested in accordance with SD-STD-01.01.</w:t>
      </w:r>
    </w:p>
    <w:p>
      <w:pPr>
        <w:pStyle w:val="PR1"/>
        <w:numPr>
          <w:ilvl w:val="4"/>
          <w:numId w:val="1"/>
        </w:numPr>
        <w:rPr/>
      </w:pPr>
      <w:r>
        <w:rPr/>
        <w:t>Ballistic Resistance, NIJ STD-0108.01: [</w:t>
      </w:r>
      <w:r>
        <w:rPr>
          <w:b/>
        </w:rPr>
        <w:t>Level I</w:t>
      </w:r>
      <w:r>
        <w:rPr/>
        <w:t>] [</w:t>
      </w:r>
      <w:r>
        <w:rPr>
          <w:b/>
        </w:rPr>
        <w:t>Level IIA</w:t>
      </w:r>
      <w:r>
        <w:rPr/>
        <w:t>] [</w:t>
      </w:r>
      <w:r>
        <w:rPr>
          <w:b/>
        </w:rPr>
        <w:t>Level II</w:t>
      </w:r>
      <w:r>
        <w:rPr/>
        <w:t>] [</w:t>
      </w:r>
      <w:r>
        <w:rPr>
          <w:b/>
        </w:rPr>
        <w:t>Level IIIA</w:t>
      </w:r>
      <w:r>
        <w:rPr/>
        <w:t>] [</w:t>
      </w:r>
      <w:r>
        <w:rPr>
          <w:b/>
        </w:rPr>
        <w:t>Level III</w:t>
      </w:r>
      <w:r>
        <w:rPr/>
        <w:t>] [</w:t>
      </w:r>
      <w:r>
        <w:rPr>
          <w:b/>
        </w:rPr>
        <w:t>Level IV</w:t>
      </w:r>
      <w:r>
        <w:rPr/>
        <w:t>] when tested in accordance with NIJ STD-0108.01.</w:t>
      </w:r>
    </w:p>
    <w:p>
      <w:pPr>
        <w:pStyle w:val="CMT"/>
        <w:rPr/>
      </w:pPr>
      <w:r>
        <w:rPr/>
        <w:t>Retain "Windborne-Debris Impact Resistance" Paragraph below to suit Project. The IBC establishes criteria for buildings in hurricane-prone locations. In paragraph, "enhanced" option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 Impact Resistance: Passes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 For enhanced protection, delete "Small-Missile Test" Subparagraph.</w:t>
      </w:r>
    </w:p>
    <w:p>
      <w:pPr>
        <w:pStyle w:val="PR2"/>
        <w:numPr>
          <w:ilvl w:val="5"/>
          <w:numId w:val="1"/>
        </w:numPr>
        <w:spacing w:before="240" w:after="0"/>
        <w:rPr/>
      </w:pPr>
      <w:r>
        <w:rPr/>
        <w:t>Large-Missile Test: For glazing located within [</w:t>
      </w:r>
      <w:r>
        <w:rPr>
          <w:rStyle w:val="IP"/>
          <w:b/>
        </w:rPr>
        <w:t>30 feet</w:t>
      </w:r>
      <w:r>
        <w:rPr>
          <w:rStyle w:val="SI"/>
          <w:b/>
        </w:rPr>
        <w:t xml:space="preserve"> (9.1 m)</w:t>
      </w:r>
      <w:r>
        <w:rPr/>
        <w:t>] &lt;</w:t>
      </w:r>
      <w:r>
        <w:rPr>
          <w:b/>
        </w:rPr>
        <w:t>Insert dimension</w:t>
      </w:r>
      <w:r>
        <w:rPr/>
        <w:t>&gt; of grade.</w:t>
      </w:r>
    </w:p>
    <w:p>
      <w:pPr>
        <w:pStyle w:val="PR2"/>
        <w:numPr>
          <w:ilvl w:val="5"/>
          <w:numId w:val="1"/>
        </w:numPr>
        <w:rPr/>
      </w:pPr>
      <w:r>
        <w:rPr/>
        <w:t xml:space="preserve">Small-Missile Test: For glazing located between </w:t>
      </w:r>
      <w:r>
        <w:rPr>
          <w:rStyle w:val="IP"/>
        </w:rPr>
        <w:t>30 feet</w:t>
      </w:r>
      <w:r>
        <w:rPr>
          <w:rStyle w:val="SI"/>
        </w:rPr>
        <w:t xml:space="preserve"> (9.1 m)</w:t>
      </w:r>
      <w:r>
        <w:rPr/>
        <w:t xml:space="preserve"> and [</w:t>
      </w:r>
      <w:r>
        <w:rPr>
          <w:rStyle w:val="IP"/>
          <w:b/>
        </w:rPr>
        <w:t>60 feet</w:t>
      </w:r>
      <w:r>
        <w:rPr>
          <w:rStyle w:val="SI"/>
          <w:b/>
        </w:rPr>
        <w:t xml:space="preserve"> (18.3 m)</w:t>
      </w:r>
      <w:r>
        <w:rPr/>
        <w:t>] &lt;</w:t>
      </w:r>
      <w:r>
        <w:rPr>
          <w:b/>
        </w:rPr>
        <w:t>Insert dimension</w:t>
      </w:r>
      <w:r>
        <w:rPr/>
        <w:t>&gt; above grade.</w:t>
      </w:r>
    </w:p>
    <w:p>
      <w:pPr>
        <w:pStyle w:val="PR1"/>
        <w:numPr>
          <w:ilvl w:val="4"/>
          <w:numId w:val="1"/>
        </w:numPr>
        <w:rPr/>
      </w:pPr>
      <w:r>
        <w:rPr/>
        <w:t>Thermal Movements: Allow for thermal movements resulting from ambient and surface temperature changes.</w:t>
      </w:r>
    </w:p>
    <w:p>
      <w:pPr>
        <w:pStyle w:val="CMT"/>
        <w:rPr/>
      </w:pPr>
      <w:r>
        <w:rPr/>
        <w:t>Differential values in "Temperature Change" Subparagraph below (for aluminum in particular) are suitable for most of the United States.</w:t>
      </w:r>
    </w:p>
    <w:p>
      <w:pPr>
        <w:pStyle w:val="PR2"/>
        <w:numPr>
          <w:ilvl w:val="5"/>
          <w:numId w:val="1"/>
        </w:numPr>
        <w:spacing w:before="240" w:after="0"/>
        <w:rPr/>
      </w:pPr>
      <w:r>
        <w:rPr/>
        <w:t xml:space="preserve">Temperature Change: </w:t>
      </w:r>
      <w:r>
        <w:rPr>
          <w:rStyle w:val="IP"/>
        </w:rPr>
        <w:t>120 deg F</w:t>
      </w:r>
      <w:r>
        <w:rPr>
          <w:rStyle w:val="SI"/>
        </w:rPr>
        <w:t xml:space="preserve"> (67 deg C)</w:t>
      </w:r>
      <w:r>
        <w:rPr/>
        <w:t xml:space="preserve">, ambient; </w:t>
      </w:r>
      <w:r>
        <w:rPr>
          <w:rStyle w:val="IP"/>
        </w:rPr>
        <w:t>180 deg F</w:t>
      </w:r>
      <w:r>
        <w:rPr>
          <w:rStyle w:val="SI"/>
        </w:rPr>
        <w:t xml:space="preserve"> (100 deg C)</w:t>
      </w:r>
      <w:r>
        <w:rPr/>
        <w:t>, material surfaces.</w:t>
      </w:r>
    </w:p>
    <w:p>
      <w:pPr>
        <w:pStyle w:val="ART"/>
        <w:numPr>
          <w:ilvl w:val="3"/>
          <w:numId w:val="1"/>
        </w:numPr>
        <w:ind w:hanging="0" w:left="0"/>
        <w:rPr/>
      </w:pPr>
      <w:r>
        <w:rPr/>
        <w:t>ALUMINUM-FRAMED ENTRANCE DOOR SYSTEMS</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Entrance Doors: Manufacturer's standard glazed entrance doors for manual-swing or automatic operation.</w:t>
      </w:r>
    </w:p>
    <w:p>
      <w:pPr>
        <w:pStyle w:val="PR2"/>
        <w:numPr>
          <w:ilvl w:val="5"/>
          <w:numId w:val="1"/>
        </w:numPr>
        <w:spacing w:before="240" w:after="0"/>
        <w:rPr/>
      </w:pPr>
      <w:r>
        <w:rPr/>
        <w:t>Door Construction: [</w:t>
      </w:r>
      <w:r>
        <w:rPr>
          <w:rStyle w:val="IP"/>
          <w:b/>
        </w:rPr>
        <w:t>1-3/4-inch</w:t>
      </w:r>
      <w:r>
        <w:rPr>
          <w:rStyle w:val="SI"/>
          <w:b/>
        </w:rPr>
        <w:t xml:space="preserve"> (44.5-mm)</w:t>
      </w:r>
      <w:r>
        <w:rPr>
          <w:b/>
        </w:rPr>
        <w:t xml:space="preserve"> overall thickness, with minimum </w:t>
      </w:r>
      <w:r>
        <w:rPr>
          <w:rStyle w:val="IP"/>
          <w:b/>
        </w:rPr>
        <w:t>0.125-inch-</w:t>
      </w:r>
      <w:r>
        <w:rPr>
          <w:rStyle w:val="SI"/>
          <w:b/>
        </w:rPr>
        <w:t xml:space="preserve"> (3.2-mm-)</w:t>
      </w:r>
      <w:r>
        <w:rPr/>
        <w:t>] [</w:t>
      </w:r>
      <w:r>
        <w:rPr>
          <w:rStyle w:val="IP"/>
          <w:b/>
        </w:rPr>
        <w:t>2-inch</w:t>
      </w:r>
      <w:r>
        <w:rPr>
          <w:rStyle w:val="SI"/>
          <w:b/>
        </w:rPr>
        <w:t xml:space="preserve"> (50.8-mm)</w:t>
      </w:r>
      <w:r>
        <w:rPr>
          <w:b/>
        </w:rPr>
        <w:t xml:space="preserve"> overall thickness, with minimum </w:t>
      </w:r>
      <w:r>
        <w:rPr>
          <w:rStyle w:val="IP"/>
          <w:b/>
        </w:rPr>
        <w:t>0.188-inch-</w:t>
      </w:r>
      <w:r>
        <w:rPr>
          <w:rStyle w:val="SI"/>
          <w:b/>
        </w:rPr>
        <w:t xml:space="preserve"> (4.8-mm-)</w:t>
      </w:r>
      <w:r>
        <w:rPr/>
        <w:t>] [</w:t>
      </w:r>
      <w:r>
        <w:rPr>
          <w:rStyle w:val="IP"/>
          <w:b/>
        </w:rPr>
        <w:t>2- to 2-1/4-inch</w:t>
      </w:r>
      <w:r>
        <w:rPr>
          <w:rStyle w:val="SI"/>
          <w:b/>
        </w:rPr>
        <w:t xml:space="preserve"> (50.8- to 57.2-mm)</w:t>
      </w:r>
      <w:r>
        <w:rPr>
          <w:b/>
        </w:rPr>
        <w:t xml:space="preserve"> overall thickness, with minimum </w:t>
      </w:r>
      <w:r>
        <w:rPr>
          <w:rStyle w:val="IP"/>
          <w:b/>
        </w:rPr>
        <w:t>0.125-inch-</w:t>
      </w:r>
      <w:r>
        <w:rPr>
          <w:rStyle w:val="SI"/>
          <w:b/>
        </w:rPr>
        <w:t xml:space="preserve"> (3.2-mm-)</w:t>
      </w:r>
      <w:r>
        <w:rPr/>
        <w:t>] thick, extruded-aluminum tubular rail and stile members. Mechanically fasten corners with reinforcing brackets that are deeply penetrated and fillet welded or that incorporate concealed tie rods.</w:t>
      </w:r>
    </w:p>
    <w:p>
      <w:pPr>
        <w:pStyle w:val="CMT"/>
        <w:rPr/>
      </w:pPr>
      <w:r>
        <w:rPr/>
        <w:t>Retain "Thermal Construction" Subparagraph below if retaining last option in "Door Construction" Subparagraph above.</w:t>
      </w:r>
    </w:p>
    <w:p>
      <w:pPr>
        <w:pStyle w:val="PR3"/>
        <w:numPr>
          <w:ilvl w:val="6"/>
          <w:numId w:val="1"/>
        </w:numPr>
        <w:spacing w:before="240" w:after="0"/>
        <w:rPr/>
      </w:pPr>
      <w:r>
        <w:rPr/>
        <w:t>Thermal Construction: [</w:t>
      </w:r>
      <w:r>
        <w:rPr>
          <w:b/>
        </w:rPr>
        <w:t>High-performance plastic connectors separate aluminum members exposed to the exterior from members exposed to the interior</w:t>
      </w:r>
      <w:r>
        <w:rPr/>
        <w:t>] &lt;</w:t>
      </w:r>
      <w:r>
        <w:rPr>
          <w:b/>
        </w:rPr>
        <w:t>Insert description</w:t>
      </w:r>
      <w:r>
        <w:rPr/>
        <w:t>&gt;.</w:t>
      </w:r>
    </w:p>
    <w:p>
      <w:pPr>
        <w:pStyle w:val="CMT"/>
        <w:rPr/>
      </w:pPr>
      <w:r>
        <w:rPr/>
        <w:t>Coordinate entrance door design in "Door Design" Subparagraph below with hardware requirements. Narrow-stile doors may not accommodate some exit devices.</w:t>
      </w:r>
    </w:p>
    <w:p>
      <w:pPr>
        <w:pStyle w:val="PR2"/>
        <w:numPr>
          <w:ilvl w:val="5"/>
          <w:numId w:val="1"/>
        </w:numPr>
        <w:spacing w:before="240" w:after="0"/>
        <w:rPr/>
      </w:pPr>
      <w:r>
        <w:rPr/>
        <w:t>Door Design: [</w:t>
      </w:r>
      <w:r>
        <w:rPr>
          <w:b/>
        </w:rPr>
        <w:t>As indicated</w:t>
      </w:r>
      <w:r>
        <w:rPr/>
        <w:t>] [</w:t>
      </w:r>
      <w:r>
        <w:rPr>
          <w:b/>
        </w:rPr>
        <w:t xml:space="preserve">Narrow stile; </w:t>
      </w:r>
      <w:r>
        <w:rPr>
          <w:rStyle w:val="IP"/>
          <w:b/>
        </w:rPr>
        <w:t>2-1/8-inch</w:t>
      </w:r>
      <w:r>
        <w:rPr>
          <w:rStyle w:val="SI"/>
          <w:b/>
        </w:rPr>
        <w:t xml:space="preserve"> (54-mm)</w:t>
      </w:r>
      <w:r>
        <w:rPr>
          <w:b/>
        </w:rPr>
        <w:t xml:space="preserve"> nominal width</w:t>
      </w:r>
      <w:r>
        <w:rPr/>
        <w:t>] [</w:t>
      </w:r>
      <w:r>
        <w:rPr>
          <w:b/>
        </w:rPr>
        <w:t xml:space="preserve">Medium stile; </w:t>
      </w:r>
      <w:r>
        <w:rPr>
          <w:rStyle w:val="IP"/>
          <w:b/>
        </w:rPr>
        <w:t>3-1/2-inch</w:t>
      </w:r>
      <w:r>
        <w:rPr>
          <w:rStyle w:val="SI"/>
          <w:b/>
        </w:rPr>
        <w:t xml:space="preserve"> (88.9-mm)</w:t>
      </w:r>
      <w:r>
        <w:rPr>
          <w:b/>
        </w:rPr>
        <w:t xml:space="preserve"> nominal width</w:t>
      </w:r>
      <w:r>
        <w:rPr/>
        <w:t>] [</w:t>
      </w:r>
      <w:r>
        <w:rPr>
          <w:b/>
        </w:rPr>
        <w:t xml:space="preserve">Wide stile; </w:t>
      </w:r>
      <w:r>
        <w:rPr>
          <w:rStyle w:val="IP"/>
          <w:b/>
        </w:rPr>
        <w:t>5-inch</w:t>
      </w:r>
      <w:r>
        <w:rPr>
          <w:rStyle w:val="SI"/>
          <w:b/>
        </w:rPr>
        <w:t xml:space="preserve"> (127-mm)</w:t>
      </w:r>
      <w:r>
        <w:rPr>
          <w:b/>
        </w:rPr>
        <w:t xml:space="preserve"> nominal width</w:t>
      </w:r>
      <w:r>
        <w:rPr/>
        <w:t>] &lt;</w:t>
      </w:r>
      <w:r>
        <w:rPr>
          <w:b/>
        </w:rPr>
        <w:t>Insert description</w:t>
      </w:r>
      <w:r>
        <w:rPr/>
        <w:t>&gt;.</w:t>
      </w:r>
    </w:p>
    <w:p>
      <w:pPr>
        <w:pStyle w:val="PR2"/>
        <w:numPr>
          <w:ilvl w:val="5"/>
          <w:numId w:val="1"/>
        </w:numPr>
        <w:rPr/>
      </w:pPr>
      <w:r>
        <w:rPr/>
        <w:t>Glazing Stops and Gaskets: [</w:t>
      </w:r>
      <w:r>
        <w:rPr>
          <w:b/>
        </w:rPr>
        <w:t>Beveled</w:t>
      </w:r>
      <w:r>
        <w:rPr/>
        <w:t>] [</w:t>
      </w:r>
      <w:r>
        <w:rPr>
          <w:b/>
        </w:rPr>
        <w:t>Square</w:t>
      </w:r>
      <w:r>
        <w:rPr/>
        <w:t>] &lt;</w:t>
      </w:r>
      <w:r>
        <w:rPr>
          <w:b/>
        </w:rPr>
        <w:t>Insert description</w:t>
      </w:r>
      <w:r>
        <w:rPr/>
        <w:t>&gt;, snap-on, extruded-aluminum stops and preformed gaskets.</w:t>
      </w:r>
    </w:p>
    <w:p>
      <w:pPr>
        <w:pStyle w:val="CMT"/>
        <w:rPr/>
      </w:pPr>
      <w:r>
        <w:rPr/>
        <w:t>Retain first subparagraph below if required. Glazing stops are typically removable from both sides.</w:t>
      </w:r>
    </w:p>
    <w:p>
      <w:pPr>
        <w:pStyle w:val="PR3"/>
        <w:numPr>
          <w:ilvl w:val="6"/>
          <w:numId w:val="1"/>
        </w:numPr>
        <w:spacing w:before="240" w:after="0"/>
        <w:rPr/>
      </w:pPr>
      <w:r>
        <w:rPr/>
        <w:t>Provide nonremovable glazing stops on outside of door.</w:t>
      </w:r>
    </w:p>
    <w:p>
      <w:pPr>
        <w:pStyle w:val="PR2"/>
        <w:numPr>
          <w:ilvl w:val="5"/>
          <w:numId w:val="1"/>
        </w:numPr>
        <w:spacing w:before="240" w:after="0"/>
        <w:rPr/>
      </w:pPr>
      <w:r>
        <w:rPr/>
        <w:t>Door Finish: [</w:t>
      </w:r>
      <w:r>
        <w:rPr>
          <w:b/>
        </w:rPr>
        <w:t>Clear anodic finish</w:t>
      </w:r>
      <w:r>
        <w:rPr/>
        <w:t>] [</w:t>
      </w:r>
      <w:r>
        <w:rPr>
          <w:b/>
        </w:rPr>
        <w:t>Color anodic finish</w:t>
      </w:r>
      <w:r>
        <w:rPr/>
        <w:t>] [</w:t>
      </w:r>
      <w:r>
        <w:rPr>
          <w:b/>
        </w:rPr>
        <w:t>Baked-enamel or powder-coat finish</w:t>
      </w:r>
      <w:r>
        <w:rPr/>
        <w:t>] [</w:t>
      </w:r>
      <w:r>
        <w:rPr>
          <w:b/>
        </w:rPr>
        <w:t>High-performance organic finish</w:t>
      </w:r>
      <w:r>
        <w:rPr/>
        <w:t>] [</w:t>
      </w:r>
      <w:r>
        <w:rPr>
          <w:b/>
        </w:rPr>
        <w:t>Superior-performance organic finish</w:t>
      </w:r>
      <w:r>
        <w:rPr/>
        <w:t>].</w:t>
      </w:r>
    </w:p>
    <w:p>
      <w:pPr>
        <w:pStyle w:val="CMT"/>
        <w:rPr/>
      </w:pPr>
      <w:r>
        <w:rPr/>
        <w:t>Retain "Framing Members" Paragraph below for door, sidelight, transom, and vestibule frames.</w:t>
      </w:r>
    </w:p>
    <w:p>
      <w:pPr>
        <w:pStyle w:val="PR1"/>
        <w:numPr>
          <w:ilvl w:val="4"/>
          <w:numId w:val="1"/>
        </w:numPr>
        <w:rPr/>
      </w:pPr>
      <w:r>
        <w:rPr/>
        <w:t xml:space="preserve">Framing Members: Manufacturer's standard extruded aluminum, minimum </w:t>
      </w:r>
      <w:r>
        <w:rPr>
          <w:rStyle w:val="IP"/>
        </w:rPr>
        <w:t>0.125 inch</w:t>
      </w:r>
      <w:r>
        <w:rPr>
          <w:rStyle w:val="SI"/>
        </w:rPr>
        <w:t xml:space="preserve"> (3.2 mm)</w:t>
      </w:r>
      <w:r>
        <w:rPr/>
        <w:t xml:space="preserve"> thick and reinforced as required to support imposed loads.</w:t>
      </w:r>
    </w:p>
    <w:p>
      <w:pPr>
        <w:pStyle w:val="PR2"/>
        <w:numPr>
          <w:ilvl w:val="5"/>
          <w:numId w:val="1"/>
        </w:numPr>
        <w:spacing w:before="240" w:after="0"/>
        <w:rPr/>
      </w:pPr>
      <w:r>
        <w:rPr/>
        <w:t>Nominal Size: [</w:t>
      </w:r>
      <w:r>
        <w:rPr>
          <w:rStyle w:val="IP"/>
          <w:b/>
        </w:rPr>
        <w:t>1-3/4 by 4-1/2 inches</w:t>
      </w:r>
      <w:r>
        <w:rPr>
          <w:rStyle w:val="SI"/>
          <w:b/>
        </w:rPr>
        <w:t xml:space="preserve"> (45 by 115 mm)</w:t>
      </w:r>
      <w:r>
        <w:rPr/>
        <w:t>] [</w:t>
      </w:r>
      <w:r>
        <w:rPr>
          <w:rStyle w:val="IP"/>
          <w:b/>
        </w:rPr>
        <w:t>1-3/4 by 6 inches</w:t>
      </w:r>
      <w:r>
        <w:rPr>
          <w:rStyle w:val="SI"/>
          <w:b/>
        </w:rPr>
        <w:t xml:space="preserve"> (45 by 150 mm)</w:t>
      </w:r>
      <w:r>
        <w:rPr/>
        <w:t>] [</w:t>
      </w:r>
      <w:r>
        <w:rPr>
          <w:b/>
        </w:rPr>
        <w:t>As indicated on Drawings</w:t>
      </w:r>
      <w:r>
        <w:rPr/>
        <w:t>] &lt;</w:t>
      </w:r>
      <w:r>
        <w:rPr>
          <w:b/>
        </w:rPr>
        <w:t>Insert nominal size</w:t>
      </w:r>
      <w:r>
        <w:rPr/>
        <w:t>&gt;.</w:t>
      </w:r>
    </w:p>
    <w:p>
      <w:pPr>
        <w:pStyle w:val="PR2"/>
        <w:numPr>
          <w:ilvl w:val="5"/>
          <w:numId w:val="1"/>
        </w:numPr>
        <w:rPr/>
      </w:pPr>
      <w:r>
        <w:rPr/>
        <w:t>Exterior Framing Construction: [</w:t>
      </w:r>
      <w:r>
        <w:rPr>
          <w:b/>
        </w:rPr>
        <w:t>Thermally broken</w:t>
      </w:r>
      <w:r>
        <w:rPr/>
        <w:t>] [</w:t>
      </w:r>
      <w:r>
        <w:rPr>
          <w:b/>
        </w:rPr>
        <w:t>Thermally improved</w:t>
      </w:r>
      <w:r>
        <w:rPr/>
        <w:t>] [</w:t>
      </w:r>
      <w:r>
        <w:rPr>
          <w:b/>
        </w:rPr>
        <w:t>Nonthermal</w:t>
      </w:r>
      <w:r>
        <w:rPr/>
        <w:t>] &lt;</w:t>
      </w:r>
      <w:r>
        <w:rPr>
          <w:b/>
        </w:rPr>
        <w:t>Insert description</w:t>
      </w:r>
      <w:r>
        <w:rPr/>
        <w:t>&gt;.</w:t>
      </w:r>
    </w:p>
    <w:p>
      <w:pPr>
        <w:pStyle w:val="PR2"/>
        <w:numPr>
          <w:ilvl w:val="5"/>
          <w:numId w:val="1"/>
        </w:numPr>
        <w:rPr/>
      </w:pPr>
      <w:r>
        <w:rPr/>
        <w:t>Interior Vestibule Framing Construction: [</w:t>
      </w:r>
      <w:r>
        <w:rPr>
          <w:b/>
        </w:rPr>
        <w:t>Nonthermal</w:t>
      </w:r>
      <w:r>
        <w:rPr/>
        <w:t>] &lt;</w:t>
      </w:r>
      <w:r>
        <w:rPr>
          <w:b/>
        </w:rPr>
        <w:t>Insert description</w:t>
      </w:r>
      <w:r>
        <w:rPr/>
        <w:t>&gt;.</w:t>
      </w:r>
    </w:p>
    <w:p>
      <w:pPr>
        <w:pStyle w:val="PR2"/>
        <w:numPr>
          <w:ilvl w:val="5"/>
          <w:numId w:val="1"/>
        </w:numPr>
        <w:rPr/>
      </w:pPr>
      <w:r>
        <w:rPr/>
        <w:t>Finish: Match door finish.</w:t>
      </w:r>
    </w:p>
    <w:p>
      <w:pPr>
        <w:pStyle w:val="PR1"/>
        <w:numPr>
          <w:ilvl w:val="4"/>
          <w:numId w:val="1"/>
        </w:numPr>
        <w:rPr/>
      </w:pPr>
      <w:r>
        <w:rPr/>
        <w:t>Backer Plates: Manufacturer's standard, continuous backer plates for framing members, if not integral, where framing abuts adjacent construction.</w:t>
      </w:r>
    </w:p>
    <w:p>
      <w:pPr>
        <w:pStyle w:val="PR1"/>
        <w:numPr>
          <w:ilvl w:val="4"/>
          <w:numId w:val="1"/>
        </w:numPr>
        <w:rPr/>
      </w:pPr>
      <w:r>
        <w:rPr/>
        <w:t>Brackets and Reinforcements: Manufacturer's standard high-strength aluminum with nonstaining, nonferrous shims for aligning system components.</w:t>
      </w:r>
    </w:p>
    <w:p>
      <w:pPr>
        <w:pStyle w:val="PR1"/>
        <w:numPr>
          <w:ilvl w:val="4"/>
          <w:numId w:val="1"/>
        </w:numPr>
        <w:rPr/>
      </w:pPr>
      <w:r>
        <w:rPr/>
        <w:t>Materials:</w:t>
      </w:r>
    </w:p>
    <w:p>
      <w:pPr>
        <w:pStyle w:val="PR2"/>
        <w:numPr>
          <w:ilvl w:val="5"/>
          <w:numId w:val="1"/>
        </w:numPr>
        <w:spacing w:before="240" w:after="0"/>
        <w:rPr/>
      </w:pPr>
      <w:r>
        <w:rPr/>
        <w:t>Aluminum: Alloy and temper recommended by manufacturer for type of use and finish indicated.</w:t>
      </w:r>
    </w:p>
    <w:p>
      <w:pPr>
        <w:pStyle w:val="PR3"/>
        <w:numPr>
          <w:ilvl w:val="6"/>
          <w:numId w:val="1"/>
        </w:numPr>
        <w:spacing w:before="240" w:after="0"/>
        <w:rPr/>
      </w:pPr>
      <w:r>
        <w:rPr/>
        <w:t xml:space="preserve">Sheet and Plate: </w:t>
      </w:r>
      <w:r>
        <w:rPr>
          <w:rStyle w:val="IP"/>
        </w:rPr>
        <w:t>ASTM B209</w:t>
      </w:r>
      <w:r>
        <w:rPr>
          <w:rStyle w:val="SI"/>
        </w:rPr>
        <w:t xml:space="preserve"> (ASTM B209M)</w:t>
      </w:r>
      <w:r>
        <w:rPr/>
        <w:t>.</w:t>
      </w:r>
    </w:p>
    <w:p>
      <w:pPr>
        <w:pStyle w:val="PR3"/>
        <w:numPr>
          <w:ilvl w:val="6"/>
          <w:numId w:val="1"/>
        </w:numPr>
        <w:rPr/>
      </w:pPr>
      <w:r>
        <w:rPr/>
        <w:t xml:space="preserve">Extruded Bars, Rods, Profiles, and Tubes: </w:t>
      </w:r>
      <w:r>
        <w:rPr>
          <w:rStyle w:val="IP"/>
        </w:rPr>
        <w:t>ASTM B221</w:t>
      </w:r>
      <w:r>
        <w:rPr>
          <w:rStyle w:val="SI"/>
        </w:rPr>
        <w:t xml:space="preserve"> (ASTM B221M)</w:t>
      </w:r>
      <w:r>
        <w:rPr/>
        <w:t>.</w:t>
      </w:r>
    </w:p>
    <w:p>
      <w:pPr>
        <w:pStyle w:val="PR3"/>
        <w:numPr>
          <w:ilvl w:val="6"/>
          <w:numId w:val="1"/>
        </w:numPr>
        <w:rPr/>
      </w:pPr>
      <w:r>
        <w:rPr/>
        <w:t>Structural Profiles: ASTM B308/B308M.</w:t>
      </w:r>
    </w:p>
    <w:p>
      <w:pPr>
        <w:pStyle w:val="CMT"/>
        <w:rPr/>
      </w:pPr>
      <w:r>
        <w:rPr/>
        <w:t>Retain "Steel Reinforcement" and "Steel Reinforcement Primer" subparagraphs below for internal steel reinforcement of aluminum framing members; revise to suit Project.</w:t>
      </w:r>
    </w:p>
    <w:p>
      <w:pPr>
        <w:pStyle w:val="PR2"/>
        <w:numPr>
          <w:ilvl w:val="5"/>
          <w:numId w:val="1"/>
        </w:numPr>
        <w:spacing w:before="240" w:after="0"/>
        <w:rPr/>
      </w:pPr>
      <w:r>
        <w:rPr/>
        <w:t>Steel Reinforcement:</w:t>
      </w:r>
    </w:p>
    <w:p>
      <w:pPr>
        <w:pStyle w:val="PR3"/>
        <w:numPr>
          <w:ilvl w:val="6"/>
          <w:numId w:val="1"/>
        </w:numPr>
        <w:spacing w:before="240" w:after="0"/>
        <w:rPr/>
      </w:pPr>
      <w:r>
        <w:rPr/>
        <w:t>Structural Shapes, Plates, and Bars: ASTM A36/A36M.</w:t>
      </w:r>
    </w:p>
    <w:p>
      <w:pPr>
        <w:pStyle w:val="PR3"/>
        <w:numPr>
          <w:ilvl w:val="6"/>
          <w:numId w:val="1"/>
        </w:numPr>
        <w:rPr/>
      </w:pPr>
      <w:r>
        <w:rPr/>
        <w:t>Cold-Rolled Sheet and Strip: ASTM A1008/A1008M.</w:t>
      </w:r>
    </w:p>
    <w:p>
      <w:pPr>
        <w:pStyle w:val="PR3"/>
        <w:numPr>
          <w:ilvl w:val="6"/>
          <w:numId w:val="1"/>
        </w:numPr>
        <w:rPr/>
      </w:pPr>
      <w:r>
        <w:rPr/>
        <w:t>Hot-Rolled Sheet and Strip: ASTM A1011/A1011M.</w:t>
      </w:r>
    </w:p>
    <w:p>
      <w:pPr>
        <w:pStyle w:val="PR2"/>
        <w:numPr>
          <w:ilvl w:val="5"/>
          <w:numId w:val="1"/>
        </w:numPr>
        <w:spacing w:before="240" w:after="0"/>
        <w:rPr/>
      </w:pPr>
      <w:r>
        <w:rPr/>
        <w:t>Steel Reinforcement Primer: Manufacturer's standard zinc-rich, corrosion-resistant primer complying with SSPC-PS Guide No. 12.00; applied immediately after surface preparation and pretreatment. Select surface preparation methods in accordance with recommendations in SSPC-SP COM, and prepare surfaces in accordance with applicable SSPC standard.</w:t>
      </w:r>
    </w:p>
    <w:p>
      <w:pPr>
        <w:pStyle w:val="PR2"/>
        <w:numPr>
          <w:ilvl w:val="5"/>
          <w:numId w:val="1"/>
        </w:numPr>
        <w:rPr/>
      </w:pPr>
      <w:hyperlink r:id="rId9">
        <w:r>
          <w:rPr>
            <w:rStyle w:val="Hyperlink"/>
          </w:rPr>
          <w:t>&lt;Double click to insert sustainable design text for aluminum recycled content.&gt;</w:t>
        </w:r>
      </w:hyperlink>
    </w:p>
    <w:p>
      <w:pPr>
        <w:pStyle w:val="PR1"/>
        <w:numPr>
          <w:ilvl w:val="4"/>
          <w:numId w:val="1"/>
        </w:numPr>
        <w:rPr/>
      </w:pPr>
      <w:hyperlink r:id="rId10">
        <w:r>
          <w:rPr>
            <w:rStyle w:val="Hyperlink"/>
          </w:rPr>
          <w:t>&lt;Double click to insert sustainable design text for recycled content.&gt;</w:t>
        </w:r>
      </w:hyperlink>
    </w:p>
    <w:p>
      <w:pPr>
        <w:pStyle w:val="PR2"/>
        <w:numPr>
          <w:ilvl w:val="5"/>
          <w:numId w:val="1"/>
        </w:numPr>
        <w:spacing w:before="240" w:after="0"/>
        <w:rPr/>
      </w:pPr>
      <w:hyperlink r:id="rId11">
        <w:r>
          <w:rPr>
            <w:rStyle w:val="Hyperlink"/>
          </w:rPr>
          <w:t>&lt;Double click to insert sustainable design text for regional materials.&gt;</w:t>
        </w:r>
      </w:hyperlink>
    </w:p>
    <w:p>
      <w:pPr>
        <w:pStyle w:val="ART"/>
        <w:numPr>
          <w:ilvl w:val="3"/>
          <w:numId w:val="1"/>
        </w:numPr>
        <w:ind w:hanging="0" w:left="0"/>
        <w:rPr/>
      </w:pPr>
      <w:r>
        <w:rPr/>
        <w:t>ENTRANCE DOOR HARDWARE</w:t>
      </w:r>
    </w:p>
    <w:p>
      <w:pPr>
        <w:pStyle w:val="CMT"/>
        <w:rPr/>
      </w:pPr>
      <w:r>
        <w:rPr/>
        <w:t>Before retaining hardware, verify accessible entrance, means-of-egress doorway, and other requirements of authorities having jurisdiction.</w:t>
      </w:r>
    </w:p>
    <w:p>
      <w:pPr>
        <w:pStyle w:val="CMT"/>
        <w:rPr/>
      </w:pPr>
      <w:r>
        <w:rPr/>
        <w:t>Delete "Entrance Door Hardware" Paragraph below if all entrance door hardware is specified in this Section. See "Entrance Door Hardware" Article in the Evaluations for discussion of appropriate methods for specifying entrance door hardware.</w:t>
      </w:r>
    </w:p>
    <w:p>
      <w:pPr>
        <w:pStyle w:val="PR1"/>
        <w:numPr>
          <w:ilvl w:val="4"/>
          <w:numId w:val="1"/>
        </w:numPr>
        <w:rPr/>
      </w:pPr>
      <w:r>
        <w:rPr/>
        <w:t>Entrance Door Hardware: Hardware not specified in this Section is specified in [</w:t>
      </w:r>
      <w:r>
        <w:rPr>
          <w:b/>
        </w:rPr>
        <w:t>Section 087100 "Door Hardware."</w:t>
      </w:r>
      <w:r>
        <w:rPr/>
        <w:t>] [</w:t>
      </w:r>
      <w:r>
        <w:rPr>
          <w:b/>
        </w:rPr>
        <w:t>Section 087111 "Door Hardware (Descriptive Specification)."</w:t>
      </w:r>
      <w:r>
        <w:rPr/>
        <w:t>]</w:t>
      </w:r>
    </w:p>
    <w:p>
      <w:pPr>
        <w:pStyle w:val="PR1"/>
        <w:numPr>
          <w:ilvl w:val="4"/>
          <w:numId w:val="1"/>
        </w:numPr>
        <w:rPr/>
      </w:pPr>
      <w:r>
        <w:rPr/>
        <w:t>General: Provide entrance door hardware and [</w:t>
      </w:r>
      <w:r>
        <w:rPr>
          <w:b/>
        </w:rPr>
        <w:t>entrance door hardware sets indicated in door and frame schedule</w:t>
      </w:r>
      <w:r>
        <w:rPr/>
        <w:t>] [</w:t>
      </w:r>
      <w:r>
        <w:rPr>
          <w:b/>
        </w:rPr>
        <w:t>entrance door hardware sets indicated in "Entrance Door Hardware Sets" Article</w:t>
      </w:r>
      <w:r>
        <w:rPr/>
        <w:t>] for each entrance door, to comply with requirements in this Section.</w:t>
      </w:r>
    </w:p>
    <w:p>
      <w:pPr>
        <w:pStyle w:val="CMT"/>
        <w:rPr/>
      </w:pPr>
      <w:r>
        <w:rPr/>
        <w:t>Retain one of three options in "Entrance Door Hardware Sets" Subparagraph below to coordinate with "Entrance Door Hardware Sets" Article.</w:t>
      </w:r>
    </w:p>
    <w:p>
      <w:pPr>
        <w:pStyle w:val="PR2"/>
        <w:numPr>
          <w:ilvl w:val="5"/>
          <w:numId w:val="1"/>
        </w:numPr>
        <w:spacing w:before="240" w:after="0"/>
        <w:rPr/>
      </w:pPr>
      <w:r>
        <w:rPr/>
        <w:t>Entrance Door Hardware Sets: Provide quantity, item, size, finish or color indicated, and [</w:t>
      </w:r>
      <w:r>
        <w:rPr>
          <w:b/>
        </w:rPr>
        <w:t>named manufacturers' products</w:t>
      </w:r>
      <w:r>
        <w:rPr/>
        <w:t>] [</w:t>
      </w:r>
      <w:r>
        <w:rPr>
          <w:b/>
        </w:rPr>
        <w:t>products equivalent in function and comparable in quality to named products</w:t>
      </w:r>
      <w:r>
        <w:rPr/>
        <w:t>] [</w:t>
      </w:r>
      <w:r>
        <w:rPr>
          <w:b/>
        </w:rPr>
        <w:t>products complying with BHMA standard referenced</w:t>
      </w:r>
      <w:r>
        <w:rPr/>
        <w:t>].</w:t>
      </w:r>
    </w:p>
    <w:p>
      <w:pPr>
        <w:pStyle w:val="PR2"/>
        <w:numPr>
          <w:ilvl w:val="5"/>
          <w:numId w:val="1"/>
        </w:numPr>
        <w:rPr/>
      </w:pPr>
      <w:r>
        <w:rPr/>
        <w:t>Sequence of Operation: Provide electrified door hardware function, sequence of operation, and interface with other building control systems indicated.</w:t>
      </w:r>
    </w:p>
    <w:p>
      <w:pPr>
        <w:pStyle w:val="PR2"/>
        <w:numPr>
          <w:ilvl w:val="5"/>
          <w:numId w:val="1"/>
        </w:numPr>
        <w:rPr/>
      </w:pPr>
      <w:r>
        <w:rPr/>
        <w:t>Opening-Force Requirements:</w:t>
      </w:r>
    </w:p>
    <w:p>
      <w:pPr>
        <w:pStyle w:val="CMT"/>
        <w:rPr/>
      </w:pPr>
      <w:r>
        <w:rPr/>
        <w:t>"Egress Doors" Subparagraph below is based on requirements of both the IBC and NFPA 101 for means-of-egress doors. Option is a requirement of NFPA 101 only.</w:t>
      </w:r>
    </w:p>
    <w:p>
      <w:pPr>
        <w:pStyle w:val="PR3"/>
        <w:numPr>
          <w:ilvl w:val="6"/>
          <w:numId w:val="1"/>
        </w:numPr>
        <w:spacing w:before="240" w:after="0"/>
        <w:rPr/>
      </w:pPr>
      <w:r>
        <w:rPr/>
        <w:t xml:space="preserve">Egress Doors: Not more than </w:t>
      </w:r>
      <w:r>
        <w:rPr>
          <w:rStyle w:val="IP"/>
        </w:rPr>
        <w:t>15 lbf</w:t>
      </w:r>
      <w:r>
        <w:rPr>
          <w:rStyle w:val="SI"/>
        </w:rPr>
        <w:t xml:space="preserve"> (67 N)</w:t>
      </w:r>
      <w:r>
        <w:rPr/>
        <w:t xml:space="preserve"> to release the latch and not more than </w:t>
      </w:r>
      <w:r>
        <w:rPr>
          <w:rStyle w:val="IP"/>
        </w:rPr>
        <w:t>30 lbf</w:t>
      </w:r>
      <w:r>
        <w:rPr>
          <w:rStyle w:val="SI"/>
        </w:rPr>
        <w:t xml:space="preserve"> (133 N)</w:t>
      </w:r>
      <w:r>
        <w:rPr/>
        <w:t xml:space="preserve"> to set the door in motion[</w:t>
      </w:r>
      <w:r>
        <w:rPr>
          <w:b/>
        </w:rPr>
        <w:t xml:space="preserve"> and not more than </w:t>
      </w:r>
      <w:r>
        <w:rPr>
          <w:rStyle w:val="IP"/>
          <w:b/>
        </w:rPr>
        <w:t>15 lbf</w:t>
      </w:r>
      <w:r>
        <w:rPr>
          <w:rStyle w:val="SI"/>
          <w:b/>
        </w:rPr>
        <w:t xml:space="preserve"> (67 N)</w:t>
      </w:r>
      <w:r>
        <w:rPr>
          <w:b/>
        </w:rPr>
        <w:t xml:space="preserve"> to open the door to its minimum required width</w:t>
      </w:r>
      <w:r>
        <w:rPr/>
        <w:t>].</w:t>
      </w:r>
    </w:p>
    <w:p>
      <w:pPr>
        <w:pStyle w:val="CMT"/>
        <w:rPr/>
      </w:pPr>
      <w:r>
        <w:rPr/>
        <w:t>"Accessible Interior Doors" Subparagraph below is based on ADA-ABA Accessibility Guidelines.</w:t>
      </w:r>
    </w:p>
    <w:p>
      <w:pPr>
        <w:pStyle w:val="PR3"/>
        <w:numPr>
          <w:ilvl w:val="6"/>
          <w:numId w:val="1"/>
        </w:numPr>
        <w:rPr/>
      </w:pPr>
      <w:r>
        <w:rPr/>
        <w:t xml:space="preserve">Accessible Interior Doors: Not more than </w:t>
      </w:r>
      <w:r>
        <w:rPr>
          <w:rStyle w:val="IP"/>
        </w:rPr>
        <w:t>5 lbf</w:t>
      </w:r>
      <w:r>
        <w:rPr>
          <w:rStyle w:val="SI"/>
        </w:rPr>
        <w:t xml:space="preserve"> (22.2 N)</w:t>
      </w:r>
      <w:r>
        <w:rPr/>
        <w:t xml:space="preserve"> to fully open door.</w:t>
      </w:r>
    </w:p>
    <w:p>
      <w:pPr>
        <w:pStyle w:val="PR1"/>
        <w:numPr>
          <w:ilvl w:val="4"/>
          <w:numId w:val="1"/>
        </w:numPr>
        <w:rPr/>
      </w:pPr>
      <w:r>
        <w:rPr/>
        <w:t>Designations: Requirements for design, grade, function, finish, quantity, size, and other distinctive qualities of each type of entrance door hardware are indicated in "Entrance Door Hardware Sets" Article. Products are identified by using entrance door hardware designations as follows:</w:t>
      </w:r>
    </w:p>
    <w:p>
      <w:pPr>
        <w:pStyle w:val="CMT"/>
        <w:rPr/>
      </w:pPr>
      <w:r>
        <w:rPr/>
        <w:t>Retain "Named Manufacturers' Products" or "References to BHMA Standards" Subparagraph below.</w:t>
      </w:r>
    </w:p>
    <w:p>
      <w:pPr>
        <w:pStyle w:val="PR2"/>
        <w:numPr>
          <w:ilvl w:val="5"/>
          <w:numId w:val="1"/>
        </w:numPr>
        <w:spacing w:before="240" w:after="0"/>
        <w:rPr/>
      </w:pPr>
      <w:r>
        <w:rPr/>
        <w:t>Named Manufacturers' Products: Manufacturer and product designation are listed for each door hardware type required for the purpose of establishing minimum requirements. Manufacturers' names are abbreviated in "Entrance Door Hardware Sets" Article.</w:t>
      </w:r>
    </w:p>
    <w:p>
      <w:pPr>
        <w:pStyle w:val="CMT"/>
        <w:rPr/>
      </w:pPr>
      <w:r>
        <w:rPr/>
        <w:t>Retain "References to BHMA Standards" Subparagraph below for a nonproprietary specification based on referencing BHMA standards, with or without naming available manufacturers.</w:t>
      </w:r>
    </w:p>
    <w:p>
      <w:pPr>
        <w:pStyle w:val="PR2"/>
        <w:numPr>
          <w:ilvl w:val="5"/>
          <w:numId w:val="1"/>
        </w:numPr>
        <w:rPr/>
      </w:pPr>
      <w:r>
        <w:rPr/>
        <w:t>References to BHMA Standards: Provide products complying with these standards and requirements for description, quality, and function.</w:t>
      </w:r>
    </w:p>
    <w:p>
      <w:pPr>
        <w:pStyle w:val="CMT"/>
        <w:rPr/>
      </w:pPr>
      <w:r>
        <w:rPr/>
        <w:t>If specifying entrance door hardware by named manufacturers' products, delete remaining paragraphs, and indicate entrance door hardware in "Entrance Door Hardware Sets" Article, including requirements for design, grade, function, finish, size, quantity and other distinctive qualities. If specifying entrance door hardware by reference to a BHMA standard or by describing characteristics, retain remaining paragraphs and insert specific type, function, finish and quantity requirements in "Entrance Door Hardware Sets" Article.</w:t>
      </w:r>
    </w:p>
    <w:p>
      <w:pPr>
        <w:pStyle w:val="PR1"/>
        <w:numPr>
          <w:ilvl w:val="4"/>
          <w:numId w:val="1"/>
        </w:numPr>
        <w:rPr/>
      </w:pPr>
      <w:r>
        <w:rPr/>
        <w:t>Pivot Hinges: BHMA A156.4, Grade 1.</w:t>
      </w:r>
    </w:p>
    <w:p>
      <w:pPr>
        <w:pStyle w:val="CMT"/>
        <w:rPr/>
      </w:pPr>
      <w:r>
        <w:rPr/>
        <w:t>Retain "Offset-Pivot Hinges" Subparagraph below only if quantities are not indicated in "Entrance Door Hardware Sets" Article. For offset pivots, an intermediate pivot is recommended for doors 60 inches (1524 mm) to 90 inches (2286 mm) in height. Each additional 30 inches (762 mm) of door height warrants another intermediate pivot.</w:t>
      </w:r>
    </w:p>
    <w:p>
      <w:pPr>
        <w:pStyle w:val="PR2"/>
        <w:numPr>
          <w:ilvl w:val="5"/>
          <w:numId w:val="1"/>
        </w:numPr>
        <w:spacing w:before="240" w:after="0"/>
        <w:rPr/>
      </w:pPr>
      <w:r>
        <w:rPr/>
        <w:t>Offset-Pivot Hinges: Provide top, bottom, and intermediate offset pivots at each door leaf.</w:t>
      </w:r>
    </w:p>
    <w:p>
      <w:pPr>
        <w:pStyle w:val="PR1"/>
        <w:numPr>
          <w:ilvl w:val="4"/>
          <w:numId w:val="1"/>
        </w:numPr>
        <w:rPr/>
      </w:pPr>
      <w:r>
        <w:rPr/>
        <w:t>Butt Hinges: BHMA A156.1, Grade 1, radius corner.</w:t>
      </w:r>
    </w:p>
    <w:p>
      <w:pPr>
        <w:pStyle w:val="PR2"/>
        <w:numPr>
          <w:ilvl w:val="5"/>
          <w:numId w:val="1"/>
        </w:numPr>
        <w:spacing w:before="240" w:after="0"/>
        <w:rPr/>
      </w:pPr>
      <w:r>
        <w:rPr/>
        <w:t>Nonremovable Pins: Provide setscrew in hinge barrel that, when tightened into a groove in hinge pin, prevents removal of pin while entrance door is closed.</w:t>
      </w:r>
    </w:p>
    <w:p>
      <w:pPr>
        <w:pStyle w:val="PR2"/>
        <w:numPr>
          <w:ilvl w:val="5"/>
          <w:numId w:val="1"/>
        </w:numPr>
        <w:rPr/>
      </w:pPr>
      <w:r>
        <w:rPr/>
        <w:t>Exterior Hinges: [</w:t>
      </w:r>
      <w:r>
        <w:rPr>
          <w:b/>
        </w:rPr>
        <w:t>Stainless steel, with stainless steel pin</w:t>
      </w:r>
      <w:r>
        <w:rPr/>
        <w:t>] [</w:t>
      </w:r>
      <w:r>
        <w:rPr>
          <w:b/>
        </w:rPr>
        <w:t>Nonferrous</w:t>
      </w:r>
      <w:r>
        <w:rPr/>
        <w:t>] &lt;</w:t>
      </w:r>
      <w:r>
        <w:rPr>
          <w:b/>
        </w:rPr>
        <w:t>Insert material</w:t>
      </w:r>
      <w:r>
        <w:rPr/>
        <w:t>&gt;.</w:t>
      </w:r>
    </w:p>
    <w:p>
      <w:pPr>
        <w:pStyle w:val="CMT"/>
        <w:rPr/>
      </w:pPr>
      <w:r>
        <w:rPr/>
        <w:t>Retain "Quantities" Subparagraph below only if quantities are not indicated in "Entrance Door Hardware Sets" Article.</w:t>
      </w:r>
    </w:p>
    <w:p>
      <w:pPr>
        <w:pStyle w:val="PR2"/>
        <w:numPr>
          <w:ilvl w:val="5"/>
          <w:numId w:val="1"/>
        </w:numPr>
        <w:rPr/>
      </w:pPr>
      <w:r>
        <w:rPr/>
        <w:t>Quantities:</w:t>
      </w:r>
    </w:p>
    <w:p>
      <w:pPr>
        <w:pStyle w:val="PR3"/>
        <w:numPr>
          <w:ilvl w:val="6"/>
          <w:numId w:val="1"/>
        </w:numPr>
        <w:spacing w:before="240" w:after="0"/>
        <w:rPr/>
      </w:pPr>
      <w:r>
        <w:rPr/>
        <w:t>For doors up to [</w:t>
      </w:r>
      <w:r>
        <w:rPr>
          <w:rStyle w:val="IP"/>
          <w:b/>
        </w:rPr>
        <w:t>87 inches</w:t>
      </w:r>
      <w:r>
        <w:rPr>
          <w:rStyle w:val="SI"/>
          <w:b/>
        </w:rPr>
        <w:t xml:space="preserve"> (2210 mm)</w:t>
      </w:r>
      <w:r>
        <w:rPr/>
        <w:t>] &lt;</w:t>
      </w:r>
      <w:r>
        <w:rPr>
          <w:b/>
        </w:rPr>
        <w:t>Insert dimension</w:t>
      </w:r>
      <w:r>
        <w:rPr/>
        <w:t>&gt; high, provide three hinges per leaf.</w:t>
      </w:r>
    </w:p>
    <w:p>
      <w:pPr>
        <w:pStyle w:val="PR3"/>
        <w:numPr>
          <w:ilvl w:val="6"/>
          <w:numId w:val="1"/>
        </w:numPr>
        <w:rPr/>
      </w:pPr>
      <w:r>
        <w:rPr/>
        <w:t>For doors more than [</w:t>
      </w:r>
      <w:r>
        <w:rPr>
          <w:rStyle w:val="IP"/>
          <w:b/>
        </w:rPr>
        <w:t>87 and up to 120 inches</w:t>
      </w:r>
      <w:r>
        <w:rPr>
          <w:rStyle w:val="SI"/>
          <w:b/>
        </w:rPr>
        <w:t xml:space="preserve"> (2210 and up to 3048 mm)</w:t>
      </w:r>
      <w:r>
        <w:rPr/>
        <w:t>] &lt;</w:t>
      </w:r>
      <w:r>
        <w:rPr>
          <w:b/>
        </w:rPr>
        <w:t>Insert dimensions</w:t>
      </w:r>
      <w:r>
        <w:rPr/>
        <w:t>&gt; high, provide four hinges per leaf.</w:t>
      </w:r>
    </w:p>
    <w:p>
      <w:pPr>
        <w:pStyle w:val="PR1"/>
        <w:numPr>
          <w:ilvl w:val="4"/>
          <w:numId w:val="1"/>
        </w:numPr>
        <w:rPr/>
      </w:pPr>
      <w:r>
        <w:rPr/>
        <w:t>Continuous-Gear Hinges: BHMA A156.26.</w:t>
      </w:r>
    </w:p>
    <w:p>
      <w:pPr>
        <w:pStyle w:val="PR1"/>
        <w:numPr>
          <w:ilvl w:val="4"/>
          <w:numId w:val="1"/>
        </w:numPr>
        <w:rPr/>
      </w:pPr>
      <w:r>
        <w:rPr/>
        <w:t>Mortise Auxiliary Locks: BHMA A156.5, Grade 1.</w:t>
      </w:r>
    </w:p>
    <w:p>
      <w:pPr>
        <w:pStyle w:val="CMT"/>
        <w:rPr/>
      </w:pPr>
      <w:r>
        <w:rPr/>
        <w:t>Building codes prohibit manual flush bolts at means-of-egress doors.</w:t>
      </w:r>
    </w:p>
    <w:p>
      <w:pPr>
        <w:pStyle w:val="PR1"/>
        <w:numPr>
          <w:ilvl w:val="4"/>
          <w:numId w:val="1"/>
        </w:numPr>
        <w:rPr/>
      </w:pPr>
      <w:r>
        <w:rPr/>
        <w:t>Manual Flush Bolts: BHMA A156.16, Grade 1.</w:t>
      </w:r>
    </w:p>
    <w:p>
      <w:pPr>
        <w:pStyle w:val="PR1"/>
        <w:numPr>
          <w:ilvl w:val="4"/>
          <w:numId w:val="1"/>
        </w:numPr>
        <w:rPr/>
      </w:pPr>
      <w:r>
        <w:rPr/>
        <w:t>Automatic and Self-Latching Flush Bolts: BHMA A156.3, Grade 1.</w:t>
      </w:r>
    </w:p>
    <w:p>
      <w:pPr>
        <w:pStyle w:val="PR1"/>
        <w:numPr>
          <w:ilvl w:val="4"/>
          <w:numId w:val="1"/>
        </w:numPr>
        <w:rPr/>
      </w:pPr>
      <w:r>
        <w:rPr/>
        <w:t>Panic Exit Devices: BHMA A156.3, Grade 1, listed and labeled by a testing and inspecting agency acceptable to authorities having jurisdiction, for panic protection, based on testing in accordance with UL 305.</w:t>
      </w:r>
    </w:p>
    <w:p>
      <w:pPr>
        <w:pStyle w:val="PR1"/>
        <w:numPr>
          <w:ilvl w:val="4"/>
          <w:numId w:val="1"/>
        </w:numPr>
        <w:rPr/>
      </w:pPr>
      <w:r>
        <w:rPr/>
        <w:t>Cylinders:</w:t>
      </w:r>
    </w:p>
    <w:p>
      <w:pPr>
        <w:pStyle w:val="CMT"/>
        <w:rPr/>
      </w:pPr>
      <w:r>
        <w:rPr/>
        <w:t>Retain one of two subparagraphs below. First subparagraph allows for keying for aluminum-framed entrances to be coordinated with building keying system.</w:t>
      </w:r>
    </w:p>
    <w:p>
      <w:pPr>
        <w:pStyle w:val="PR2"/>
        <w:numPr>
          <w:ilvl w:val="5"/>
          <w:numId w:val="1"/>
        </w:numPr>
        <w:spacing w:before="240" w:after="0"/>
        <w:rPr/>
      </w:pPr>
      <w:r>
        <w:rPr/>
        <w:t>[</w:t>
      </w:r>
      <w:r>
        <w:rPr>
          <w:b/>
        </w:rPr>
        <w:t>As specified in Section 087100 "Door Hardware."</w:t>
      </w:r>
      <w:r>
        <w:rPr/>
        <w:t>] [</w:t>
      </w:r>
      <w:r>
        <w:rPr>
          <w:b/>
        </w:rPr>
        <w:t>As specified in Section 087111 "Door Hardware (Descriptive Specification)."</w:t>
      </w:r>
      <w:r>
        <w:rPr/>
        <w:t>]</w:t>
      </w:r>
    </w:p>
    <w:p>
      <w:pPr>
        <w:pStyle w:val="PR2"/>
        <w:numPr>
          <w:ilvl w:val="5"/>
          <w:numId w:val="1"/>
        </w:numPr>
        <w:rPr/>
      </w:pPr>
      <w:r>
        <w:rPr/>
        <w:t>BHMA A156.5, Grade 1.</w:t>
      </w:r>
    </w:p>
    <w:p>
      <w:pPr>
        <w:pStyle w:val="PR3"/>
        <w:numPr>
          <w:ilvl w:val="6"/>
          <w:numId w:val="1"/>
        </w:numPr>
        <w:spacing w:before="240" w:after="0"/>
        <w:rPr/>
      </w:pPr>
      <w:r>
        <w:rPr/>
        <w:t>Keying: [</w:t>
      </w:r>
      <w:r>
        <w:rPr>
          <w:b/>
        </w:rPr>
        <w:t>No master</w:t>
      </w:r>
      <w:r>
        <w:rPr/>
        <w:t>] [</w:t>
      </w:r>
      <w:r>
        <w:rPr>
          <w:b/>
        </w:rPr>
        <w:t>Master</w:t>
      </w:r>
      <w:r>
        <w:rPr/>
        <w:t>] key system. Permanently inscribe each key with a visual key control number and include notation [</w:t>
      </w:r>
      <w:r>
        <w:rPr>
          <w:b/>
        </w:rPr>
        <w:t>"DO NOT DUPLICATE"</w:t>
      </w:r>
      <w:r>
        <w:rPr/>
        <w:t>] [</w:t>
      </w:r>
      <w:r>
        <w:rPr>
          <w:b/>
        </w:rPr>
        <w:t>to be furnished by Owner</w:t>
      </w:r>
      <w:r>
        <w:rPr/>
        <w:t>].</w:t>
      </w:r>
    </w:p>
    <w:p>
      <w:pPr>
        <w:pStyle w:val="PR1"/>
        <w:numPr>
          <w:ilvl w:val="4"/>
          <w:numId w:val="1"/>
        </w:numPr>
        <w:rPr/>
      </w:pPr>
      <w:r>
        <w:rPr/>
        <w:t>Strikes: Provide strike with black-plastic dust box for each latch or lock bolt; fabricated for aluminum framing.</w:t>
      </w:r>
    </w:p>
    <w:p>
      <w:pPr>
        <w:pStyle w:val="PR1"/>
        <w:numPr>
          <w:ilvl w:val="4"/>
          <w:numId w:val="1"/>
        </w:numPr>
        <w:rPr/>
      </w:pPr>
      <w:r>
        <w:rPr/>
        <w:t>Operating Trim: BHMA A156.6.</w:t>
      </w:r>
    </w:p>
    <w:p>
      <w:pPr>
        <w:pStyle w:val="PR1"/>
        <w:numPr>
          <w:ilvl w:val="4"/>
          <w:numId w:val="1"/>
        </w:numPr>
        <w:rPr/>
      </w:pPr>
      <w:r>
        <w:rPr/>
        <w:t>Removable Mullions: BHMA A156.3 extruded aluminum.</w:t>
      </w:r>
    </w:p>
    <w:p>
      <w:pPr>
        <w:pStyle w:val="PR2"/>
        <w:numPr>
          <w:ilvl w:val="5"/>
          <w:numId w:val="1"/>
        </w:numPr>
        <w:spacing w:before="240" w:after="0"/>
        <w:rPr/>
      </w:pPr>
      <w:r>
        <w:rPr/>
        <w:t>When used with panic exit devices, provide[</w:t>
      </w:r>
      <w:r>
        <w:rPr>
          <w:b/>
        </w:rPr>
        <w:t> keyed</w:t>
      </w:r>
      <w:r>
        <w:rPr/>
        <w:t>] removable mullions listed and labeled by a testing and inspecting agency acceptable to authorities having jurisdiction, for panic protection, based on testing in accordance with UL 305. Use only mullions that have been tested with exit devices to be used.</w:t>
      </w:r>
    </w:p>
    <w:p>
      <w:pPr>
        <w:pStyle w:val="PR1"/>
        <w:numPr>
          <w:ilvl w:val="4"/>
          <w:numId w:val="1"/>
        </w:numPr>
        <w:rPr/>
      </w:pPr>
      <w:r>
        <w:rPr/>
        <w:t>Closers: BHMA A156.4, Grade 1, with accessories required for a complete installation, sized as required by door size, exposure to weather, and anticipated frequency of use; adjustable to comply with field conditions and requirements for opening force.</w:t>
      </w:r>
    </w:p>
    <w:p>
      <w:pPr>
        <w:pStyle w:val="PR1"/>
        <w:numPr>
          <w:ilvl w:val="4"/>
          <w:numId w:val="1"/>
        </w:numPr>
        <w:rPr/>
      </w:pPr>
      <w:r>
        <w:rPr/>
        <w:t>Concealed Overhead Holders and Stops: BHMA A156.8, Grade 1.</w:t>
      </w:r>
    </w:p>
    <w:p>
      <w:pPr>
        <w:pStyle w:val="PR1"/>
        <w:numPr>
          <w:ilvl w:val="4"/>
          <w:numId w:val="1"/>
        </w:numPr>
        <w:rPr/>
      </w:pPr>
      <w:r>
        <w:rPr/>
        <w:t>Door Stops: BHMA A156.16, Grade 1, floor or wall mounted, as appropriate for door location indicated, with integral rubber bumper.</w:t>
      </w:r>
    </w:p>
    <w:p>
      <w:pPr>
        <w:pStyle w:val="PR1"/>
        <w:numPr>
          <w:ilvl w:val="4"/>
          <w:numId w:val="1"/>
        </w:numPr>
        <w:rPr/>
      </w:pPr>
      <w:r>
        <w:rPr/>
        <w:t>Weather Stripping: Manufacturer's standard replaceable components.</w:t>
      </w:r>
    </w:p>
    <w:p>
      <w:pPr>
        <w:pStyle w:val="PR2"/>
        <w:numPr>
          <w:ilvl w:val="5"/>
          <w:numId w:val="1"/>
        </w:numPr>
        <w:spacing w:before="240" w:after="0"/>
        <w:rPr/>
      </w:pPr>
      <w:r>
        <w:rPr/>
        <w:t>Compression Type: Made of ASTM D2000 molded neoprene or ASTM D2287 molded PVC.</w:t>
      </w:r>
    </w:p>
    <w:p>
      <w:pPr>
        <w:pStyle w:val="PR2"/>
        <w:numPr>
          <w:ilvl w:val="5"/>
          <w:numId w:val="1"/>
        </w:numPr>
        <w:rPr/>
      </w:pPr>
      <w:r>
        <w:rPr/>
        <w:t>Sliding Type: AAMA 701/702, made of wool, polypropylene, or nylon woven pile with nylon-fabric or aluminum-strip backing.</w:t>
      </w:r>
    </w:p>
    <w:p>
      <w:pPr>
        <w:pStyle w:val="PR1"/>
        <w:numPr>
          <w:ilvl w:val="4"/>
          <w:numId w:val="1"/>
        </w:numPr>
        <w:rPr/>
      </w:pPr>
      <w:r>
        <w:rPr/>
        <w:t>Weather Sweeps: Manufacturer's standard exterior-door bottom sweep with concealed fasteners on mounting strip.</w:t>
      </w:r>
    </w:p>
    <w:p>
      <w:pPr>
        <w:pStyle w:val="CMT"/>
        <w:rPr/>
      </w:pPr>
      <w:r>
        <w:rPr/>
        <w:t>"Thresholds" Paragraph below is based on ADA-ABA Accessibility Guidelines requirements for egress doors.</w:t>
      </w:r>
    </w:p>
    <w:p>
      <w:pPr>
        <w:pStyle w:val="PR1"/>
        <w:numPr>
          <w:ilvl w:val="4"/>
          <w:numId w:val="1"/>
        </w:numPr>
        <w:rPr/>
      </w:pPr>
      <w:r>
        <w:rPr/>
        <w:t xml:space="preserve">Thresholds: BHMA A156.21 raised thresholds beveled with a slope of not more than 1:2, with maximum height of </w:t>
      </w:r>
      <w:r>
        <w:rPr>
          <w:rStyle w:val="IP"/>
        </w:rPr>
        <w:t>1/2 inch</w:t>
      </w:r>
      <w:r>
        <w:rPr>
          <w:rStyle w:val="SI"/>
        </w:rPr>
        <w:t xml:space="preserve"> (12.7 mm)</w:t>
      </w:r>
      <w:r>
        <w:rPr/>
        <w:t>.</w:t>
      </w:r>
    </w:p>
    <w:p>
      <w:pPr>
        <w:pStyle w:val="CMT"/>
        <w:rPr/>
      </w:pPr>
      <w:r>
        <w:rPr/>
        <w:t>Retain "Finger Guards" Paragraph below for entrance doors with center pivots.</w:t>
      </w:r>
    </w:p>
    <w:p>
      <w:pPr>
        <w:pStyle w:val="PR1"/>
        <w:numPr>
          <w:ilvl w:val="4"/>
          <w:numId w:val="1"/>
        </w:numPr>
        <w:rPr/>
      </w:pPr>
      <w:r>
        <w:rPr/>
        <w:t>Finger Guards: Manufacturer's standard collapsible neoprene or PVC gasket anchored to frame hinge-jamb at center-pivoted doors.</w:t>
      </w:r>
    </w:p>
    <w:p>
      <w:pPr>
        <w:pStyle w:val="ART"/>
        <w:numPr>
          <w:ilvl w:val="3"/>
          <w:numId w:val="1"/>
        </w:numPr>
        <w:ind w:hanging="0" w:left="0"/>
        <w:rPr/>
      </w:pPr>
      <w:r>
        <w:rPr/>
        <w:t>GLAZING</w:t>
      </w:r>
    </w:p>
    <w:p>
      <w:pPr>
        <w:pStyle w:val="PR1"/>
        <w:numPr>
          <w:ilvl w:val="4"/>
          <w:numId w:val="1"/>
        </w:numPr>
        <w:rPr/>
      </w:pPr>
      <w:r>
        <w:rPr/>
        <w:t>Glazing: Comply with Section 088000 "Glazing."</w:t>
      </w:r>
    </w:p>
    <w:p>
      <w:pPr>
        <w:pStyle w:val="CMT"/>
        <w:rPr/>
      </w:pPr>
      <w:r>
        <w:rPr/>
        <w:t>Retain first option in "Glazing Gaskets" Paragraph below for dry glazing system based on manufacturer's standard systems, or retain second option and specify gaskets in Section 088000 "Glazing." Silicone glazing gaskets are available in custom colors from some manufacturers.</w:t>
      </w:r>
    </w:p>
    <w:p>
      <w:pPr>
        <w:pStyle w:val="PR1"/>
        <w:numPr>
          <w:ilvl w:val="4"/>
          <w:numId w:val="1"/>
        </w:numPr>
        <w:rPr/>
      </w:pPr>
      <w:r>
        <w:rPr/>
        <w:t>Glazing Gaskets: [</w:t>
      </w:r>
      <w:r>
        <w:rPr>
          <w:b/>
        </w:rPr>
        <w:t>Manufacturer's standard sealed-corner pressure-glazing system of black, resilient elastomeric glazing gaskets, setting blocks, and shims or spacers.</w:t>
      </w:r>
      <w:r>
        <w:rPr/>
        <w:t>] [</w:t>
      </w:r>
      <w:r>
        <w:rPr>
          <w:b/>
        </w:rPr>
        <w:t>Comply with Section 088000 "Glazing."</w:t>
      </w:r>
      <w:r>
        <w:rPr/>
        <w:t>]</w:t>
      </w:r>
    </w:p>
    <w:p>
      <w:pPr>
        <w:pStyle w:val="CMT"/>
        <w:rPr/>
      </w:pPr>
      <w:r>
        <w:rPr/>
        <w:t>Retain first option in "Glazing Sealants" Paragraph below for products based on manufacturer's standard systems, or retain second option and specify sealants for glazing systems in Section 088000 "Glazing."</w:t>
      </w:r>
    </w:p>
    <w:p>
      <w:pPr>
        <w:pStyle w:val="PR1"/>
        <w:numPr>
          <w:ilvl w:val="4"/>
          <w:numId w:val="1"/>
        </w:numPr>
        <w:rPr/>
      </w:pPr>
      <w:r>
        <w:rPr/>
        <w:t>Glazing Sealants: [</w:t>
      </w:r>
      <w:r>
        <w:rPr>
          <w:b/>
        </w:rPr>
        <w:t>As recommended by manufacturer.</w:t>
      </w:r>
      <w:r>
        <w:rPr/>
        <w:t>] [</w:t>
      </w:r>
      <w:r>
        <w:rPr>
          <w:b/>
        </w:rPr>
        <w:t>Comply with Section 088000 "Glazing."</w:t>
      </w:r>
      <w:r>
        <w:rPr/>
        <w:t>]</w:t>
      </w:r>
    </w:p>
    <w:p>
      <w:pPr>
        <w:pStyle w:val="PR2"/>
        <w:numPr>
          <w:ilvl w:val="5"/>
          <w:numId w:val="1"/>
        </w:numPr>
        <w:spacing w:before="240" w:after="0"/>
        <w:rPr/>
      </w:pPr>
      <w:hyperlink r:id="rId12">
        <w:r>
          <w:rPr>
            <w:rStyle w:val="Hyperlink"/>
          </w:rPr>
          <w:t>&lt;Double click to insert sustainable design text for sealants.&gt;</w:t>
        </w:r>
      </w:hyperlink>
    </w:p>
    <w:p>
      <w:pPr>
        <w:pStyle w:val="PR2"/>
        <w:numPr>
          <w:ilvl w:val="5"/>
          <w:numId w:val="1"/>
        </w:numPr>
        <w:rPr/>
      </w:pPr>
      <w:hyperlink r:id="rId13">
        <w:r>
          <w:rPr>
            <w:rStyle w:val="Hyperlink"/>
          </w:rPr>
          <w:t>&lt;Double click to insert sustainable design text for sealants.&gt;</w:t>
        </w:r>
      </w:hyperlink>
    </w:p>
    <w:p>
      <w:pPr>
        <w:pStyle w:val="ART"/>
        <w:numPr>
          <w:ilvl w:val="3"/>
          <w:numId w:val="1"/>
        </w:numPr>
        <w:ind w:hanging="0" w:left="0"/>
        <w:rPr/>
      </w:pPr>
      <w:r>
        <w:rPr/>
        <w:t>ACCESSORIES</w:t>
      </w:r>
    </w:p>
    <w:p>
      <w:pPr>
        <w:pStyle w:val="CMT"/>
        <w:rPr/>
      </w:pPr>
      <w:r>
        <w:rPr/>
        <w:t>Retain first option in "Automatic Door Operators" Paragraph below for automatic door operators furnished separately from doors and frames; retain second option for swinging doors and frames packaged with automatic door operators.</w:t>
      </w:r>
    </w:p>
    <w:p>
      <w:pPr>
        <w:pStyle w:val="PR1"/>
        <w:numPr>
          <w:ilvl w:val="4"/>
          <w:numId w:val="1"/>
        </w:numPr>
        <w:rPr/>
      </w:pPr>
      <w:r>
        <w:rPr/>
        <w:t>Automatic Door Operators: [</w:t>
      </w:r>
      <w:r>
        <w:rPr>
          <w:b/>
        </w:rPr>
        <w:t>Section 087113 "Power Door Operators."</w:t>
      </w:r>
      <w:r>
        <w:rPr/>
        <w:t>] [</w:t>
      </w:r>
      <w:r>
        <w:rPr>
          <w:b/>
        </w:rPr>
        <w:t>Section 084229.33 "Swinging Automatic Entrances."</w:t>
      </w:r>
      <w:r>
        <w:rPr/>
        <w:t>]</w:t>
      </w:r>
    </w:p>
    <w:p>
      <w:pPr>
        <w:pStyle w:val="PR1"/>
        <w:numPr>
          <w:ilvl w:val="4"/>
          <w:numId w:val="1"/>
        </w:numPr>
        <w:rPr/>
      </w:pPr>
      <w:r>
        <w:rPr/>
        <w:t>Fasteners and Accessories: Manufacturer's standard corrosion-resistant, nonstaining, nonbleeding fasteners and accessories compatible with adjacent materials.</w:t>
      </w:r>
    </w:p>
    <w:p>
      <w:pPr>
        <w:pStyle w:val="PR2"/>
        <w:numPr>
          <w:ilvl w:val="5"/>
          <w:numId w:val="1"/>
        </w:numPr>
        <w:spacing w:before="240" w:after="0"/>
        <w:rPr/>
      </w:pPr>
      <w:r>
        <w:rPr/>
        <w:t>Use self-locking devices where fasteners are subject to loosening or turning out from thermal and structural movements, wind loads, or vibration.</w:t>
      </w:r>
    </w:p>
    <w:p>
      <w:pPr>
        <w:pStyle w:val="PR2"/>
        <w:numPr>
          <w:ilvl w:val="5"/>
          <w:numId w:val="1"/>
        </w:numPr>
        <w:rPr/>
      </w:pPr>
      <w:r>
        <w:rPr/>
        <w:t>Reinforce members as required to receive fastener threads.</w:t>
      </w:r>
    </w:p>
    <w:p>
      <w:pPr>
        <w:pStyle w:val="CMT"/>
        <w:rPr/>
      </w:pPr>
      <w:r>
        <w:rPr/>
        <w:t>Retain subparagraph below for exposed fasteners if any.</w:t>
      </w:r>
    </w:p>
    <w:p>
      <w:pPr>
        <w:pStyle w:val="PR2"/>
        <w:numPr>
          <w:ilvl w:val="5"/>
          <w:numId w:val="1"/>
        </w:numPr>
        <w:rPr/>
      </w:pPr>
      <w:r>
        <w:rPr/>
        <w:t>Use exposed fasteners with countersunk Phillips screw heads[</w:t>
      </w:r>
      <w:r>
        <w:rPr>
          <w:b/>
        </w:rPr>
        <w:t>, finished to match framing system</w:t>
      </w:r>
      <w:r>
        <w:rPr/>
        <w:t>][</w:t>
      </w:r>
      <w:r>
        <w:rPr>
          <w:b/>
        </w:rPr>
        <w:t>, fabricated from 300 series stainless steel</w:t>
      </w:r>
      <w:r>
        <w:rPr/>
        <w:t>].</w:t>
      </w:r>
    </w:p>
    <w:p>
      <w:pPr>
        <w:pStyle w:val="PR1"/>
        <w:numPr>
          <w:ilvl w:val="4"/>
          <w:numId w:val="1"/>
        </w:numPr>
        <w:rPr/>
      </w:pPr>
      <w:r>
        <w:rPr/>
        <w:t>Anchors: Three-way adjustable anchors with minimum adjustment of [</w:t>
      </w:r>
      <w:r>
        <w:rPr>
          <w:rStyle w:val="IP"/>
          <w:b/>
        </w:rPr>
        <w:t>1 inch</w:t>
      </w:r>
      <w:r>
        <w:rPr>
          <w:rStyle w:val="SI"/>
          <w:b/>
        </w:rPr>
        <w:t xml:space="preserve"> (25.4 mm)</w:t>
      </w:r>
      <w:r>
        <w:rPr/>
        <w:t>] &lt;</w:t>
      </w:r>
      <w:r>
        <w:rPr>
          <w:b/>
        </w:rPr>
        <w:t>Insert dimension</w:t>
      </w:r>
      <w:r>
        <w:rPr/>
        <w:t>&gt; that accommodate fabrication and installation tolerances in material and finish compatible with adjoining materials and recommended by manufacturer.</w:t>
      </w:r>
    </w:p>
    <w:p>
      <w:pPr>
        <w:pStyle w:val="CMT"/>
        <w:rPr/>
      </w:pPr>
      <w:r>
        <w:rPr/>
        <w:t>Retain "Concrete and Masonry Inserts" Subparagraph below if applicable, or revise to suit Project.</w:t>
      </w:r>
    </w:p>
    <w:p>
      <w:pPr>
        <w:pStyle w:val="PR2"/>
        <w:numPr>
          <w:ilvl w:val="5"/>
          <w:numId w:val="1"/>
        </w:numPr>
        <w:spacing w:before="240" w:after="0"/>
        <w:rPr/>
      </w:pPr>
      <w:r>
        <w:rPr/>
        <w:t>Concrete and Masonry Inserts: Hot-dip galvanized cast-iron, malleable-iron, or steel inserts complying with ASTM A123/A123M or ASTM A153/A153M requirements.</w:t>
      </w:r>
    </w:p>
    <w:p>
      <w:pPr>
        <w:pStyle w:val="PR1"/>
        <w:numPr>
          <w:ilvl w:val="4"/>
          <w:numId w:val="1"/>
        </w:numPr>
        <w:rPr/>
      </w:pPr>
      <w:r>
        <w:rPr/>
        <w:t>Concealed Flashing: [</w:t>
      </w:r>
      <w:r>
        <w:rPr>
          <w:b/>
        </w:rPr>
        <w:t>Manufacturer's standard corrosion-resistant, nonstaining, nonbleeding flashing compatible with adjacent materials</w:t>
      </w:r>
      <w:r>
        <w:rPr/>
        <w:t>] [</w:t>
      </w:r>
      <w:r>
        <w:rPr>
          <w:b/>
        </w:rPr>
        <w:t xml:space="preserve">Dead-soft, </w:t>
      </w:r>
      <w:r>
        <w:rPr>
          <w:rStyle w:val="IP"/>
          <w:b/>
        </w:rPr>
        <w:t>0.018-inch-</w:t>
      </w:r>
      <w:r>
        <w:rPr>
          <w:rStyle w:val="SI"/>
          <w:b/>
        </w:rPr>
        <w:t xml:space="preserve"> (0.457-mm-)</w:t>
      </w:r>
      <w:r>
        <w:rPr>
          <w:b/>
        </w:rPr>
        <w:t xml:space="preserve"> thick stainless steel, complying with ASTM A240/A240M, of type recommended by manufacturer</w:t>
      </w:r>
      <w:r>
        <w:rPr/>
        <w:t>].</w:t>
      </w:r>
    </w:p>
    <w:p>
      <w:pPr>
        <w:pStyle w:val="PR1"/>
        <w:numPr>
          <w:ilvl w:val="4"/>
          <w:numId w:val="1"/>
        </w:numPr>
        <w:rPr/>
      </w:pPr>
      <w:r>
        <w:rPr/>
        <w:t xml:space="preserve">Bituminous Paint: Cold-applied asphalt-mastic paint containing no asbestos, formulated for </w:t>
      </w:r>
      <w:r>
        <w:rPr>
          <w:rStyle w:val="IP"/>
        </w:rPr>
        <w:t>30-mil</w:t>
      </w:r>
      <w:r>
        <w:rPr>
          <w:rStyle w:val="SI"/>
        </w:rPr>
        <w:t xml:space="preserve"> (0.762-mm)</w:t>
      </w:r>
      <w:r>
        <w:rPr/>
        <w:t xml:space="preserve"> thickness per coat.</w:t>
      </w:r>
    </w:p>
    <w:p>
      <w:pPr>
        <w:pStyle w:val="CMT"/>
        <w:rPr/>
      </w:pPr>
      <w:r>
        <w:rPr/>
        <w:t>Rigid PVC filler in paragraph below is used to improve installation of backer rod and perimeter sealant by providing support for backer rod. Retain if required.</w:t>
      </w:r>
    </w:p>
    <w:p>
      <w:pPr>
        <w:pStyle w:val="PR1"/>
        <w:numPr>
          <w:ilvl w:val="4"/>
          <w:numId w:val="1"/>
        </w:numPr>
        <w:rPr/>
      </w:pPr>
      <w:r>
        <w:rPr/>
        <w:t>Rigid PVC filler.</w:t>
      </w:r>
    </w:p>
    <w:p>
      <w:pPr>
        <w:pStyle w:val="ART"/>
        <w:numPr>
          <w:ilvl w:val="3"/>
          <w:numId w:val="1"/>
        </w:numPr>
        <w:ind w:hanging="0" w:left="0"/>
        <w:rPr/>
      </w:pPr>
      <w:r>
        <w:rPr/>
        <w:t>FABRICATION</w:t>
      </w:r>
    </w:p>
    <w:p>
      <w:pPr>
        <w:pStyle w:val="PR1"/>
        <w:numPr>
          <w:ilvl w:val="4"/>
          <w:numId w:val="1"/>
        </w:numPr>
        <w:rPr/>
      </w:pPr>
      <w:r>
        <w:rPr/>
        <w:t>Form or extrude aluminum shapes before finishing.</w:t>
      </w:r>
    </w:p>
    <w:p>
      <w:pPr>
        <w:pStyle w:val="PR1"/>
        <w:numPr>
          <w:ilvl w:val="4"/>
          <w:numId w:val="1"/>
        </w:numPr>
        <w:rPr/>
      </w:pPr>
      <w:r>
        <w:rPr/>
        <w:t>Weld in concealed locations to greatest extent possible to minimize distortion or discoloration of finish. Remove weld spatter and welding oxides from exposed surfaces by descaling or grinding.</w:t>
      </w:r>
    </w:p>
    <w:p>
      <w:pPr>
        <w:pStyle w:val="PR1"/>
        <w:numPr>
          <w:ilvl w:val="4"/>
          <w:numId w:val="1"/>
        </w:numPr>
        <w:rPr/>
      </w:pPr>
      <w:r>
        <w:rPr/>
        <w:t>Fabricate components that, when assembled, have the following characteristics:</w:t>
      </w:r>
    </w:p>
    <w:p>
      <w:pPr>
        <w:pStyle w:val="PR2"/>
        <w:numPr>
          <w:ilvl w:val="5"/>
          <w:numId w:val="1"/>
        </w:numPr>
        <w:spacing w:before="240" w:after="0"/>
        <w:rPr/>
      </w:pPr>
      <w:r>
        <w:rPr/>
        <w:t>Profiles that are sharp, straight, and free of defects or deformations.</w:t>
      </w:r>
    </w:p>
    <w:p>
      <w:pPr>
        <w:pStyle w:val="PR2"/>
        <w:numPr>
          <w:ilvl w:val="5"/>
          <w:numId w:val="1"/>
        </w:numPr>
        <w:rPr/>
      </w:pPr>
      <w:r>
        <w:rPr/>
        <w:t>Accurately fitted joints with ends coped or mitered.</w:t>
      </w:r>
    </w:p>
    <w:p>
      <w:pPr>
        <w:pStyle w:val="PR2"/>
        <w:numPr>
          <w:ilvl w:val="5"/>
          <w:numId w:val="1"/>
        </w:numPr>
        <w:rPr/>
      </w:pPr>
      <w:r>
        <w:rPr/>
        <w:t>Physical and thermal isolation of glazing from framing members.</w:t>
      </w:r>
    </w:p>
    <w:p>
      <w:pPr>
        <w:pStyle w:val="PR2"/>
        <w:numPr>
          <w:ilvl w:val="5"/>
          <w:numId w:val="1"/>
        </w:numPr>
        <w:rPr/>
      </w:pPr>
      <w:r>
        <w:rPr/>
        <w:t>Accommodations for thermal and mechanical movements of glazing and framing to maintain required glazing edge clearances.</w:t>
      </w:r>
    </w:p>
    <w:p>
      <w:pPr>
        <w:pStyle w:val="PR2"/>
        <w:numPr>
          <w:ilvl w:val="5"/>
          <w:numId w:val="1"/>
        </w:numPr>
        <w:rPr/>
      </w:pPr>
      <w:r>
        <w:rPr/>
        <w:t>Fasteners, anchors, and connection devices that are concealed from view to greatest extent possible.</w:t>
      </w:r>
    </w:p>
    <w:p>
      <w:pPr>
        <w:pStyle w:val="PR1"/>
        <w:numPr>
          <w:ilvl w:val="4"/>
          <w:numId w:val="1"/>
        </w:numPr>
        <w:rPr/>
      </w:pPr>
      <w:r>
        <w:rPr/>
        <w:t>Entrance Door Frames: Reinforce as required to support loads imposed by door operation and for installing entrance door hardware.</w:t>
      </w:r>
    </w:p>
    <w:p>
      <w:pPr>
        <w:pStyle w:val="PR2"/>
        <w:numPr>
          <w:ilvl w:val="5"/>
          <w:numId w:val="1"/>
        </w:numPr>
        <w:spacing w:before="240" w:after="0"/>
        <w:rPr/>
      </w:pPr>
      <w:r>
        <w:rPr/>
        <w:t>At interior and exterior doors, provide compression weather stripping at fixed stops.</w:t>
      </w:r>
    </w:p>
    <w:p>
      <w:pPr>
        <w:pStyle w:val="PR1"/>
        <w:numPr>
          <w:ilvl w:val="4"/>
          <w:numId w:val="1"/>
        </w:numPr>
        <w:rPr/>
      </w:pPr>
      <w:r>
        <w:rPr/>
        <w:t>Entrance Doors: Reinforce doors as required for installing entrance door hardware.</w:t>
      </w:r>
    </w:p>
    <w:p>
      <w:pPr>
        <w:pStyle w:val="PR2"/>
        <w:numPr>
          <w:ilvl w:val="5"/>
          <w:numId w:val="1"/>
        </w:numPr>
        <w:spacing w:before="240" w:after="0"/>
        <w:rPr/>
      </w:pPr>
      <w:r>
        <w:rPr/>
        <w:t>At pairs of exterior doors, provide sliding-type weather stripping retained in adjustable strip and mortised into door edge.</w:t>
      </w:r>
    </w:p>
    <w:p>
      <w:pPr>
        <w:pStyle w:val="PR2"/>
        <w:numPr>
          <w:ilvl w:val="5"/>
          <w:numId w:val="1"/>
        </w:numPr>
        <w:rPr/>
      </w:pPr>
      <w:r>
        <w:rPr/>
        <w:t>At exterior doors, provide weather sweeps applied to door bottoms.</w:t>
      </w:r>
    </w:p>
    <w:p>
      <w:pPr>
        <w:pStyle w:val="PR1"/>
        <w:numPr>
          <w:ilvl w:val="4"/>
          <w:numId w:val="1"/>
        </w:numPr>
        <w:rPr/>
      </w:pPr>
      <w:r>
        <w:rPr/>
        <w:t>Entrance Door Hardware Installation: Factory install entrance door hardware to the greatest extent possible. Cut, drill, and tap for factory-installed entrance door hardware before applying finishes.</w:t>
      </w:r>
    </w:p>
    <w:p>
      <w:pPr>
        <w:pStyle w:val="PR1"/>
        <w:numPr>
          <w:ilvl w:val="4"/>
          <w:numId w:val="1"/>
        </w:numPr>
        <w:rPr/>
      </w:pPr>
      <w:r>
        <w:rPr/>
        <w:t>After fabrication, clearly mark components to identify their locations in Project in accordance with Shop Drawings.</w:t>
      </w:r>
    </w:p>
    <w:p>
      <w:pPr>
        <w:pStyle w:val="ART"/>
        <w:numPr>
          <w:ilvl w:val="3"/>
          <w:numId w:val="1"/>
        </w:numPr>
        <w:ind w:hanging="0" w:left="0"/>
        <w:rPr/>
      </w:pPr>
      <w:r>
        <w:rPr/>
        <w:t>ALUMINUM FINISHES</w:t>
      </w:r>
    </w:p>
    <w:p>
      <w:pPr>
        <w:pStyle w:val="CMT"/>
        <w:rPr/>
      </w:pPr>
      <w:r>
        <w:rPr/>
        <w:t>Retain finishes in paragraphs below to suit Project. If retaining more than one, indicate location of each on Drawings or by inserts. Aluminum-framing systems are available with dual finishes, allowing different interior and exterior color finishes. See "Aluminum Finishes" Article in the Evaluations for additional information.</w:t>
      </w:r>
    </w:p>
    <w:p>
      <w:pPr>
        <w:pStyle w:val="CMT"/>
        <w:rPr/>
      </w:pPr>
      <w:r>
        <w:rPr/>
        <w:t>Retain one of two options in "Clear Anodic Finish" Paragraph below. Verify availability with manufacturers.</w:t>
      </w:r>
    </w:p>
    <w:p>
      <w:pPr>
        <w:pStyle w:val="PR1"/>
        <w:numPr>
          <w:ilvl w:val="4"/>
          <w:numId w:val="1"/>
        </w:numPr>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Paragraph below. Verify availability with manufacturers.</w:t>
      </w:r>
    </w:p>
    <w:p>
      <w:pPr>
        <w:pStyle w:val="PR1"/>
        <w:numPr>
          <w:ilvl w:val="4"/>
          <w:numId w:val="1"/>
        </w:numPr>
        <w:rPr/>
      </w:pPr>
      <w:r>
        <w:rPr/>
        <w:t>Color Anodic Finish: AAMA 611, [</w:t>
      </w:r>
      <w:r>
        <w:rPr>
          <w:b/>
        </w:rPr>
        <w:t>AA-M12C22A42/A44, Class I, 0.018 mm</w:t>
      </w:r>
      <w:r>
        <w:rPr/>
        <w:t>] [</w:t>
      </w:r>
      <w:r>
        <w:rPr>
          <w:b/>
        </w:rPr>
        <w:t>AA-M12C22A32/A34, Class II, 0.010 mm</w:t>
      </w:r>
      <w:r>
        <w:rPr/>
        <w:t>] or thicker.</w:t>
      </w:r>
    </w:p>
    <w:p>
      <w:pPr>
        <w:pStyle w:val="CMT"/>
        <w:rPr/>
      </w:pPr>
      <w:r>
        <w:rPr/>
        <w:t>Options in "Color" Subparagraph below are examples only and may vary in color range and availability among manufacturers.</w:t>
      </w:r>
    </w:p>
    <w:p>
      <w:pPr>
        <w:pStyle w:val="PR2"/>
        <w:numPr>
          <w:ilvl w:val="5"/>
          <w:numId w:val="1"/>
        </w:numPr>
        <w:spacing w:before="240" w:after="0"/>
        <w:rPr/>
      </w:pPr>
      <w:r>
        <w:rPr/>
        <w:t>Color: [</w:t>
      </w:r>
      <w:r>
        <w:rPr>
          <w:b/>
        </w:rPr>
        <w:t>Light bronze</w:t>
      </w:r>
      <w:r>
        <w:rPr/>
        <w:t>] [</w:t>
      </w:r>
      <w:r>
        <w:rPr>
          <w:b/>
        </w:rPr>
        <w:t>Medium bronze</w:t>
      </w:r>
      <w:r>
        <w:rPr/>
        <w:t>] [</w:t>
      </w:r>
      <w:r>
        <w:rPr>
          <w:b/>
        </w:rPr>
        <w:t>Dark bronze</w:t>
      </w:r>
      <w:r>
        <w:rPr/>
        <w:t>] [</w:t>
      </w:r>
      <w:r>
        <w:rPr>
          <w:b/>
        </w:rPr>
        <w:t>Champagne</w:t>
      </w:r>
      <w:r>
        <w:rPr/>
        <w:t>] [</w:t>
      </w:r>
      <w:r>
        <w:rPr>
          <w:b/>
        </w:rPr>
        <w:t>Black</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CMT"/>
        <w:rPr/>
      </w:pPr>
      <w:r>
        <w:rPr/>
        <w:t>"Baked-Enamel or Powder-Coat Finish" Paragraph below references AAMA standard for pigmented organic coating on aluminum extrusions and panels.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Retain "High-Performance Organic Finish, Two-Coat PVDF"; "Superior-Performance Organic Finish, Three-Coat PVDF"; "Superior-Performance Organic Finish, Four-Coat PVDF"; "Superior-Performance Organic Finish, Single-Coat FEVE"; or "Superior-Performance Organic Finish, Two-Coat FEVE" Paragraph below; if more than one is required, indicate location of each system on Drawings, in schedules, or by inserts. Coordinate finish system selected with special finish warranty period specified in "Warranty" Article.</w:t>
      </w:r>
    </w:p>
    <w:p>
      <w:pPr>
        <w:pStyle w:val="CMT"/>
        <w:rPr/>
      </w:pPr>
      <w:r>
        <w:rPr/>
        <w:t>In "High-Performance Organic Finish, Two-Coat PVDF" Paragraph below, retain AAMA 2604 with 50 percent resin content by weight in color coat or AAMA 2605 with 70 percent resin content by weight in color coat for high-performance organic coatings on extrusions and panels. If specific products are required, name coating manufacturers and products.</w:t>
      </w:r>
    </w:p>
    <w:p>
      <w:pPr>
        <w:pStyle w:val="PR1"/>
        <w:numPr>
          <w:ilvl w:val="4"/>
          <w:numId w:val="1"/>
        </w:numPr>
        <w:rPr/>
      </w:pPr>
      <w:r>
        <w:rPr/>
        <w:t>High-Performance Organic Finish, Two-Coat PVDF: Fluoropolymer finish complying with [</w:t>
      </w:r>
      <w:r>
        <w:rPr>
          <w:b/>
        </w:rPr>
        <w:t>AAMA 2604</w:t>
      </w:r>
      <w:r>
        <w:rPr/>
        <w:t>] [</w:t>
      </w:r>
      <w:r>
        <w:rPr>
          <w:b/>
        </w:rPr>
        <w:t>AAMA 2605</w:t>
      </w:r>
      <w:r>
        <w:rPr/>
        <w:t>] and containing not less than [</w:t>
      </w:r>
      <w:r>
        <w:rPr>
          <w:b/>
        </w:rPr>
        <w:t>50</w:t>
      </w:r>
      <w:r>
        <w:rPr/>
        <w:t>] [</w:t>
      </w:r>
      <w:r>
        <w:rPr>
          <w:b/>
        </w:rPr>
        <w:t>70</w:t>
      </w:r>
      <w:r>
        <w:rPr/>
        <w:t>] percent PVDF resin by weight in color coat.</w:t>
      </w:r>
    </w:p>
    <w:p>
      <w:pPr>
        <w:pStyle w:val="PR2"/>
        <w:numPr>
          <w:ilvl w:val="5"/>
          <w:numId w:val="1"/>
        </w:numPr>
        <w:spacing w:before="240" w:after="0"/>
        <w:rPr/>
      </w:pPr>
      <w:r>
        <w:rPr/>
        <w:t>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Three-Coat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Four-Coat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"Superior-Performance Organic Finish, Single-Coat FEVE"" Paragraph below is unsuitable for seacoast and severe environments.</w:t>
      </w:r>
    </w:p>
    <w:p>
      <w:pPr>
        <w:pStyle w:val="PR1"/>
        <w:numPr>
          <w:ilvl w:val="4"/>
          <w:numId w:val="1"/>
        </w:numPr>
        <w:rPr/>
      </w:pPr>
      <w:r>
        <w:rPr/>
        <w:t>Superior-Performance Organic Finish, Single-Coat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Two-Coat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 for seacoast and severe environments.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with Installer present,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ALUMINUM-FRAMED ENTRANCE DOOR SYSTEMS</w:t>
      </w:r>
    </w:p>
    <w:p>
      <w:pPr>
        <w:pStyle w:val="PR1"/>
        <w:numPr>
          <w:ilvl w:val="4"/>
          <w:numId w:val="1"/>
        </w:numPr>
        <w:rPr/>
      </w:pPr>
      <w:r>
        <w:rPr/>
        <w:t>Comply with manufacturer's written instructions.</w:t>
      </w:r>
    </w:p>
    <w:p>
      <w:pPr>
        <w:pStyle w:val="PR1"/>
        <w:numPr>
          <w:ilvl w:val="4"/>
          <w:numId w:val="1"/>
        </w:numPr>
        <w:rPr/>
      </w:pPr>
      <w:r>
        <w:rPr/>
        <w:t>Do not install damaged components.</w:t>
      </w:r>
    </w:p>
    <w:p>
      <w:pPr>
        <w:pStyle w:val="PR1"/>
        <w:numPr>
          <w:ilvl w:val="4"/>
          <w:numId w:val="1"/>
        </w:numPr>
        <w:rPr/>
      </w:pPr>
      <w:r>
        <w:rPr/>
        <w:t>Fit joints to produce hairline joints free of burrs and distortion.</w:t>
      </w:r>
    </w:p>
    <w:p>
      <w:pPr>
        <w:pStyle w:val="PR1"/>
        <w:numPr>
          <w:ilvl w:val="4"/>
          <w:numId w:val="1"/>
        </w:numPr>
        <w:rPr/>
      </w:pPr>
      <w:r>
        <w:rPr/>
        <w:t>Rigidly secure nonmovement joints.</w:t>
      </w:r>
    </w:p>
    <w:p>
      <w:pPr>
        <w:pStyle w:val="PR1"/>
        <w:numPr>
          <w:ilvl w:val="4"/>
          <w:numId w:val="1"/>
        </w:numPr>
        <w:rPr/>
      </w:pPr>
      <w:r>
        <w:rPr/>
        <w:t>Install anchors with separators and isolators to prevent metal corrosion and electrolytic deterioration and to prevent impeding movement of moving joints.</w:t>
      </w:r>
    </w:p>
    <w:p>
      <w:pPr>
        <w:pStyle w:val="PR1"/>
        <w:numPr>
          <w:ilvl w:val="4"/>
          <w:numId w:val="1"/>
        </w:numPr>
        <w:rPr/>
      </w:pPr>
      <w:r>
        <w:rPr/>
        <w:t>Seal perimeter and other joints watertight unless otherwise indicated.</w:t>
      </w:r>
    </w:p>
    <w:p>
      <w:pPr>
        <w:pStyle w:val="PR1"/>
        <w:numPr>
          <w:ilvl w:val="4"/>
          <w:numId w:val="1"/>
        </w:numPr>
        <w:rPr/>
      </w:pPr>
      <w:r>
        <w:rPr/>
        <w:t>Metal Protection:</w:t>
      </w:r>
    </w:p>
    <w:p>
      <w:pPr>
        <w:pStyle w:val="PR2"/>
        <w:numPr>
          <w:ilvl w:val="5"/>
          <w:numId w:val="1"/>
        </w:numPr>
        <w:spacing w:before="240" w:after="0"/>
        <w:rPr/>
      </w:pPr>
      <w:r>
        <w:rPr/>
        <w:t>Where aluminum is in contact with dissimilar metals, protect against galvanic action by painting contact surfaces with materials recommended by manufacturer for this purpose or installing nonconductive spacers.</w:t>
      </w:r>
    </w:p>
    <w:p>
      <w:pPr>
        <w:pStyle w:val="PR2"/>
        <w:numPr>
          <w:ilvl w:val="5"/>
          <w:numId w:val="1"/>
        </w:numPr>
        <w:rPr/>
      </w:pPr>
      <w:r>
        <w:rPr/>
        <w:t>Where aluminum is in contact with concrete or masonry, protect against corrosion by painting contact surfaces with bituminous paint.</w:t>
      </w:r>
    </w:p>
    <w:p>
      <w:pPr>
        <w:pStyle w:val="CMT"/>
        <w:rPr/>
      </w:pPr>
      <w:r>
        <w:rPr/>
        <w:t>Coordinate first paragraph below with manufacturers' written instructions.</w:t>
      </w:r>
    </w:p>
    <w:p>
      <w:pPr>
        <w:pStyle w:val="PR1"/>
        <w:numPr>
          <w:ilvl w:val="4"/>
          <w:numId w:val="1"/>
        </w:numPr>
        <w:rPr/>
      </w:pPr>
      <w:r>
        <w:rPr/>
        <w:t>Set continuous sill members and flashing in full sealant bed, as specified in Section 079200 "Joint Sealants," to produce weathertight installation.</w:t>
      </w:r>
    </w:p>
    <w:p>
      <w:pPr>
        <w:pStyle w:val="PR1"/>
        <w:numPr>
          <w:ilvl w:val="4"/>
          <w:numId w:val="1"/>
        </w:numPr>
        <w:rPr/>
      </w:pPr>
      <w:r>
        <w:rPr/>
        <w:t>Install joint filler behind sealant as recommended by sealant manufacturer.</w:t>
      </w:r>
    </w:p>
    <w:p>
      <w:pPr>
        <w:pStyle w:val="PR1"/>
        <w:numPr>
          <w:ilvl w:val="4"/>
          <w:numId w:val="1"/>
        </w:numPr>
        <w:rPr/>
      </w:pPr>
      <w:r>
        <w:rPr/>
        <w:t>Install components plumb and true in alignment with established lines and grades.</w:t>
      </w:r>
    </w:p>
    <w:p>
      <w:pPr>
        <w:pStyle w:val="PR1"/>
        <w:numPr>
          <w:ilvl w:val="4"/>
          <w:numId w:val="1"/>
        </w:numPr>
        <w:rPr/>
      </w:pPr>
      <w:r>
        <w:rPr/>
        <w:t>Install entrance doors to produce smooth operation and tight fit at contact points.</w:t>
      </w:r>
    </w:p>
    <w:p>
      <w:pPr>
        <w:pStyle w:val="PR2"/>
        <w:numPr>
          <w:ilvl w:val="5"/>
          <w:numId w:val="1"/>
        </w:numPr>
        <w:spacing w:before="240" w:after="0"/>
        <w:rPr/>
      </w:pPr>
      <w:r>
        <w:rPr/>
        <w:t>Exterior Doors: Install to produce weathertight enclosure and tight fit at weather stripping.</w:t>
      </w:r>
    </w:p>
    <w:p>
      <w:pPr>
        <w:pStyle w:val="CMT"/>
        <w:rPr/>
      </w:pPr>
      <w:r>
        <w:rPr/>
        <w:t>Indicate entrance door hardware mounting heights on Drawings, or insert them in "Field-Installed Entrance Door Hardware" Subparagraph below.</w:t>
      </w:r>
    </w:p>
    <w:p>
      <w:pPr>
        <w:pStyle w:val="PR2"/>
        <w:numPr>
          <w:ilvl w:val="5"/>
          <w:numId w:val="1"/>
        </w:numPr>
        <w:rPr/>
      </w:pPr>
      <w:r>
        <w:rPr/>
        <w:t>Field-Installed Entrance Door Hardware: Install surface-mounted entrance door hardware according to entrance door hardware manufacturers' written instructions using concealed fasteners to greatest extent possible.</w:t>
      </w:r>
    </w:p>
    <w:p>
      <w:pPr>
        <w:pStyle w:val="PR1"/>
        <w:numPr>
          <w:ilvl w:val="4"/>
          <w:numId w:val="1"/>
        </w:numPr>
        <w:rPr/>
      </w:pPr>
      <w:r>
        <w:rPr/>
        <w:t>Install glazing as specified in Section 088000 "Glazing."</w:t>
      </w:r>
    </w:p>
    <w:p>
      <w:pPr>
        <w:pStyle w:val="ART"/>
        <w:numPr>
          <w:ilvl w:val="3"/>
          <w:numId w:val="1"/>
        </w:numPr>
        <w:ind w:hanging="0" w:left="0"/>
        <w:rPr/>
      </w:pPr>
      <w:r>
        <w:rPr/>
        <w:t>FIELD QUALITY CONTROL</w:t>
      </w:r>
    </w:p>
    <w:p>
      <w:pPr>
        <w:pStyle w:val="CMT"/>
        <w:rPr/>
      </w:pPr>
      <w:r>
        <w:rPr/>
        <w:t>Retain this article for testing of aluminum-framed entrance door systems during installation or if required to comply with NFPA 101 for inspection of egress doors.</w:t>
      </w:r>
    </w:p>
    <w:p>
      <w:pPr>
        <w:pStyle w:val="CMT"/>
        <w:rPr/>
      </w:pPr>
      <w:r>
        <w:rPr/>
        <w:t>Retain first option in "Testing Agency" Paragraph below if Owner hires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w:t>
      </w:r>
    </w:p>
    <w:p>
      <w:pPr>
        <w:pStyle w:val="PR1"/>
        <w:numPr>
          <w:ilvl w:val="4"/>
          <w:numId w:val="1"/>
        </w:numPr>
        <w:rPr/>
      </w:pPr>
      <w:r>
        <w:rPr/>
        <w:t>Tests: Perform the following tests on aluminum-framed entrance door systems.</w:t>
      </w:r>
    </w:p>
    <w:p>
      <w:pPr>
        <w:pStyle w:val="CMT"/>
        <w:rPr/>
      </w:pPr>
      <w:r>
        <w:rPr/>
        <w:t>See Section 014000 "Quality Requirements" for retesting requirements and Section 017300 "Execution" for requirements for correcting the Work.</w:t>
      </w:r>
    </w:p>
    <w:p>
      <w:pPr>
        <w:pStyle w:val="CMT"/>
        <w:rPr/>
      </w:pPr>
      <w:r>
        <w:rPr/>
        <w:t>Inexpensive test in "Water-Spray Test" Subparagraph below tests for deficiencies in workmanship only and is not representative of a wind-driven rain event.</w:t>
      </w:r>
    </w:p>
    <w:p>
      <w:pPr>
        <w:pStyle w:val="PR2"/>
        <w:numPr>
          <w:ilvl w:val="5"/>
          <w:numId w:val="1"/>
        </w:numPr>
        <w:spacing w:before="240" w:after="0"/>
        <w:rPr/>
      </w:pPr>
      <w:r>
        <w:rPr/>
        <w:t>Water-Spray Test: Before installation of interior finishes has begun, areas designated by Architect to be tested in accordance with AAMA 501.2 and to not evidence water penetration.</w:t>
      </w:r>
    </w:p>
    <w:p>
      <w:pPr>
        <w:pStyle w:val="PR2"/>
        <w:numPr>
          <w:ilvl w:val="5"/>
          <w:numId w:val="1"/>
        </w:numPr>
        <w:rPr/>
      </w:pPr>
      <w:r>
        <w:rPr/>
        <w:t xml:space="preserve">Air Leakage: ASTM E783 at 1.5 times the rate specified for laboratory testing in "Performance Requirements" Article but not more than </w:t>
      </w:r>
      <w:r>
        <w:rPr>
          <w:rStyle w:val="IP"/>
        </w:rPr>
        <w:t>0.09 cfm/sq. ft.</w:t>
      </w:r>
      <w:r>
        <w:rPr>
          <w:rStyle w:val="SI"/>
        </w:rPr>
        <w:t xml:space="preserve"> (0.45 L/s per sq. m)</w:t>
      </w:r>
      <w:r>
        <w:rPr/>
        <w:t xml:space="preserve"> at a static-air-pressure differential of </w:t>
      </w:r>
      <w:r>
        <w:rPr>
          <w:rStyle w:val="IP"/>
        </w:rPr>
        <w:t>1.57 lbf/sq. ft.</w:t>
      </w:r>
      <w:r>
        <w:rPr>
          <w:rStyle w:val="SI"/>
        </w:rPr>
        <w:t xml:space="preserve"> (75 Pa)</w:t>
      </w:r>
      <w:r>
        <w:rPr/>
        <w:t>.</w:t>
      </w:r>
    </w:p>
    <w:p>
      <w:pPr>
        <w:pStyle w:val="CMT"/>
        <w:rPr/>
      </w:pPr>
      <w:r>
        <w:rPr/>
        <w:t>When specifying test pressure note that AAMA allows a one-third reduction in test pressures for field tests. 6.24 lbf/sq. ft. (300 Pa) is industry standard minimum; however, AAMA 503 allows minimum test pressure of 4.18 lbf/sq. ft. (200 Pa).</w:t>
      </w:r>
    </w:p>
    <w:p>
      <w:pPr>
        <w:pStyle w:val="PR2"/>
        <w:numPr>
          <w:ilvl w:val="5"/>
          <w:numId w:val="1"/>
        </w:numPr>
        <w:rPr/>
      </w:pPr>
      <w:r>
        <w:rPr/>
        <w:t>Water Penetration: ASTM E1105 at a minimum [</w:t>
      </w:r>
      <w:r>
        <w:rPr>
          <w:b/>
        </w:rPr>
        <w:t>uniform</w:t>
      </w:r>
      <w:r>
        <w:rPr/>
        <w:t>] [</w:t>
      </w:r>
      <w:r>
        <w:rPr>
          <w:b/>
        </w:rPr>
        <w:t>and</w:t>
      </w:r>
      <w:r>
        <w:rPr/>
        <w:t>] [</w:t>
      </w:r>
      <w:r>
        <w:rPr>
          <w:b/>
        </w:rPr>
        <w:t>cyclic</w:t>
      </w:r>
      <w:r>
        <w:rPr/>
        <w:t xml:space="preserve">] static-air-pressure differential of 0.67 times the static-air-pressure differential specified for laboratory testing in "Performance Requirements" Article, but not less than </w:t>
      </w:r>
      <w:r>
        <w:rPr>
          <w:rStyle w:val="IP"/>
        </w:rPr>
        <w:t>6.24 lbf/sq. ft.</w:t>
      </w:r>
      <w:r>
        <w:rPr>
          <w:rStyle w:val="SI"/>
        </w:rPr>
        <w:t xml:space="preserve"> (300 Pa)</w:t>
      </w:r>
      <w:r>
        <w:rPr/>
        <w:t>, and to not evidence water penetration.</w:t>
      </w:r>
    </w:p>
    <w:p>
      <w:pPr>
        <w:pStyle w:val="CMT"/>
        <w:rPr/>
      </w:pPr>
      <w:r>
        <w:rPr/>
        <w:t>Retain first option in "Inspection Agency" Paragraph below if Owner hires an independent inspection agency.</w:t>
      </w:r>
    </w:p>
    <w:p>
      <w:pPr>
        <w:pStyle w:val="PR1"/>
        <w:numPr>
          <w:ilvl w:val="4"/>
          <w:numId w:val="1"/>
        </w:numPr>
        <w:rPr/>
      </w:pPr>
      <w:r>
        <w:rPr/>
        <w:t>Inspection Agency: [</w:t>
      </w:r>
      <w:r>
        <w:rPr>
          <w:b/>
        </w:rPr>
        <w:t>Owner will engage</w:t>
      </w:r>
      <w:r>
        <w:rPr/>
        <w:t>] [</w:t>
      </w:r>
      <w:r>
        <w:rPr>
          <w:b/>
        </w:rPr>
        <w:t>Engage</w:t>
      </w:r>
      <w:r>
        <w:rPr/>
        <w:t>] a qualified inspector to perform inspections.</w:t>
      </w:r>
    </w:p>
    <w:p>
      <w:pPr>
        <w:pStyle w:val="PR1"/>
        <w:numPr>
          <w:ilvl w:val="4"/>
          <w:numId w:val="1"/>
        </w:numPr>
        <w:rPr/>
      </w:pPr>
      <w:r>
        <w:rPr/>
        <w:t>Inspections:</w:t>
      </w:r>
    </w:p>
    <w:p>
      <w:pPr>
        <w:pStyle w:val="CMT"/>
        <w:rPr/>
      </w:pPr>
      <w:r>
        <w:rPr/>
        <w:t>See Section 014000 "Quality Requirements" for reinspecting requirements and Section 017300 "Execution" for requirements for correcting the Work.</w:t>
      </w:r>
    </w:p>
    <w:p>
      <w:pPr>
        <w:pStyle w:val="CMT"/>
        <w:rPr/>
      </w:pPr>
      <w:r>
        <w:rPr/>
        <w:t>Retain "Egress Door Inspections" Subparagraph below for projects under NFPA 101, for Assembly, Educational, Daycare, and Residential Board and Care occupancies.</w:t>
      </w:r>
    </w:p>
    <w:p>
      <w:pPr>
        <w:pStyle w:val="PR2"/>
        <w:numPr>
          <w:ilvl w:val="5"/>
          <w:numId w:val="1"/>
        </w:numPr>
        <w:spacing w:before="240" w:after="0"/>
        <w:rPr/>
      </w:pPr>
      <w:r>
        <w:rPr/>
        <w:t>Egress Door Inspections: Inspect each aluminum-framed entrance door equipped with panic hardware, located in an exit enclosure, electrically controlled, and equipped with special locking arrangements, in accordance with NFPA 101, Ch. 7 "Means of Egress," Section "Means of Egress Components," Article "Inspection of Door Openings."</w:t>
      </w:r>
    </w:p>
    <w:p>
      <w:pPr>
        <w:pStyle w:val="PR1"/>
        <w:numPr>
          <w:ilvl w:val="4"/>
          <w:numId w:val="1"/>
        </w:numPr>
        <w:rPr/>
      </w:pPr>
      <w:r>
        <w:rPr/>
        <w:t>Aluminum-framed entrance door systems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MAINTENANCE SERVICE</w:t>
      </w:r>
    </w:p>
    <w:p>
      <w:pPr>
        <w:pStyle w:val="CMT"/>
        <w:rPr/>
      </w:pPr>
      <w:r>
        <w:rPr/>
        <w:t>Verify, with Owner, that maintenance service is required for Project.</w:t>
      </w:r>
    </w:p>
    <w:p>
      <w:pPr>
        <w:pStyle w:val="PR1"/>
        <w:numPr>
          <w:ilvl w:val="4"/>
          <w:numId w:val="1"/>
        </w:numPr>
        <w:rPr/>
      </w:pPr>
      <w:r>
        <w:rPr/>
        <w:t>Entrance Door Hardware Maintenance:</w:t>
      </w:r>
    </w:p>
    <w:p>
      <w:pPr>
        <w:pStyle w:val="PR2"/>
        <w:numPr>
          <w:ilvl w:val="5"/>
          <w:numId w:val="1"/>
        </w:numPr>
        <w:spacing w:before="240" w:after="0"/>
        <w:rPr/>
      </w:pPr>
      <w:r>
        <w:rPr/>
        <w:t>Maintenance Tools and Instructions: Furnish a complete set of specialized tools and maintenance instructions as needed for Owner's continued adjustment, maintenance, and removal and replacement of entrance door hardware.</w:t>
      </w:r>
    </w:p>
    <w:p>
      <w:pPr>
        <w:pStyle w:val="CMT"/>
        <w:rPr/>
      </w:pPr>
      <w:r>
        <w:rPr/>
        <w:t>Obtain a copy of the maintenance agreement before retaining or revising "Initial Maintenance Service" Subparagraph below. Revise starting date if required.</w:t>
      </w:r>
    </w:p>
    <w:p>
      <w:pPr>
        <w:pStyle w:val="PR2"/>
        <w:numPr>
          <w:ilvl w:val="5"/>
          <w:numId w:val="1"/>
        </w:numPr>
        <w:rPr/>
      </w:pPr>
      <w:r>
        <w:rPr/>
        <w:t>Initial Maintenance Service: Beginning at Substantial Completion, provide [</w:t>
      </w:r>
      <w:r>
        <w:rPr>
          <w:b/>
        </w:rPr>
        <w:t>six</w:t>
      </w:r>
      <w:r>
        <w:rPr/>
        <w:t>] &lt;</w:t>
      </w:r>
      <w:r>
        <w:rPr>
          <w:b/>
        </w:rPr>
        <w:t>Insert number</w:t>
      </w:r>
      <w:r>
        <w:rPr/>
        <w:t>&gt; months' full maintenance by skilled employees of entrance door hardware Installer. Include quarterly preventive maintenance, repair or replacement of worn or defective components, lubrication, cleaning, and adjusting as required for proper entrance door hardware operation at rated speed and capacity. Use parts and supplies that are the same as those used in the manufacture and installation of original equipment.</w:t>
      </w:r>
    </w:p>
    <w:p>
      <w:pPr>
        <w:pStyle w:val="ART"/>
        <w:numPr>
          <w:ilvl w:val="3"/>
          <w:numId w:val="1"/>
        </w:numPr>
        <w:ind w:hanging="0" w:left="0"/>
        <w:rPr/>
      </w:pPr>
      <w:r>
        <w:rPr/>
        <w:t>ENTRANCE DOOR HARDWARE SETS</w:t>
      </w:r>
    </w:p>
    <w:p>
      <w:pPr>
        <w:pStyle w:val="CMT"/>
        <w:rPr/>
      </w:pPr>
      <w:r>
        <w:rPr/>
        <w:t>Delete this article if entrance door hardware set schedule is included on the Drawings.</w:t>
      </w:r>
    </w:p>
    <w:p>
      <w:pPr>
        <w:pStyle w:val="CMT"/>
        <w:rPr/>
      </w:pPr>
      <w:r>
        <w:rPr/>
        <w:t>Create a schedule to include a door hardware set for each unique door hardware configuration required for the Project. Identify each set with a unique number designation. Coordinate with "Entrance Door Hardware" Article. See Section 087100 "Door Hardware" Evaluations for sample hardware schedule. Insert schedule below. See "Entrance Door Hardware" Article in the Evaluations for additional information.</w:t>
      </w:r>
    </w:p>
    <w:p>
      <w:pPr>
        <w:pStyle w:val="PR1"/>
        <w:numPr>
          <w:ilvl w:val="4"/>
          <w:numId w:val="1"/>
        </w:numPr>
        <w:rPr/>
      </w:pPr>
      <w:r>
        <w:rPr/>
        <w:t>&lt;</w:t>
      </w:r>
      <w:r>
        <w:rPr>
          <w:b/>
        </w:rPr>
        <w:t>Insert schedule</w:t>
      </w:r>
      <w:r>
        <w:rPr/>
        <w:t>&gt;.</w:t>
      </w:r>
    </w:p>
    <w:p>
      <w:pPr>
        <w:pStyle w:val="EOS"/>
        <w:rPr/>
      </w:pPr>
      <w:r>
        <w:rPr/>
        <w:t>END OF SECTION 084213</w:t>
      </w:r>
    </w:p>
    <w:sectPr>
      <w:headerReference w:type="default" r:id="rId14"/>
      <w:footerReference w:type="default" r:id="rId1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ALUMINUM-FRAMED ENTRANCES</w:t>
          </w:r>
        </w:p>
      </w:tc>
      <w:tc>
        <w:tcPr>
          <w:tcW w:w="1872" w:type="dxa"/>
          <w:tcBorders/>
        </w:tcPr>
        <w:p>
          <w:pPr>
            <w:pStyle w:val="RJUST"/>
            <w:rPr/>
          </w:pPr>
          <w:r>
            <w:rPr>
              <w:rStyle w:val="NUM"/>
            </w:rPr>
            <w:t>084213</w:t>
          </w:r>
          <w:r>
            <w:rPr/>
            <w:t xml:space="preserve"> - </w:t>
          </w:r>
          <w:r>
            <w:rPr/>
            <w:fldChar w:fldCharType="begin"/>
          </w:r>
          <w:r>
            <w:rPr/>
            <w:instrText xml:space="preserve"> PAGE </w:instrText>
          </w:r>
          <w:r>
            <w:rPr/>
            <w:fldChar w:fldCharType="separate"/>
          </w:r>
          <w:r>
            <w:rPr/>
            <w:t>22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09/22</w:t>
    </w:r>
    <w:r>
      <mc:AlternateContent>
        <mc:Choice Requires="wps">
          <w:drawing>
            <wp:anchor behindDoc="1" distT="0" distB="0" distL="114935" distR="114935" simplePos="0" locked="0" layoutInCell="1" allowOverlap="1" relativeHeight="2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2"/>
    <w:docVar w:name="Format" w:val="1"/>
    <w:docVar w:name="MF04" w:val="084213"/>
    <w:docVar w:name="MF95" w:val="08413"/>
    <w:docVar w:name="MFOrigin" w:val="MF04"/>
    <w:docVar w:name="SectionID" w:val="1720"/>
    <w:docVar w:name="SpecType" w:val="MasterSpec"/>
    <w:docVar w:name="Version" w:val="1688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4213&amp;ver=09-01-22&amp;format=FL&amp;sid=16889&amp;utm_source=MasterSpec&amp;utm_medium=Word" TargetMode="External"/><Relationship Id="rId3" Type="http://schemas.openxmlformats.org/officeDocument/2006/relationships/hyperlink" Target="http://www.productmasterspec.com/construction_specifications?mf04=084213&amp;update=ms2022_3&amp;utm_source=MasterSpec&amp;utm_medium=Word" TargetMode="External"/><Relationship Id="rId4" Type="http://schemas.openxmlformats.org/officeDocument/2006/relationships/hyperlink" Target="http://www.arcomnet.com/sustainable_design.aspx?topic=12" TargetMode="External"/><Relationship Id="rId5" Type="http://schemas.openxmlformats.org/officeDocument/2006/relationships/hyperlink" Target="http://www.arcomnet.com/sustainable_design.aspx?topic=7" TargetMode="External"/><Relationship Id="rId6" Type="http://schemas.openxmlformats.org/officeDocument/2006/relationships/hyperlink" Target="http://www.arcomnet.com/sustainable_design.aspx?topic=8" TargetMode="External"/><Relationship Id="rId7" Type="http://schemas.openxmlformats.org/officeDocument/2006/relationships/hyperlink" Target="http://www.arcomnet.com/sustainable_design.aspx?topic=330" TargetMode="External"/><Relationship Id="rId8" Type="http://schemas.openxmlformats.org/officeDocument/2006/relationships/hyperlink" Target="http://www.specagent.com/LookUp/?ulid=12803&amp;mf=&amp;src=wd" TargetMode="External"/><Relationship Id="rId9" Type="http://schemas.openxmlformats.org/officeDocument/2006/relationships/hyperlink" Target="http://www.arcomnet.com/sustainable_design.aspx?topic=332" TargetMode="External"/><Relationship Id="rId10" Type="http://schemas.openxmlformats.org/officeDocument/2006/relationships/hyperlink" Target="http://www.arcomnet.com/sustainable_design.aspx?topic=31" TargetMode="External"/><Relationship Id="rId11" Type="http://schemas.openxmlformats.org/officeDocument/2006/relationships/hyperlink" Target="http://www.arcomnet.com/sustainable_design.aspx?topic=36" TargetMode="External"/><Relationship Id="rId12" Type="http://schemas.openxmlformats.org/officeDocument/2006/relationships/hyperlink" Target="http://www.arcomnet.com/sustainable_design.aspx?topic=45" TargetMode="External"/><Relationship Id="rId13" Type="http://schemas.openxmlformats.org/officeDocument/2006/relationships/hyperlink" Target="http://www.arcomnet.com/sustainable_design.aspx?topic=46"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2022-09-26T02:04:00Z</dcterms:created>
  <dc:creator>Deltek, Inc.</dc:creator>
  <dc:description/>
  <cp:keywords>BAS-12345-MS80</cp:keywords>
  <dc:language>zh-CN</dc:language>
  <cp:lastModifiedBy>Janice Nacional</cp:lastModifiedBy>
  <dcterms:modified xsi:type="dcterms:W3CDTF">2022-09-26T02:04:00Z</dcterms:modified>
  <cp:revision>2</cp:revision>
  <dc:subject>ALUMINUM-FRAMED ENTRANCES</dc:subject>
  <dc:title>SECTION 084213 - ALUMINUM-FRAMED ENTRANCES</dc:title>
</cp:coreProperties>
</file>