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084513</w:t>
      </w:r>
      <w:r>
        <w:rPr/>
        <w:t xml:space="preserve"> - </w:t>
      </w:r>
      <w:r>
        <w:rPr>
          <w:rStyle w:val="NAM"/>
        </w:rPr>
        <w:t>STRUCTURED-POLYCARBONATE-PANEL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aluminum-framed assemblies glazed with structured-polycarbonate panels as follows:</w:t>
      </w:r>
    </w:p>
    <w:p>
      <w:pPr>
        <w:pStyle w:val="PR2"/>
        <w:numPr>
          <w:ilvl w:val="5"/>
          <w:numId w:val="1"/>
        </w:numPr>
        <w:spacing w:before="240" w:after="0"/>
        <w:rPr/>
      </w:pPr>
      <w:r>
        <w:rPr/>
        <w:t>Wall assemblies.</w:t>
      </w:r>
    </w:p>
    <w:p>
      <w:pPr>
        <w:pStyle w:val="PR2"/>
        <w:numPr>
          <w:ilvl w:val="5"/>
          <w:numId w:val="1"/>
        </w:numPr>
        <w:rPr/>
      </w:pPr>
      <w:r>
        <w:rPr/>
        <w:t>Roof assemblies.</w:t>
      </w:r>
    </w:p>
    <w:p>
      <w:pPr>
        <w:pStyle w:val="PR2"/>
        <w:numPr>
          <w:ilvl w:val="5"/>
          <w:numId w:val="1"/>
        </w:numPr>
        <w:rPr/>
      </w:pPr>
      <w:r>
        <w:rPr/>
        <w:t>Skylight assemblies.</w:t>
      </w:r>
    </w:p>
    <w:p>
      <w:pPr>
        <w:pStyle w:val="PR2"/>
        <w:numPr>
          <w:ilvl w:val="5"/>
          <w:numId w:val="1"/>
        </w:numPr>
        <w:rPr/>
      </w:pPr>
      <w:r>
        <w:rPr/>
        <w:t>Canopy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aluminum components of panel assemblies.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1"/>
        <w:numPr>
          <w:ilvl w:val="4"/>
          <w:numId w:val="1"/>
        </w:numPr>
        <w:rPr/>
      </w:pPr>
      <w:r>
        <w:rPr/>
        <w:t>Shop Drawings: For panel assemblies.</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Include details of provisions for assembly expansion and contraction and for draining moisture within the assembly to the exterior.</w:t>
      </w:r>
    </w:p>
    <w:p>
      <w:pPr>
        <w:pStyle w:val="PR1"/>
        <w:numPr>
          <w:ilvl w:val="4"/>
          <w:numId w:val="1"/>
        </w:numPr>
        <w:rPr/>
      </w:pPr>
      <w:r>
        <w:rPr/>
        <w:t>Samples: In manufacturer's standard size.</w:t>
      </w:r>
    </w:p>
    <w:p>
      <w:pPr>
        <w:pStyle w:val="PR2"/>
        <w:numPr>
          <w:ilvl w:val="5"/>
          <w:numId w:val="1"/>
        </w:numPr>
        <w:spacing w:before="240" w:after="0"/>
        <w:rPr/>
      </w:pPr>
      <w:r>
        <w:rPr/>
        <w:t>For each type of structured-polycarbonate panel.</w:t>
      </w:r>
    </w:p>
    <w:p>
      <w:pPr>
        <w:pStyle w:val="PR2"/>
        <w:numPr>
          <w:ilvl w:val="5"/>
          <w:numId w:val="1"/>
        </w:numPr>
        <w:rPr/>
      </w:pPr>
      <w:r>
        <w:rPr/>
        <w:t>For each type of exposed finish for framing members.</w:t>
      </w:r>
    </w:p>
    <w:p>
      <w:pPr>
        <w:pStyle w:val="CMT"/>
        <w:rPr/>
      </w:pPr>
      <w:r>
        <w:rPr/>
        <w:t>Retain "Fabrication Samples" Paragraph below to verify details of assembly if required.</w:t>
      </w:r>
    </w:p>
    <w:p>
      <w:pPr>
        <w:pStyle w:val="PR1"/>
        <w:numPr>
          <w:ilvl w:val="4"/>
          <w:numId w:val="1"/>
        </w:numPr>
        <w:rPr/>
      </w:pPr>
      <w:r>
        <w:rPr/>
        <w:t xml:space="preserve">Fabrication Samples: Of each framing system intersection and adjacent panels, made from </w:t>
      </w:r>
      <w:r>
        <w:rPr>
          <w:rStyle w:val="IP"/>
        </w:rPr>
        <w:t>12-inch</w:t>
      </w:r>
      <w:r>
        <w:rPr>
          <w:rStyle w:val="SI"/>
        </w:rPr>
        <w:t xml:space="preserve"> (305-mm)</w:t>
      </w:r>
      <w:r>
        <w:rPr/>
        <w:t xml:space="preserve"> lengths of full-size framing members and showing details of the following:</w:t>
      </w:r>
    </w:p>
    <w:p>
      <w:pPr>
        <w:pStyle w:val="PR2"/>
        <w:numPr>
          <w:ilvl w:val="5"/>
          <w:numId w:val="1"/>
        </w:numPr>
        <w:spacing w:before="240" w:after="0"/>
        <w:rPr/>
      </w:pPr>
      <w:r>
        <w:rPr/>
        <w:t>Joinery.</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Structured-polycarbonate panels.</w:t>
      </w:r>
    </w:p>
    <w:p>
      <w:pPr>
        <w:pStyle w:val="PR2"/>
        <w:numPr>
          <w:ilvl w:val="5"/>
          <w:numId w:val="1"/>
        </w:numPr>
        <w:rPr/>
      </w:pPr>
      <w:r>
        <w:rPr/>
        <w:t>Flashing and drainage.</w:t>
      </w:r>
    </w:p>
    <w:p>
      <w:pPr>
        <w:pStyle w:val="CMT"/>
        <w:rPr/>
      </w:pPr>
      <w:r>
        <w:rPr/>
        <w:t>Retain "Delegated-Design Submittal" Paragraph below if design services have been delegated to Contractor.</w:t>
      </w:r>
    </w:p>
    <w:p>
      <w:pPr>
        <w:pStyle w:val="PR1"/>
        <w:numPr>
          <w:ilvl w:val="4"/>
          <w:numId w:val="1"/>
        </w:numPr>
        <w:rPr/>
      </w:pPr>
      <w:r>
        <w:rPr/>
        <w:t>Delegated-Design Submittal: For panel assemblies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w:t>
      </w:r>
      <w:r>
        <w:rPr>
          <w:b/>
        </w:rPr>
        <w:t>Installer</w:t>
      </w:r>
      <w:r>
        <w:rPr/>
        <w:t>] [</w:t>
      </w:r>
      <w:r>
        <w:rPr>
          <w:b/>
        </w:rPr>
        <w:t>testing agency</w:t>
      </w:r>
      <w:r>
        <w:rPr/>
        <w:t>].</w:t>
      </w:r>
    </w:p>
    <w:p>
      <w:pPr>
        <w:pStyle w:val="CMT"/>
        <w:rPr/>
      </w:pPr>
      <w:r>
        <w:rPr/>
        <w:t>Retain "Product Test Report" Paragraph below for standard panel assemblies.</w:t>
      </w:r>
    </w:p>
    <w:p>
      <w:pPr>
        <w:pStyle w:val="PR1"/>
        <w:numPr>
          <w:ilvl w:val="4"/>
          <w:numId w:val="1"/>
        </w:numPr>
        <w:rPr/>
      </w:pPr>
      <w:r>
        <w:rPr/>
        <w:t>Product Test Reports: For each structured-polycarbonate-panel assembly, for tests performed by a qualified testing agency.</w:t>
      </w:r>
    </w:p>
    <w:p>
      <w:pPr>
        <w:pStyle w:val="CMT"/>
        <w:rPr/>
      </w:pPr>
      <w:r>
        <w:rPr/>
        <w:t>Retain "Evaluation Reports" Paragraph below if required; not all manufacturers have Evaluation Reports for all products. Verify availability with manufacturers and acceptability with code authorities.</w:t>
      </w:r>
    </w:p>
    <w:p>
      <w:pPr>
        <w:pStyle w:val="PR1"/>
        <w:numPr>
          <w:ilvl w:val="4"/>
          <w:numId w:val="1"/>
        </w:numPr>
        <w:rPr/>
      </w:pPr>
      <w:r>
        <w:rPr/>
        <w:t>Evaluation Reports: For structured-polycarbonate-panel assemblies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panel assemblies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PR1"/>
        <w:numPr>
          <w:ilvl w:val="4"/>
          <w:numId w:val="1"/>
        </w:numPr>
        <w:rPr/>
      </w:pPr>
      <w:r>
        <w:rPr/>
        <w:t>Mockups: Build mockups to verify selections made under Sample submittals and to demonstrate aesthetic effects and set quality standards for fabrication and installation.</w:t>
      </w:r>
    </w:p>
    <w:p>
      <w:pPr>
        <w:pStyle w:val="CMT"/>
        <w:rPr/>
      </w:pPr>
      <w:r>
        <w:rPr/>
        <w:t>Retain first subparagraph below for large-scale mockup. Indicate panel assemblies represented by mockup on Drawings or draw mockup as separate element.</w:t>
      </w:r>
    </w:p>
    <w:p>
      <w:pPr>
        <w:pStyle w:val="PR2"/>
        <w:numPr>
          <w:ilvl w:val="5"/>
          <w:numId w:val="1"/>
        </w:numPr>
        <w:spacing w:before="240" w:after="0"/>
        <w:rPr/>
      </w:pPr>
      <w:r>
        <w:rPr/>
        <w:t>Build mockup of typical panel assemblies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Manufacturer's Warranty: Manufacturer agrees to repair or replace components of panel assemblies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CMT"/>
        <w:rPr/>
      </w:pPr>
      <w:r>
        <w:rPr/>
        <w:t>Delete option in first subparagraph below if retaining "Special Aluminum-Finish Warranty" Paragraph below.</w:t>
      </w:r>
    </w:p>
    <w:p>
      <w:pPr>
        <w:pStyle w:val="PR3"/>
        <w:numPr>
          <w:ilvl w:val="6"/>
          <w:numId w:val="1"/>
        </w:numPr>
        <w:rPr/>
      </w:pPr>
      <w:r>
        <w:rPr/>
        <w:t>Deterioration of metals[</w:t>
      </w:r>
      <w:r>
        <w:rPr>
          <w:b/>
        </w:rPr>
        <w:t>, metal finishes,</w:t>
      </w:r>
      <w:r>
        <w:rPr/>
        <w:t>] and other materials beyond normal weathering.</w:t>
      </w:r>
    </w:p>
    <w:p>
      <w:pPr>
        <w:pStyle w:val="PR3"/>
        <w:numPr>
          <w:ilvl w:val="6"/>
          <w:numId w:val="1"/>
        </w:numPr>
        <w:rPr/>
      </w:pPr>
      <w:r>
        <w:rPr/>
        <w:t>Water leakage.</w:t>
      </w:r>
    </w:p>
    <w:p>
      <w:pPr>
        <w:pStyle w:val="CMT"/>
        <w:rPr/>
      </w:pPr>
      <w:r>
        <w:rPr/>
        <w:t>Verify available warranties and warranty periods for panel assemblies with manufacturers listed in Part 2 articles.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1"/>
        <w:numPr>
          <w:ilvl w:val="4"/>
          <w:numId w:val="1"/>
        </w:numPr>
        <w:rPr/>
      </w:pPr>
      <w:r>
        <w:rPr/>
        <w:t>Manufacturer's Special Warranty: Manufacturer agrees to repair or replace structured-polycarbonate panels that exhibit defects in materials or workmanship within specified warranty period.</w:t>
      </w:r>
    </w:p>
    <w:p>
      <w:pPr>
        <w:pStyle w:val="PR2"/>
        <w:numPr>
          <w:ilvl w:val="5"/>
          <w:numId w:val="1"/>
        </w:numPr>
        <w:spacing w:before="240" w:after="0"/>
        <w:rPr/>
      </w:pPr>
      <w:r>
        <w:rPr/>
        <w:t>Defects include, but are not limited to, the following:</w:t>
      </w:r>
    </w:p>
    <w:p>
      <w:pPr>
        <w:pStyle w:val="PR3"/>
        <w:numPr>
          <w:ilvl w:val="6"/>
          <w:numId w:val="1"/>
        </w:numPr>
        <w:spacing w:before="240" w:after="0"/>
        <w:rPr/>
      </w:pPr>
      <w:r>
        <w:rPr/>
        <w:t>Delamination.</w:t>
      </w:r>
    </w:p>
    <w:p>
      <w:pPr>
        <w:pStyle w:val="PR3"/>
        <w:numPr>
          <w:ilvl w:val="6"/>
          <w:numId w:val="1"/>
        </w:numPr>
        <w:rPr/>
      </w:pPr>
      <w:r>
        <w:rPr/>
        <w:t>Color changes exceeding requirements.</w:t>
      </w:r>
    </w:p>
    <w:p>
      <w:pPr>
        <w:pStyle w:val="PR3"/>
        <w:numPr>
          <w:ilvl w:val="6"/>
          <w:numId w:val="1"/>
        </w:numPr>
        <w:rPr/>
      </w:pPr>
      <w:r>
        <w:rPr/>
        <w:t>Losses in light transmission beyond 6 percent from original when measured according to ASTM D1003.</w:t>
      </w:r>
    </w:p>
    <w:p>
      <w:pPr>
        <w:pStyle w:val="CMT"/>
        <w:rPr/>
      </w:pPr>
      <w:r>
        <w:rPr/>
        <w:t>Verify available warranties and warranty periods for panels with manufacturers listed in Part 2 articles.</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Special Aluminum-Finish Warranty: Manufacturer's standard form in which manufacturer agrees to repair or replace components on which finishes fail within specified warranty period. Warranty does not include normal weathering.</w:t>
      </w:r>
    </w:p>
    <w:p>
      <w:pPr>
        <w:pStyle w:val="PR2"/>
        <w:numPr>
          <w:ilvl w:val="5"/>
          <w:numId w:val="1"/>
        </w:numPr>
        <w:spacing w:before="240" w:after="0"/>
        <w:rPr/>
      </w:pPr>
      <w:r>
        <w:rPr/>
        <w:t>Failures include, but are not limited to, checking, crazing, peeling, chalking, and fading of finishes.</w:t>
      </w:r>
    </w:p>
    <w:p>
      <w:pPr>
        <w:pStyle w:val="CMT"/>
        <w:rPr/>
      </w:pPr>
      <w:r>
        <w:rPr/>
        <w:t>Verify available warranties and warranty periods for finishes with manufacturers listed in Part 2 articles.</w:t>
      </w:r>
    </w:p>
    <w:p>
      <w:pPr>
        <w:pStyle w:val="PR2"/>
        <w:numPr>
          <w:ilvl w:val="5"/>
          <w:numId w:val="1"/>
        </w:numPr>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structured-polycarbonate-panel assemblies.</w:t>
      </w:r>
    </w:p>
    <w:p>
      <w:pPr>
        <w:pStyle w:val="PR1"/>
        <w:numPr>
          <w:ilvl w:val="4"/>
          <w:numId w:val="1"/>
        </w:numPr>
        <w:rPr/>
      </w:pPr>
      <w:r>
        <w:rPr/>
        <w:t>Structural Loads: [</w:t>
      </w:r>
      <w:r>
        <w:rPr>
          <w:b/>
        </w:rPr>
        <w:t>As indicated on Drawings</w:t>
      </w:r>
      <w:r>
        <w:rPr/>
        <w:t>] &lt;</w:t>
      </w:r>
      <w:r>
        <w:rPr>
          <w:b/>
        </w:rPr>
        <w:t>Insert loads</w:t>
      </w:r>
      <w:r>
        <w:rPr/>
        <w:t>&gt;.</w:t>
      </w:r>
    </w:p>
    <w:p>
      <w:pPr>
        <w:pStyle w:val="PR1"/>
        <w:numPr>
          <w:ilvl w:val="4"/>
          <w:numId w:val="1"/>
        </w:numPr>
        <w:rPr/>
      </w:pPr>
      <w:r>
        <w:rPr/>
        <w:t>Deflection Limits:</w:t>
      </w:r>
    </w:p>
    <w:p>
      <w:pPr>
        <w:pStyle w:val="CMT"/>
        <w:rPr/>
      </w:pPr>
      <w:r>
        <w:rPr/>
        <w:t>Based on Project conditions or requirements of authorities having jurisdiction, more stringent deflection criteria may be required than those specified in options in "Vertical Panel Assemblies" and "Overhead Panel Assemblies" subparagraphs below. Building codes include different deflection criteria depending on whether panel assemblies are classified as components and cladding or as part of the main wind-force-resisting system (e.g., where a panel assembly is the structural roof).</w:t>
      </w:r>
    </w:p>
    <w:p>
      <w:pPr>
        <w:pStyle w:val="PR2"/>
        <w:numPr>
          <w:ilvl w:val="5"/>
          <w:numId w:val="1"/>
        </w:numPr>
        <w:spacing w:before="240" w:after="0"/>
        <w:rPr/>
      </w:pPr>
      <w:r>
        <w:rPr/>
        <w:t>Vertical Panel Assemblies: Limited to [</w:t>
      </w:r>
      <w:r>
        <w:rPr>
          <w:b/>
        </w:rPr>
        <w:t>1/60</w:t>
      </w:r>
      <w:r>
        <w:rPr/>
        <w:t>] [</w:t>
      </w:r>
      <w:r>
        <w:rPr>
          <w:b/>
        </w:rPr>
        <w:t>1/100</w:t>
      </w:r>
      <w:r>
        <w:rPr/>
        <w:t>] [</w:t>
      </w:r>
      <w:r>
        <w:rPr>
          <w:b/>
        </w:rPr>
        <w:t>1/120</w:t>
      </w:r>
      <w:r>
        <w:rPr/>
        <w:t>] &lt;</w:t>
      </w:r>
      <w:r>
        <w:rPr>
          <w:b/>
        </w:rPr>
        <w:t>Insert deflection</w:t>
      </w:r>
      <w:r>
        <w:rPr/>
        <w:t>&gt; of clear span for each assembly component.</w:t>
      </w:r>
    </w:p>
    <w:p>
      <w:pPr>
        <w:pStyle w:val="PR2"/>
        <w:numPr>
          <w:ilvl w:val="5"/>
          <w:numId w:val="1"/>
        </w:numPr>
        <w:rPr/>
      </w:pPr>
      <w:r>
        <w:rPr/>
        <w:t>Overhead Panel Assemblies: Limited to [</w:t>
      </w:r>
      <w:r>
        <w:rPr>
          <w:b/>
        </w:rPr>
        <w:t>1/60</w:t>
      </w:r>
      <w:r>
        <w:rPr/>
        <w:t>] [</w:t>
      </w:r>
      <w:r>
        <w:rPr>
          <w:b/>
        </w:rPr>
        <w:t>1/100</w:t>
      </w:r>
      <w:r>
        <w:rPr/>
        <w:t>] [</w:t>
      </w:r>
      <w:r>
        <w:rPr>
          <w:b/>
        </w:rPr>
        <w:t>1/120</w:t>
      </w:r>
      <w:r>
        <w:rPr/>
        <w:t>] [</w:t>
      </w:r>
      <w:r>
        <w:rPr>
          <w:b/>
        </w:rPr>
        <w:t>1/180</w:t>
      </w:r>
      <w:r>
        <w:rPr/>
        <w:t>] &lt;</w:t>
      </w:r>
      <w:r>
        <w:rPr>
          <w:b/>
        </w:rPr>
        <w:t>Insert deflection</w:t>
      </w:r>
      <w:r>
        <w:rPr/>
        <w:t>&gt; of clear span for each assembly component.</w:t>
      </w:r>
    </w:p>
    <w:p>
      <w:pPr>
        <w:pStyle w:val="PR1"/>
        <w:numPr>
          <w:ilvl w:val="4"/>
          <w:numId w:val="1"/>
        </w:numPr>
        <w:rPr/>
      </w:pPr>
      <w:r>
        <w:rPr/>
        <w:t>Structural-Test Performance: Panel assemblies tested according to ASTM E330, as follows:</w:t>
      </w:r>
    </w:p>
    <w:p>
      <w:pPr>
        <w:pStyle w:val="PR2"/>
        <w:numPr>
          <w:ilvl w:val="5"/>
          <w:numId w:val="1"/>
        </w:numPr>
        <w:spacing w:before="240" w:after="0"/>
        <w:rPr/>
      </w:pPr>
      <w:r>
        <w:rPr/>
        <w:t>When tested at positive and negative wind-load design pressures, assemblies do not show evidence of deflection exceeding specified deflection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show evidence of material failures, structural distress, and permanent deformation of main framing members exceeding [</w:t>
      </w:r>
      <w:r>
        <w:rPr>
          <w:b/>
        </w:rPr>
        <w:t>0.2</w:t>
      </w:r>
      <w:r>
        <w:rPr/>
        <w:t>] &lt;</w:t>
      </w:r>
      <w:r>
        <w:rPr>
          <w:b/>
        </w:rPr>
        <w:t>Insert number</w:t>
      </w:r>
      <w:r>
        <w:rPr/>
        <w:t>&gt; percent of span.</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Usually retain "Water Penetration under Static Pressure" Paragraph below. For water penetration under static pressure tests, an air-pressure difference of 20 percent of wind-load design pressure provides satisfactory performance in most parts of the United States. Locations where high winds frequently occur simultaneously with heavy rains require higher test-pressure differences. Lower test-pressure differences are acceptable for some locations. Revise to suit Project.</w:t>
      </w:r>
    </w:p>
    <w:p>
      <w:pPr>
        <w:pStyle w:val="PR1"/>
        <w:numPr>
          <w:ilvl w:val="4"/>
          <w:numId w:val="1"/>
        </w:numPr>
        <w:rPr/>
      </w:pPr>
      <w:r>
        <w:rPr/>
        <w:t>Water Penetration under Static Pressure: Provide panel assemblies that do not evidence water penetration through fixed glazing and framing areas when tested according to ASTM E331 at a minimum static-air-pressure difference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for dynamic-pressure test method. Both static-pressure and dynamic-pressure testing may be required; however, most manufacturers do not include test data in product literature for the more expensive dynamic-pressure testing.</w:t>
      </w:r>
    </w:p>
    <w:p>
      <w:pPr>
        <w:pStyle w:val="PR1"/>
        <w:numPr>
          <w:ilvl w:val="4"/>
          <w:numId w:val="1"/>
        </w:numPr>
        <w:rPr/>
      </w:pPr>
      <w:r>
        <w:rPr/>
        <w:t>Water Penetration under Dynamic Pressure: Provide panel assemblies that do not evidence water leakage through fixed glazing and framing areas when tested according to AAMA 501.1 under dynamic pressure equal to 20 percent of positive wind-load design pressure, but not less than [</w:t>
      </w:r>
      <w:r>
        <w:rPr>
          <w:rStyle w:val="IP"/>
          <w:b/>
        </w:rPr>
        <w:t>6.24 lbf/sq. ft.</w:t>
      </w:r>
      <w:r>
        <w:rPr>
          <w:rStyle w:val="SI"/>
          <w:b/>
        </w:rPr>
        <w:t xml:space="preserve"> (300 Pa)</w:t>
      </w:r>
      <w:r>
        <w:rPr/>
        <w:t>] &lt;</w:t>
      </w:r>
      <w:r>
        <w:rPr>
          <w:b/>
        </w:rPr>
        <w:t>Insert value</w:t>
      </w:r>
      <w:r>
        <w:rPr/>
        <w:t>&gt;.</w:t>
      </w:r>
    </w:p>
    <w:p>
      <w:pPr>
        <w:pStyle w:val="CMT"/>
        <w:rPr/>
      </w:pPr>
      <w:r>
        <w:rPr/>
        <w:t>AAMA 501.1's definition of "water leakage" allows up to 1/2 oz. (15 mL) of water to accumulate in a 15-minute period on an interior stop or stool integral to system.</w:t>
      </w:r>
    </w:p>
    <w:p>
      <w:pPr>
        <w:pStyle w:val="PR2"/>
        <w:numPr>
          <w:ilvl w:val="5"/>
          <w:numId w:val="1"/>
        </w:numPr>
        <w:spacing w:before="240" w:after="0"/>
        <w:rPr/>
      </w:pPr>
      <w:r>
        <w:rPr/>
        <w:t>Maximum Water Leakage: [</w:t>
      </w:r>
      <w:r>
        <w:rPr>
          <w:b/>
        </w:rPr>
        <w:t>According to AAMA 501.1</w:t>
      </w:r>
      <w:r>
        <w:rPr/>
        <w:t>] [</w:t>
      </w:r>
      <w:r>
        <w:rPr>
          <w:b/>
        </w:rPr>
        <w:t>No uncontrolled water penetrating aluminum-framed systems or water appearing on systems' normally exposed interior surfaces from sources other than condensation</w:t>
      </w:r>
      <w:r>
        <w:rPr/>
        <w:t>]. Water leakage does not include water that is controlled by flashing and gutters and drained to the exterior, or water that cannot damage adjacent materials or finishes.</w:t>
      </w:r>
    </w:p>
    <w:p>
      <w:pPr>
        <w:pStyle w:val="PR1"/>
        <w:numPr>
          <w:ilvl w:val="4"/>
          <w:numId w:val="1"/>
        </w:numPr>
        <w:rPr/>
      </w:pPr>
      <w:r>
        <w:rPr/>
        <w:t>Thermal Movements: Allow for thermal movements from ambient- and surface-temperature changes. Base calculations on surface temperatures of materials due to both solar heat gain and nighttime-sky heat loss.</w:t>
      </w:r>
    </w:p>
    <w:p>
      <w:pPr>
        <w:pStyle w:val="CMT"/>
        <w:rPr/>
      </w:pPr>
      <w:r>
        <w:rPr/>
        <w:t>Differential values in "Temperature Change (Range)" Subparagraph below (for aluminum in particular) are suitable for most of the United States. Revise to suit local conditions and metal color and finish.</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PR1"/>
        <w:numPr>
          <w:ilvl w:val="4"/>
          <w:numId w:val="1"/>
        </w:numPr>
        <w:rPr/>
      </w:pPr>
      <w:r>
        <w:rPr/>
        <w:t>Energy Performance: Provide panel assemblies with performance properties specified, as indicated in manufacturer's published test data, based on procedures indicated below[</w:t>
      </w:r>
      <w:r>
        <w:rPr>
          <w:b/>
        </w:rPr>
        <w:t> and certified and labeled according to NFRC</w:t>
      </w:r>
      <w:r>
        <w:rPr/>
        <w:t>]:</w:t>
      </w:r>
    </w:p>
    <w:p>
      <w:pPr>
        <w:pStyle w:val="CMT"/>
        <w:rPr/>
      </w:pPr>
      <w:r>
        <w:rPr/>
        <w:t>Primary energy-performance requirements usually include thermal transmittance (U-factor), solar-heat-gain coefficient (SHGC), and air infiltration. If required, revise "Thermal Transmittance (U-Factor)" and "Solar Heat Gain Coefficient (SHGC)" subparagraphs below to include related and additional energy-performance considerations, such as condensation resistance and visible light transmittance. Revise values to suit climate zone of building envelope.</w:t>
      </w:r>
    </w:p>
    <w:p>
      <w:pPr>
        <w:pStyle w:val="CMT"/>
        <w:rPr/>
      </w:pPr>
      <w:r>
        <w:rPr/>
        <w:t>Lower U-factors may be achieved for some products with specially designed M-shaped internal structures or units filled with aerogel; verify with manufacturers and insert U-factor values as required.</w:t>
      </w:r>
    </w:p>
    <w:p>
      <w:pPr>
        <w:pStyle w:val="PR2"/>
        <w:numPr>
          <w:ilvl w:val="5"/>
          <w:numId w:val="1"/>
        </w:numPr>
        <w:spacing w:before="240" w:after="0"/>
        <w:rPr/>
      </w:pPr>
      <w:r>
        <w:rPr/>
        <w:t>Thermal Transmittance (U-Factor): Fixed glazing and framing areas shall have U-factor of not more than [</w:t>
      </w:r>
      <w:r>
        <w:rPr>
          <w:rStyle w:val="IP"/>
          <w:b/>
        </w:rPr>
        <w:t>0.80 Btu/sq. ft. x h x deg F</w:t>
      </w:r>
      <w:r>
        <w:rPr>
          <w:rStyle w:val="SI"/>
          <w:b/>
        </w:rPr>
        <w:t xml:space="preserve"> (4.54 W/sq. m x K)</w:t>
      </w:r>
      <w:r>
        <w:rPr/>
        <w:t>] [</w:t>
      </w:r>
      <w:r>
        <w:rPr>
          <w:rStyle w:val="IP"/>
          <w:b/>
        </w:rPr>
        <w:t>0.65 Btu/sq. ft. x h x deg F</w:t>
      </w:r>
      <w:r>
        <w:rPr>
          <w:rStyle w:val="SI"/>
          <w:b/>
        </w:rPr>
        <w:t xml:space="preserve"> (3.69 W/sq. m x K)</w:t>
      </w:r>
      <w:r>
        <w:rPr/>
        <w:t>] &lt;</w:t>
      </w:r>
      <w:r>
        <w:rPr>
          <w:b/>
        </w:rPr>
        <w:t>Insert value</w:t>
      </w:r>
      <w:r>
        <w:rPr/>
        <w:t>&gt; as determined according to NFRC 100.</w:t>
      </w:r>
    </w:p>
    <w:p>
      <w:pPr>
        <w:pStyle w:val="PR2"/>
        <w:numPr>
          <w:ilvl w:val="5"/>
          <w:numId w:val="1"/>
        </w:numPr>
        <w:rPr/>
      </w:pPr>
      <w:r>
        <w:rPr/>
        <w:t>Solar-Heat-Gain Coefficient (SHGC): Fixed glazing and framing areas shall have an SHGC of no greater than [</w:t>
      </w:r>
      <w:r>
        <w:rPr>
          <w:b/>
        </w:rPr>
        <w:t>0.6</w:t>
      </w:r>
      <w:r>
        <w:rPr/>
        <w:t>] [</w:t>
      </w:r>
      <w:r>
        <w:rPr>
          <w:b/>
        </w:rPr>
        <w:t>0.7</w:t>
      </w:r>
      <w:r>
        <w:rPr/>
        <w:t>] &lt;</w:t>
      </w:r>
      <w:r>
        <w:rPr>
          <w:b/>
        </w:rPr>
        <w:t>Insert value</w:t>
      </w:r>
      <w:r>
        <w:rPr/>
        <w:t>&gt; as determined according to NFRC 200.</w:t>
      </w:r>
    </w:p>
    <w:p>
      <w:pPr>
        <w:pStyle w:val="CMT"/>
        <w:rPr/>
      </w:pPr>
      <w:r>
        <w:rPr/>
        <w:t>ASTM E283 requires using a static-air-pressure differential of 1.57 lbf/sq. ft. (75 Pa) unless otherwise indicated, which is equivalent to a 25-mph (40-km/h) wind. A static-air-pressure differential of 6.24 lbf/sq. ft. (300 Pa) is equivalent to a 50-mph (80-km/h) wind. Insert other value as applicable.</w:t>
      </w:r>
    </w:p>
    <w:p>
      <w:pPr>
        <w:pStyle w:val="PR2"/>
        <w:numPr>
          <w:ilvl w:val="5"/>
          <w:numId w:val="1"/>
        </w:numPr>
        <w:rPr/>
      </w:pPr>
      <w:r>
        <w:rPr/>
        <w:t>Air Infiltration: Maximum air leakage through fixed glazing and framing areas of [</w:t>
      </w:r>
      <w:r>
        <w:rPr>
          <w:rStyle w:val="IP"/>
          <w:b/>
        </w:rPr>
        <w:t>0.30 cfm/sq. ft.</w:t>
      </w:r>
      <w:r>
        <w:rPr>
          <w:rStyle w:val="SI"/>
          <w:b/>
        </w:rPr>
        <w:t xml:space="preserve"> (1.50 L/s per sq. m)</w:t>
      </w:r>
      <w:r>
        <w:rPr/>
        <w:t>] &lt;</w:t>
      </w:r>
      <w:r>
        <w:rPr>
          <w:b/>
        </w:rPr>
        <w:t>Insert value</w:t>
      </w:r>
      <w:r>
        <w:rPr/>
        <w:t>&gt; of fixed wall area as determined according to ASTM E283 at a minimum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CMT"/>
        <w:rPr/>
      </w:pPr>
      <w:r>
        <w:rPr/>
        <w:t>Consider inserting condensation-resistance and visible-light-transmittance criteria to suit Project.</w:t>
      </w:r>
    </w:p>
    <w:p>
      <w:pPr>
        <w:pStyle w:val="ART"/>
        <w:numPr>
          <w:ilvl w:val="3"/>
          <w:numId w:val="1"/>
        </w:numPr>
        <w:ind w:hanging="0" w:left="0"/>
        <w:rPr/>
      </w:pPr>
      <w:r>
        <w:rPr/>
        <w:t>STRUCTURED-POLYCARBONATE-PANEL ASSEMBLIES</w:t>
      </w:r>
    </w:p>
    <w:p>
      <w:pPr>
        <w:pStyle w:val="PR1"/>
        <w:numPr>
          <w:ilvl w:val="4"/>
          <w:numId w:val="1"/>
        </w:numPr>
        <w:rPr/>
      </w:pPr>
      <w:r>
        <w:rPr/>
        <w:t>Structured-Polycarbonate-Panel Assemblies: Translucent assemblies that are supported by aluminum framing and glazed with structured-polycarbonate panels.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STRUCTURED-POLYCARBONATE PANELS</w:t>
      </w:r>
    </w:p>
    <w:p>
      <w:pPr>
        <w:pStyle w:val="PR1"/>
        <w:numPr>
          <w:ilvl w:val="4"/>
          <w:numId w:val="1"/>
        </w:numPr>
        <w:rPr/>
      </w:pPr>
      <w:r>
        <w:rPr/>
        <w:t>Structured-Polycarbonate Panels: Translucent, extruded-polycarbonate sheet with multiwall cellular cross section that provides isolated airspaces and that is coextruded with a UV-protective layer.</w:t>
      </w:r>
    </w:p>
    <w:p>
      <w:pPr>
        <w:pStyle w:val="CMT"/>
        <w:rPr/>
      </w:pPr>
      <w:r>
        <w:rPr/>
        <w:t>Not all manufacturers offer aerogel fill; verify availability if retaining "Cell Insulation" Subparagraph below.</w:t>
      </w:r>
    </w:p>
    <w:p>
      <w:pPr>
        <w:pStyle w:val="PR2"/>
        <w:numPr>
          <w:ilvl w:val="5"/>
          <w:numId w:val="1"/>
        </w:numPr>
        <w:spacing w:before="240" w:after="0"/>
        <w:rPr/>
      </w:pPr>
      <w:r>
        <w:rPr/>
        <w:t>Cell Insulation: Fill cellular cross sections with aerogel.</w:t>
      </w:r>
    </w:p>
    <w:p>
      <w:pPr>
        <w:pStyle w:val="CMT"/>
        <w:rPr/>
      </w:pPr>
      <w:r>
        <w:rPr/>
        <w:t>Retain "Panel Thickness" Paragraph below unless thickness is indicated on Drawings. Verify availability with manufacturer.</w:t>
      </w:r>
    </w:p>
    <w:p>
      <w:pPr>
        <w:pStyle w:val="PR1"/>
        <w:numPr>
          <w:ilvl w:val="4"/>
          <w:numId w:val="1"/>
        </w:numPr>
        <w:rPr/>
      </w:pPr>
      <w:r>
        <w:rPr/>
        <w:t>Panel Thickness: Nominal [</w:t>
      </w:r>
      <w:r>
        <w:rPr>
          <w:rStyle w:val="IP"/>
          <w:b/>
        </w:rPr>
        <w:t>5/16 inch</w:t>
      </w:r>
      <w:r>
        <w:rPr>
          <w:rStyle w:val="SI"/>
          <w:b/>
        </w:rPr>
        <w:t xml:space="preserve"> (8 mm)</w:t>
      </w:r>
      <w:r>
        <w:rPr/>
        <w:t>] [</w:t>
      </w:r>
      <w:r>
        <w:rPr>
          <w:rStyle w:val="IP"/>
          <w:b/>
        </w:rPr>
        <w:t>3/8 inch</w:t>
      </w:r>
      <w:r>
        <w:rPr>
          <w:rStyle w:val="SI"/>
          <w:b/>
        </w:rPr>
        <w:t xml:space="preserve"> (10 mm)</w:t>
      </w:r>
      <w:r>
        <w:rPr/>
        <w:t>] [</w:t>
      </w:r>
      <w:r>
        <w:rPr>
          <w:rStyle w:val="IP"/>
          <w:b/>
        </w:rPr>
        <w:t>1/2 inch</w:t>
      </w:r>
      <w:r>
        <w:rPr>
          <w:rStyle w:val="SI"/>
          <w:b/>
        </w:rPr>
        <w:t xml:space="preserve"> (12 mm)</w:t>
      </w:r>
      <w:r>
        <w:rPr/>
        <w:t>] [</w:t>
      </w:r>
      <w:r>
        <w:rPr>
          <w:rStyle w:val="IP"/>
          <w:b/>
        </w:rPr>
        <w:t>5/8 inch</w:t>
      </w:r>
      <w:r>
        <w:rPr>
          <w:rStyle w:val="SI"/>
          <w:b/>
        </w:rPr>
        <w:t xml:space="preserve"> (16 mm)</w:t>
      </w:r>
      <w:r>
        <w:rPr/>
        <w:t>] [</w:t>
      </w:r>
      <w:r>
        <w:rPr>
          <w:rStyle w:val="IP"/>
          <w:b/>
        </w:rPr>
        <w:t>1 inch</w:t>
      </w:r>
      <w:r>
        <w:rPr>
          <w:rStyle w:val="SI"/>
          <w:b/>
        </w:rPr>
        <w:t xml:space="preserve"> (25.4 mm)</w:t>
      </w:r>
      <w:r>
        <w:rPr/>
        <w:t>] &lt;</w:t>
      </w:r>
      <w:r>
        <w:rPr>
          <w:b/>
        </w:rPr>
        <w:t>Insert thickness</w:t>
      </w:r>
      <w:r>
        <w:rPr/>
        <w:t>&gt;.</w:t>
      </w:r>
    </w:p>
    <w:p>
      <w:pPr>
        <w:pStyle w:val="PR1"/>
        <w:numPr>
          <w:ilvl w:val="4"/>
          <w:numId w:val="1"/>
        </w:numPr>
        <w:rPr/>
      </w:pPr>
      <w:r>
        <w:rPr/>
        <w:t>UV Resistance: [</w:t>
      </w:r>
      <w:r>
        <w:rPr>
          <w:b/>
        </w:rPr>
        <w:t>Not required</w:t>
      </w:r>
      <w:r>
        <w:rPr/>
        <w:t>] [</w:t>
      </w:r>
      <w:r>
        <w:rPr>
          <w:b/>
        </w:rPr>
        <w:t>On outer surface</w:t>
      </w:r>
      <w:r>
        <w:rPr/>
        <w:t>] [</w:t>
      </w:r>
      <w:r>
        <w:rPr>
          <w:b/>
        </w:rPr>
        <w:t>On both surfaces</w:t>
      </w:r>
      <w:r>
        <w:rPr/>
        <w:t>].</w:t>
      </w:r>
    </w:p>
    <w:p>
      <w:pPr>
        <w:pStyle w:val="PR1"/>
        <w:numPr>
          <w:ilvl w:val="4"/>
          <w:numId w:val="1"/>
        </w:numPr>
        <w:rPr/>
      </w:pPr>
      <w:r>
        <w:rPr/>
        <w:t>Color: [</w:t>
      </w:r>
      <w:r>
        <w:rPr>
          <w:b/>
        </w:rPr>
        <w:t>Transparent, colorless</w:t>
      </w:r>
      <w:r>
        <w:rPr/>
        <w:t>] [</w:t>
      </w:r>
      <w:r>
        <w:rPr>
          <w:b/>
        </w:rPr>
        <w:t>White</w:t>
      </w:r>
      <w:r>
        <w:rPr/>
        <w:t>] [</w:t>
      </w:r>
      <w:r>
        <w:rPr>
          <w:b/>
        </w:rPr>
        <w:t>Bronze</w:t>
      </w:r>
      <w:r>
        <w:rPr/>
        <w:t>] [</w:t>
      </w:r>
      <w:r>
        <w:rPr>
          <w:b/>
        </w:rPr>
        <w:t>Gray</w:t>
      </w:r>
      <w:r>
        <w:rPr/>
        <w:t>] [</w:t>
      </w:r>
      <w:r>
        <w:rPr>
          <w:b/>
        </w:rPr>
        <w:t>Green</w:t>
      </w:r>
      <w:r>
        <w:rPr/>
        <w:t>] [</w:t>
      </w:r>
      <w:r>
        <w:rPr>
          <w:b/>
        </w:rPr>
        <w:t>Blue</w:t>
      </w:r>
      <w:r>
        <w:rPr/>
        <w:t>] [</w:t>
      </w:r>
      <w:r>
        <w:rPr>
          <w:b/>
        </w:rPr>
        <w:t>As selected by Architect from manufacturer's full range</w:t>
      </w:r>
      <w:r>
        <w:rPr/>
        <w:t>] &lt;</w:t>
      </w:r>
      <w:r>
        <w:rPr>
          <w:b/>
        </w:rPr>
        <w:t>Insert color</w:t>
      </w:r>
      <w:r>
        <w:rPr/>
        <w:t>&gt;.</w:t>
      </w:r>
    </w:p>
    <w:p>
      <w:pPr>
        <w:pStyle w:val="PR1"/>
        <w:numPr>
          <w:ilvl w:val="4"/>
          <w:numId w:val="1"/>
        </w:numPr>
        <w:rPr/>
      </w:pPr>
      <w:r>
        <w:rPr/>
        <w:t>Panel Performance:</w:t>
      </w:r>
    </w:p>
    <w:p>
      <w:pPr>
        <w:pStyle w:val="PR2"/>
        <w:numPr>
          <w:ilvl w:val="5"/>
          <w:numId w:val="1"/>
        </w:numPr>
        <w:spacing w:before="240" w:after="0"/>
        <w:rPr/>
      </w:pPr>
      <w:r>
        <w:rPr/>
        <w:t xml:space="preserve">Plastic Self-Ignition Temperature: </w:t>
      </w:r>
      <w:r>
        <w:rPr>
          <w:rStyle w:val="IP"/>
        </w:rPr>
        <w:t>650 deg F</w:t>
      </w:r>
      <w:r>
        <w:rPr>
          <w:rStyle w:val="SI"/>
        </w:rPr>
        <w:t xml:space="preserve"> (343 deg C)</w:t>
      </w:r>
      <w:r>
        <w:rPr/>
        <w:t xml:space="preserve"> or more according to ASTM D1929.</w:t>
      </w:r>
    </w:p>
    <w:p>
      <w:pPr>
        <w:pStyle w:val="PR2"/>
        <w:numPr>
          <w:ilvl w:val="5"/>
          <w:numId w:val="1"/>
        </w:numPr>
        <w:rPr/>
      </w:pPr>
      <w:r>
        <w:rPr/>
        <w:t>Smoke-Developed Index: 450 or less according to ASTM E84, or 75 or less according to ASTM D2843.</w:t>
      </w:r>
    </w:p>
    <w:p>
      <w:pPr>
        <w:pStyle w:val="CMT"/>
        <w:rPr/>
      </w:pPr>
      <w:r>
        <w:rPr/>
        <w:t>Class CC1 in "Combustibility Classification" Subparagraph below has a burning extent of 1 inch (25 mm) or less; Class CC2 has a burning rate of 2.5 in./min. (1.06 mm/s) or less.</w:t>
      </w:r>
    </w:p>
    <w:p>
      <w:pPr>
        <w:pStyle w:val="PR2"/>
        <w:numPr>
          <w:ilvl w:val="5"/>
          <w:numId w:val="1"/>
        </w:numPr>
        <w:rPr/>
      </w:pPr>
      <w:r>
        <w:rPr/>
        <w:t>Combustibility Classification: [</w:t>
      </w:r>
      <w:r>
        <w:rPr>
          <w:b/>
        </w:rPr>
        <w:t>Class CC1</w:t>
      </w:r>
      <w:r>
        <w:rPr/>
        <w:t>] [</w:t>
      </w:r>
      <w:r>
        <w:rPr>
          <w:b/>
        </w:rPr>
        <w:t>Class CC2</w:t>
      </w:r>
      <w:r>
        <w:rPr/>
        <w:t>] based on testing according to ASTM D635.</w:t>
      </w:r>
    </w:p>
    <w:p>
      <w:pPr>
        <w:pStyle w:val="CMT"/>
        <w:rPr/>
      </w:pPr>
      <w:r>
        <w:rPr/>
        <w:t>Retain "Roof-Covering Classification" Subparagraph below only if required. See "Code Considerations" Article in the Evaluations.</w:t>
      </w:r>
    </w:p>
    <w:p>
      <w:pPr>
        <w:pStyle w:val="PR2"/>
        <w:numPr>
          <w:ilvl w:val="5"/>
          <w:numId w:val="1"/>
        </w:numPr>
        <w:rPr/>
      </w:pPr>
      <w:r>
        <w:rPr/>
        <w:t>Roof-Covering Classification: [</w:t>
      </w:r>
      <w:r>
        <w:rPr>
          <w:b/>
        </w:rPr>
        <w:t>Class A</w:t>
      </w:r>
      <w:r>
        <w:rPr/>
        <w:t>] [</w:t>
      </w:r>
      <w:r>
        <w:rPr>
          <w:b/>
        </w:rPr>
        <w:t>Class B</w:t>
      </w:r>
      <w:r>
        <w:rPr/>
        <w:t>] [</w:t>
      </w:r>
      <w:r>
        <w:rPr>
          <w:b/>
        </w:rPr>
        <w:t>Class C</w:t>
      </w:r>
      <w:r>
        <w:rPr/>
        <w:t>] according to ASTM E108 or UL 790.</w:t>
      </w:r>
    </w:p>
    <w:p>
      <w:pPr>
        <w:pStyle w:val="CMT"/>
        <w:rPr/>
      </w:pPr>
      <w:r>
        <w:rPr/>
        <w:t>Retain "Interior Finish Classifications" Subparagraph below only if required. See "Code Considerations" Article in the Evaluations.</w:t>
      </w:r>
    </w:p>
    <w:p>
      <w:pPr>
        <w:pStyle w:val="PR2"/>
        <w:numPr>
          <w:ilvl w:val="5"/>
          <w:numId w:val="1"/>
        </w:numPr>
        <w:rPr/>
      </w:pPr>
      <w:r>
        <w:rPr/>
        <w:t>Interior Finish Classification: [</w:t>
      </w:r>
      <w:r>
        <w:rPr>
          <w:b/>
        </w:rPr>
        <w:t>Class A</w:t>
      </w:r>
      <w:r>
        <w:rPr/>
        <w:t>] [</w:t>
      </w:r>
      <w:r>
        <w:rPr>
          <w:b/>
        </w:rPr>
        <w:t>Class B</w:t>
      </w:r>
      <w:r>
        <w:rPr/>
        <w:t>] [</w:t>
      </w:r>
      <w:r>
        <w:rPr>
          <w:b/>
        </w:rPr>
        <w:t>Class C</w:t>
      </w:r>
      <w:r>
        <w:rPr/>
        <w:t>] based on testing according to ASTM E84.</w:t>
      </w:r>
    </w:p>
    <w:p>
      <w:pPr>
        <w:pStyle w:val="CMT"/>
        <w:rPr/>
      </w:pPr>
      <w:r>
        <w:rPr/>
        <w:t>Revise color stability requirement in "Color Change" Subparagraph below to suit Project. Not all manufacturers test products according to ASTM D2244, and testing conditions vary.</w:t>
      </w:r>
    </w:p>
    <w:p>
      <w:pPr>
        <w:pStyle w:val="PR2"/>
        <w:numPr>
          <w:ilvl w:val="5"/>
          <w:numId w:val="1"/>
        </w:numPr>
        <w:rPr/>
      </w:pPr>
      <w:r>
        <w:rPr/>
        <w:t>Color Change: Not more than 3.0 units Delta E, when measured according to ASTM D2244, after outdoor weathering compliant with procedures in ASTM D1435.</w:t>
      </w:r>
    </w:p>
    <w:p>
      <w:pPr>
        <w:pStyle w:val="CMT"/>
        <w:rPr/>
      </w:pPr>
      <w:r>
        <w:rPr/>
        <w:t>Revise testing environment to suit Project. Some manufacturers test for 120 months to more demanding Florida climate.</w:t>
      </w:r>
    </w:p>
    <w:p>
      <w:pPr>
        <w:pStyle w:val="PR3"/>
        <w:numPr>
          <w:ilvl w:val="6"/>
          <w:numId w:val="1"/>
        </w:numPr>
        <w:spacing w:before="240" w:after="0"/>
        <w:rPr/>
      </w:pPr>
      <w:r>
        <w:rPr/>
        <w:t>Outdoor Weathering Conditions: 60 months in Arizona or 120 months in a moderate North American climate.</w:t>
      </w:r>
    </w:p>
    <w:p>
      <w:pPr>
        <w:pStyle w:val="CMT"/>
        <w:rPr/>
      </w:pPr>
      <w:r>
        <w:rPr/>
        <w:t>Manufacturers' testing and reporting of impact resistance vary; revise "Impact Resistance" Subparagraph below to suit Project. Coordinate with code requirements in hurricane-prone areas that are subject to windborne debris.</w:t>
      </w:r>
    </w:p>
    <w:p>
      <w:pPr>
        <w:pStyle w:val="PR2"/>
        <w:numPr>
          <w:ilvl w:val="5"/>
          <w:numId w:val="1"/>
        </w:numPr>
        <w:spacing w:before="240" w:after="0"/>
        <w:rPr/>
      </w:pPr>
      <w:r>
        <w:rPr/>
        <w:t>Impact Resistance: No failure at impact of [</w:t>
      </w:r>
      <w:r>
        <w:rPr>
          <w:rStyle w:val="IP"/>
          <w:b/>
        </w:rPr>
        <w:t>200 ft. x lbf</w:t>
      </w:r>
      <w:r>
        <w:rPr>
          <w:rStyle w:val="SI"/>
          <w:b/>
        </w:rPr>
        <w:t xml:space="preserve"> (271 J)</w:t>
      </w:r>
      <w:r>
        <w:rPr>
          <w:b/>
        </w:rPr>
        <w:t xml:space="preserve"> according to freefalling-ball impact test using a </w:t>
      </w:r>
      <w:r>
        <w:rPr>
          <w:rStyle w:val="IP"/>
          <w:b/>
        </w:rPr>
        <w:t>3-1/2-inch-</w:t>
      </w:r>
      <w:r>
        <w:rPr>
          <w:rStyle w:val="SI"/>
          <w:b/>
        </w:rPr>
        <w:t xml:space="preserve"> (89-mm-)</w:t>
      </w:r>
      <w:r>
        <w:rPr>
          <w:b/>
        </w:rPr>
        <w:t xml:space="preserve"> diameter, </w:t>
      </w:r>
      <w:r>
        <w:rPr>
          <w:rStyle w:val="IP"/>
          <w:b/>
        </w:rPr>
        <w:t>6.3-lb</w:t>
      </w:r>
      <w:r>
        <w:rPr>
          <w:rStyle w:val="SI"/>
          <w:b/>
        </w:rPr>
        <w:t xml:space="preserve"> (2.9-kg)</w:t>
      </w:r>
      <w:r>
        <w:rPr>
          <w:b/>
        </w:rPr>
        <w:t xml:space="preserve"> ball</w:t>
      </w:r>
      <w:r>
        <w:rPr/>
        <w:t>] &lt;</w:t>
      </w:r>
      <w:r>
        <w:rPr>
          <w:b/>
        </w:rPr>
        <w:t>Insert requirements</w:t>
      </w:r>
      <w:r>
        <w:rPr/>
        <w:t>&gt;.</w:t>
      </w:r>
    </w:p>
    <w:p>
      <w:pPr>
        <w:pStyle w:val="CMT"/>
        <w:rPr/>
      </w:pPr>
      <w:r>
        <w:rPr/>
        <w:t>Retain "Haze Factor" Subparagraph below if required to diffuse direct sunlight.</w:t>
      </w:r>
    </w:p>
    <w:p>
      <w:pPr>
        <w:pStyle w:val="PR2"/>
        <w:numPr>
          <w:ilvl w:val="5"/>
          <w:numId w:val="1"/>
        </w:numPr>
        <w:rPr/>
      </w:pPr>
      <w:r>
        <w:rPr/>
        <w:t>Haze Factor: Greater than 90 percent when tested according to ASTM D1003.</w:t>
      </w:r>
    </w:p>
    <w:p>
      <w:pPr>
        <w:pStyle w:val="ART"/>
        <w:numPr>
          <w:ilvl w:val="3"/>
          <w:numId w:val="1"/>
        </w:numPr>
        <w:ind w:hanging="0" w:left="0"/>
        <w:rPr/>
      </w:pPr>
      <w:r>
        <w:rPr/>
        <w:t>ALUMINUM FRAMING SYSTEMS</w:t>
      </w:r>
    </w:p>
    <w:p>
      <w:pPr>
        <w:pStyle w:val="PR1"/>
        <w:numPr>
          <w:ilvl w:val="4"/>
          <w:numId w:val="1"/>
        </w:numPr>
        <w:rPr/>
      </w:pPr>
      <w:r>
        <w:rPr/>
        <w:t>Components: Manufacturer's standard extruded-aluminum members of thickness required and reinforced as required to support imposed loads.</w:t>
      </w:r>
    </w:p>
    <w:p>
      <w:pPr>
        <w:pStyle w:val="PR2"/>
        <w:numPr>
          <w:ilvl w:val="5"/>
          <w:numId w:val="1"/>
        </w:numPr>
        <w:spacing w:before="240" w:after="0"/>
        <w:rPr/>
      </w:pPr>
      <w:r>
        <w:rPr/>
        <w:t>Construction: [</w:t>
      </w:r>
      <w:r>
        <w:rPr>
          <w:b/>
        </w:rPr>
        <w:t>One piece, extruded aluminum</w:t>
      </w:r>
      <w:r>
        <w:rPr/>
        <w:t>] [</w:t>
      </w:r>
      <w:r>
        <w:rPr>
          <w:b/>
        </w:rPr>
        <w:t>Thermally broken, extruded aluminum</w:t>
      </w:r>
      <w:r>
        <w:rPr/>
        <w:t>] &lt;</w:t>
      </w:r>
      <w:r>
        <w:rPr>
          <w:b/>
        </w:rPr>
        <w:t>Insert description</w:t>
      </w:r>
      <w:r>
        <w:rPr/>
        <w:t>&gt;.</w:t>
      </w:r>
    </w:p>
    <w:p>
      <w:pPr>
        <w:pStyle w:val="PR1"/>
        <w:numPr>
          <w:ilvl w:val="4"/>
          <w:numId w:val="1"/>
        </w:numPr>
        <w:rPr/>
      </w:pPr>
      <w:r>
        <w:rPr/>
        <w:t>Aluminum: Alloy and temper recommended in writing by manufacturer for type of use and finish indicated.</w:t>
      </w:r>
    </w:p>
    <w:p>
      <w:pPr>
        <w:pStyle w:val="PR2"/>
        <w:numPr>
          <w:ilvl w:val="5"/>
          <w:numId w:val="1"/>
        </w:numPr>
        <w:spacing w:before="240" w:after="0"/>
        <w:rPr/>
      </w:pPr>
      <w:r>
        <w:rPr/>
        <w:t xml:space="preserve">Sheet and Plate: </w:t>
      </w:r>
      <w:r>
        <w:rPr>
          <w:rStyle w:val="IP"/>
        </w:rPr>
        <w:t>ASTM B209</w:t>
      </w:r>
      <w:r>
        <w:rPr>
          <w:rStyle w:val="SI"/>
        </w:rPr>
        <w:t xml:space="preserve"> (ASTM B209M)</w:t>
      </w:r>
      <w:r>
        <w:rPr/>
        <w:t>.</w:t>
      </w:r>
    </w:p>
    <w:p>
      <w:pPr>
        <w:pStyle w:val="PR2"/>
        <w:numPr>
          <w:ilvl w:val="5"/>
          <w:numId w:val="1"/>
        </w:numPr>
        <w:rPr/>
      </w:pPr>
      <w:r>
        <w:rPr/>
        <w:t xml:space="preserve">Extruded Bars, Rods, Profiles, and Tubes: </w:t>
      </w:r>
      <w:r>
        <w:rPr>
          <w:rStyle w:val="IP"/>
        </w:rPr>
        <w:t>ASTM B221</w:t>
      </w:r>
      <w:r>
        <w:rPr>
          <w:rStyle w:val="SI"/>
        </w:rPr>
        <w:t xml:space="preserve"> (ASTM B221M)</w:t>
      </w:r>
      <w:r>
        <w:rPr/>
        <w:t>.</w:t>
      </w:r>
    </w:p>
    <w:p>
      <w:pPr>
        <w:pStyle w:val="PR2"/>
        <w:numPr>
          <w:ilvl w:val="5"/>
          <w:numId w:val="1"/>
        </w:numPr>
        <w:rPr/>
      </w:pPr>
      <w:r>
        <w:rPr/>
        <w:t xml:space="preserve">Extruded Structural Pipe and Tubes: </w:t>
      </w:r>
      <w:r>
        <w:rPr>
          <w:rStyle w:val="IP"/>
        </w:rPr>
        <w:t>ASTM B429</w:t>
      </w:r>
      <w:r>
        <w:rPr>
          <w:rStyle w:val="SI"/>
        </w:rPr>
        <w:t xml:space="preserve"> (/B 429M)</w:t>
      </w:r>
      <w:r>
        <w:rPr/>
        <w:t>.</w:t>
      </w:r>
    </w:p>
    <w:p>
      <w:pPr>
        <w:pStyle w:val="PR2"/>
        <w:numPr>
          <w:ilvl w:val="5"/>
          <w:numId w:val="1"/>
        </w:numPr>
        <w:rPr/>
      </w:pPr>
      <w:r>
        <w:rPr/>
        <w:t xml:space="preserve">Structural Profiles: </w:t>
      </w:r>
      <w:r>
        <w:rPr>
          <w:rStyle w:val="IP"/>
        </w:rPr>
        <w:t>ASTM B308</w:t>
      </w:r>
      <w:r>
        <w:rPr>
          <w:rStyle w:val="SI"/>
        </w:rPr>
        <w:t xml:space="preserve"> (/B 308M)</w:t>
      </w:r>
      <w:r>
        <w:rPr/>
        <w:t>.</w:t>
      </w:r>
    </w:p>
    <w:p>
      <w:pPr>
        <w:pStyle w:val="PR1"/>
        <w:numPr>
          <w:ilvl w:val="4"/>
          <w:numId w:val="1"/>
        </w:numPr>
        <w:rPr/>
      </w:pPr>
      <w:r>
        <w:rPr/>
        <w:t>Brackets and Reinforcements: Manufacturer's standard high-strength aluminum with nonstaining, nonferrous shims for aligning skylight components.</w:t>
      </w:r>
    </w:p>
    <w:p>
      <w:pPr>
        <w:pStyle w:val="PR1"/>
        <w:numPr>
          <w:ilvl w:val="4"/>
          <w:numId w:val="1"/>
        </w:numPr>
        <w:rPr/>
      </w:pPr>
      <w:r>
        <w:rPr/>
        <w:t>Fasteners and Accessories: Manufacturer's standard, corrosion-resistant, nonstaining, and nonbleeding fasteners and accessories; compatible with adjacent materials.</w:t>
      </w:r>
    </w:p>
    <w:p>
      <w:pPr>
        <w:pStyle w:val="PR2"/>
        <w:numPr>
          <w:ilvl w:val="5"/>
          <w:numId w:val="1"/>
        </w:numPr>
        <w:spacing w:before="240" w:after="0"/>
        <w:rPr/>
      </w:pPr>
      <w:r>
        <w:rPr/>
        <w:t xml:space="preserve">At closures, retaining caps, or battens, use </w:t>
      </w:r>
      <w:r>
        <w:rPr>
          <w:rStyle w:val="IP"/>
        </w:rPr>
        <w:t>ASTM A193</w:t>
      </w:r>
      <w:r>
        <w:rPr>
          <w:rStyle w:val="SI"/>
        </w:rPr>
        <w:t xml:space="preserve"> (/A 193M)</w:t>
      </w:r>
      <w:r>
        <w:rPr/>
        <w:t>, 300 series stainless-steel screws.</w:t>
      </w:r>
    </w:p>
    <w:p>
      <w:pPr>
        <w:pStyle w:val="PR2"/>
        <w:numPr>
          <w:ilvl w:val="5"/>
          <w:numId w:val="1"/>
        </w:numPr>
        <w:rPr/>
      </w:pPr>
      <w:r>
        <w:rPr/>
        <w:t>Use self-locking devices where fasteners are subject to loosening or turning out from thermal and structural movements, wind loads, or vibration.</w:t>
      </w:r>
    </w:p>
    <w:p>
      <w:pPr>
        <w:pStyle w:val="PR2"/>
        <w:numPr>
          <w:ilvl w:val="5"/>
          <w:numId w:val="1"/>
        </w:numPr>
        <w:rPr/>
      </w:pPr>
      <w:r>
        <w:rPr/>
        <w:t>At movement joints, use slip-joint linings, spacers, and sleeves of material and type recommended in writing by manufacturer.</w:t>
      </w:r>
    </w:p>
    <w:p>
      <w:pPr>
        <w:pStyle w:val="CMT"/>
        <w:rPr/>
      </w:pPr>
      <w:r>
        <w:rPr/>
        <w:t>Retain "Concrete and Masonry Inserts" Paragraph below if applicable or revise to suit Project.</w:t>
      </w:r>
    </w:p>
    <w:p>
      <w:pPr>
        <w:pStyle w:val="PR1"/>
        <w:numPr>
          <w:ilvl w:val="4"/>
          <w:numId w:val="1"/>
        </w:numPr>
        <w:rPr/>
      </w:pPr>
      <w:r>
        <w:rPr/>
        <w:t xml:space="preserve">Concrete and Masonry Inserts: Hot-dip galvanized cast-iron, malleable-iron, or steel inserts complying with </w:t>
      </w:r>
      <w:r>
        <w:rPr>
          <w:rStyle w:val="IP"/>
        </w:rPr>
        <w:t>ASTM A123</w:t>
      </w:r>
      <w:r>
        <w:rPr>
          <w:rStyle w:val="SI"/>
        </w:rPr>
        <w:t xml:space="preserve"> (/A 123M)</w:t>
      </w:r>
      <w:r>
        <w:rPr/>
        <w:t xml:space="preserve"> or </w:t>
      </w:r>
      <w:r>
        <w:rPr>
          <w:rStyle w:val="IP"/>
        </w:rPr>
        <w:t>ASTM A153</w:t>
      </w:r>
      <w:r>
        <w:rPr>
          <w:rStyle w:val="SI"/>
        </w:rPr>
        <w:t xml:space="preserve"> (/A 153M)</w:t>
      </w:r>
      <w:r>
        <w:rPr/>
        <w:t xml:space="preserve"> requirements.</w:t>
      </w:r>
    </w:p>
    <w:p>
      <w:pPr>
        <w:pStyle w:val="CMT"/>
        <w:rPr/>
      </w:pPr>
      <w:r>
        <w:rPr/>
        <w:t>Retain "Anchor Bolts" Paragraph below for fastening to wood curbs. If anchor bolts are required, coordinate locations.</w:t>
      </w:r>
    </w:p>
    <w:p>
      <w:pPr>
        <w:pStyle w:val="PR1"/>
        <w:numPr>
          <w:ilvl w:val="4"/>
          <w:numId w:val="1"/>
        </w:numPr>
        <w:rPr/>
      </w:pPr>
      <w:r>
        <w:rPr/>
        <w:t>Anchor Bolts: ASTM A307, Grade A, galvanized steel.</w:t>
      </w:r>
    </w:p>
    <w:p>
      <w:pPr>
        <w:pStyle w:val="PR1"/>
        <w:numPr>
          <w:ilvl w:val="4"/>
          <w:numId w:val="1"/>
        </w:numPr>
        <w:rPr/>
      </w:pPr>
      <w:r>
        <w:rPr/>
        <w:t>Concealed Flashing: Corrosion-resistant, nonstaining, nonbleeding flashing compatible with adjacent materials.</w:t>
      </w:r>
    </w:p>
    <w:p>
      <w:pPr>
        <w:pStyle w:val="PR1"/>
        <w:numPr>
          <w:ilvl w:val="4"/>
          <w:numId w:val="1"/>
        </w:numPr>
        <w:rPr/>
      </w:pPr>
      <w:r>
        <w:rPr/>
        <w:t>Exposed Flashing and Closures: Aluminum sheet not less than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&lt;</w:t>
      </w:r>
      <w:r>
        <w:rPr>
          <w:b/>
        </w:rPr>
        <w:t>Insert dimension</w:t>
      </w:r>
      <w:r>
        <w:rPr/>
        <w:t>&gt; thick, finished to match framing.</w:t>
      </w:r>
    </w:p>
    <w:p>
      <w:pPr>
        <w:pStyle w:val="PR1"/>
        <w:numPr>
          <w:ilvl w:val="4"/>
          <w:numId w:val="1"/>
        </w:numPr>
        <w:rPr/>
      </w:pPr>
      <w:r>
        <w:rPr/>
        <w:t>Framing Gaskets: Manufacturer's standard gasket system with low-friction surface treatment designed specifically for retaining structured-polycarbonate panels.</w:t>
      </w:r>
    </w:p>
    <w:p>
      <w:pPr>
        <w:pStyle w:val="PR1"/>
        <w:numPr>
          <w:ilvl w:val="4"/>
          <w:numId w:val="1"/>
        </w:numPr>
        <w:rPr/>
      </w:pPr>
      <w:r>
        <w:rPr/>
        <w:t>Frame-System Sealants: As [</w:t>
      </w:r>
      <w:r>
        <w:rPr>
          <w:b/>
        </w:rPr>
        <w:t>recommended in writing by manufacturer.</w:t>
      </w:r>
      <w:r>
        <w:rPr/>
        <w:t>] [</w:t>
      </w:r>
      <w:r>
        <w:rPr>
          <w:b/>
        </w:rPr>
        <w:t>specified in Section 079200 "Joint Sealants."</w:t>
      </w:r>
      <w:r>
        <w:rPr/>
        <w:t>]</w:t>
      </w:r>
    </w:p>
    <w:p>
      <w:pPr>
        <w:pStyle w:val="PR2"/>
        <w:numPr>
          <w:ilvl w:val="5"/>
          <w:numId w:val="1"/>
        </w:numPr>
        <w:spacing w:before="240" w:after="0"/>
        <w:rPr/>
      </w:pPr>
      <w:hyperlink r:id="rId6">
        <w:r>
          <w:rPr>
            <w:rStyle w:val="Hyperlink"/>
          </w:rPr>
          <w:t>&lt;Double click to insert sustainable design text for sealants.&gt;</w:t>
        </w:r>
      </w:hyperlink>
    </w:p>
    <w:p>
      <w:pPr>
        <w:pStyle w:val="PR2"/>
        <w:numPr>
          <w:ilvl w:val="5"/>
          <w:numId w:val="1"/>
        </w:numPr>
        <w:rPr/>
      </w:pPr>
      <w:hyperlink r:id="rId7">
        <w:r>
          <w:rPr>
            <w:rStyle w:val="Hyperlink"/>
          </w:rPr>
          <w:t>&lt;Double click to insert sustainable design text for sealants.&gt;</w:t>
        </w:r>
      </w:hyperlink>
    </w:p>
    <w:p>
      <w:pPr>
        <w:pStyle w:val="PR1"/>
        <w:numPr>
          <w:ilvl w:val="4"/>
          <w:numId w:val="1"/>
        </w:numPr>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ART"/>
        <w:numPr>
          <w:ilvl w:val="3"/>
          <w:numId w:val="1"/>
        </w:numPr>
        <w:ind w:hanging="0" w:left="0"/>
        <w:rPr/>
      </w:pPr>
      <w:r>
        <w:rPr/>
        <w:t>FABRICATION</w:t>
      </w:r>
    </w:p>
    <w:p>
      <w:pPr>
        <w:pStyle w:val="PR1"/>
        <w:numPr>
          <w:ilvl w:val="4"/>
          <w:numId w:val="1"/>
        </w:numPr>
        <w:rPr/>
      </w:pPr>
      <w:r>
        <w:rPr/>
        <w:t>Fabricate aluminum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Internal guttering systems or other means to drain water passing through joints and moisture migrating within assembly to exterior.</w:t>
      </w:r>
    </w:p>
    <w:p>
      <w:pPr>
        <w:pStyle w:val="PR1"/>
        <w:numPr>
          <w:ilvl w:val="4"/>
          <w:numId w:val="1"/>
        </w:numPr>
        <w:rPr/>
      </w:pPr>
      <w:r>
        <w:rPr/>
        <w:t>Fabricate aluminum sill closures with weep holes and for installation as continuous component.</w:t>
      </w:r>
    </w:p>
    <w:p>
      <w:pPr>
        <w:pStyle w:val="PR1"/>
        <w:numPr>
          <w:ilvl w:val="4"/>
          <w:numId w:val="1"/>
        </w:numPr>
        <w:rPr/>
      </w:pPr>
      <w:r>
        <w:rPr/>
        <w:t>Reinforce aluminum components as required to receive fastener threads.</w:t>
      </w:r>
    </w:p>
    <w:p>
      <w:pPr>
        <w:pStyle w:val="ART"/>
        <w:numPr>
          <w:ilvl w:val="3"/>
          <w:numId w:val="1"/>
        </w:numPr>
        <w:ind w:hanging="0" w:left="0"/>
        <w:rPr/>
      </w:pPr>
      <w:r>
        <w:rPr/>
        <w:t>ALUMINUM FINISHES</w:t>
      </w:r>
    </w:p>
    <w:p>
      <w:pPr>
        <w:pStyle w:val="CMT"/>
        <w:rPr/>
      </w:pPr>
      <w:r>
        <w:rPr/>
        <w:t>Retain finishes in four paragraphs below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one of two "High-Performance Organic Finish" paragraphs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High-Performance Organic Finish: [</w:t>
      </w:r>
      <w:r>
        <w:rPr>
          <w:b/>
        </w:rPr>
        <w:t>Three</w:t>
      </w:r>
      <w:r>
        <w:rPr/>
        <w:t>] [</w:t>
      </w:r>
      <w:r>
        <w:rPr>
          <w:b/>
        </w:rPr>
        <w:t>Four</w:t>
      </w:r>
      <w:r>
        <w:rPr/>
        <w:t>]-coat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instructions.</w:t>
      </w:r>
    </w:p>
    <w:p>
      <w:pPr>
        <w:pStyle w:val="PR2"/>
        <w:numPr>
          <w:ilvl w:val="5"/>
          <w:numId w:val="1"/>
        </w:numPr>
        <w:spacing w:before="240" w:after="0"/>
        <w:rPr/>
      </w:pPr>
      <w:r>
        <w:rPr/>
        <w:t>Do not install damaged components.</w:t>
      </w:r>
    </w:p>
    <w:p>
      <w:pPr>
        <w:pStyle w:val="PR2"/>
        <w:numPr>
          <w:ilvl w:val="5"/>
          <w:numId w:val="1"/>
        </w:numPr>
        <w:rPr/>
      </w:pPr>
      <w:r>
        <w:rPr/>
        <w:t>Fit joints between aluminum components to produce hairline joints free of burrs and distortion.</w:t>
      </w:r>
    </w:p>
    <w:p>
      <w:pPr>
        <w:pStyle w:val="PR2"/>
        <w:numPr>
          <w:ilvl w:val="5"/>
          <w:numId w:val="1"/>
        </w:numPr>
        <w:rPr/>
      </w:pPr>
      <w:r>
        <w:rPr/>
        <w:t>Rigidly secure nonmovement joints.</w:t>
      </w:r>
    </w:p>
    <w:p>
      <w:pPr>
        <w:pStyle w:val="PR2"/>
        <w:numPr>
          <w:ilvl w:val="5"/>
          <w:numId w:val="1"/>
        </w:numPr>
        <w:rPr/>
      </w:pPr>
      <w:r>
        <w:rPr/>
        <w:t>Install anchors with separators and isolators to prevent metal corrosion, electrolytic deterioration, and immobilization of moving joints.</w:t>
      </w:r>
    </w:p>
    <w:p>
      <w:pPr>
        <w:pStyle w:val="PR2"/>
        <w:numPr>
          <w:ilvl w:val="5"/>
          <w:numId w:val="1"/>
        </w:numPr>
        <w:rPr/>
      </w:pPr>
      <w:r>
        <w:rPr/>
        <w:t>Seal joints watertight unless otherwise indicated.</w:t>
      </w:r>
    </w:p>
    <w:p>
      <w:pPr>
        <w:pStyle w:val="PR1"/>
        <w:numPr>
          <w:ilvl w:val="4"/>
          <w:numId w:val="1"/>
        </w:numPr>
        <w:rPr/>
      </w:pPr>
      <w:r>
        <w:rPr/>
        <w:t>Metal Protection: Where aluminum components will contact dissimilar materials, protect against galvanic action by painting contact surfaces with corrosion-resistant coating or by installing nonconductive spacers as recommended in writing by manufacturer for this purpose.</w:t>
      </w:r>
    </w:p>
    <w:p>
      <w:pPr>
        <w:pStyle w:val="PR1"/>
        <w:numPr>
          <w:ilvl w:val="4"/>
          <w:numId w:val="1"/>
        </w:numPr>
        <w:rPr/>
      </w:pPr>
      <w:r>
        <w:rPr/>
        <w:t>Install components plumb and true in alignment with established lines and elevations.</w:t>
      </w:r>
    </w:p>
    <w:p>
      <w:pPr>
        <w:pStyle w:val="PR1"/>
        <w:numPr>
          <w:ilvl w:val="4"/>
          <w:numId w:val="1"/>
        </w:numPr>
        <w:rPr/>
      </w:pPr>
      <w:r>
        <w:rPr/>
        <w:t>Skylight Assemblies: Install continuous aluminum sill closures with weatherproof expansion joints and locked and sealed corners. Install components to drain water passing through joints and moisture migrating within assembly to exterior.</w:t>
      </w:r>
    </w:p>
    <w:p>
      <w:pPr>
        <w:pStyle w:val="PR1"/>
        <w:numPr>
          <w:ilvl w:val="4"/>
          <w:numId w:val="1"/>
        </w:numPr>
        <w:rPr/>
      </w:pPr>
      <w:r>
        <w:rPr/>
        <w:t>Erection Tolerances: Install panel assemblies to comply with the following maximum tolerances:</w:t>
      </w:r>
    </w:p>
    <w:p>
      <w:pPr>
        <w:pStyle w:val="CMT"/>
        <w:rPr/>
      </w:pPr>
      <w:r>
        <w:rPr/>
        <w:t>Erection tolerances in "Alignment" and "Location and Plane" subparagraphs below are examples only that are based on manufacturers' literature. Coordinate with tolerances for support systems and revise to suit Project.</w:t>
      </w:r>
    </w:p>
    <w:p>
      <w:pPr>
        <w:pStyle w:val="PR2"/>
        <w:numPr>
          <w:ilvl w:val="5"/>
          <w:numId w:val="1"/>
        </w:numPr>
        <w:spacing w:before="240" w:after="0"/>
        <w:rPr/>
      </w:pPr>
      <w:r>
        <w:rPr/>
        <w:t xml:space="preserve">Alignment: Limit offset from true alignment to </w:t>
      </w:r>
      <w:r>
        <w:rPr>
          <w:rStyle w:val="IP"/>
        </w:rPr>
        <w:t>1/32 inch</w:t>
      </w:r>
      <w:r>
        <w:rPr>
          <w:rStyle w:val="SI"/>
        </w:rPr>
        <w:t xml:space="preserve"> (0.8 mm)</w:t>
      </w:r>
      <w:r>
        <w:rPr/>
        <w:t xml:space="preserve"> where surfaces abut in line, edge to edge, at corners, or where a reveal or protruding element separates aligned surfaces by less than </w:t>
      </w:r>
      <w:r>
        <w:rPr>
          <w:rStyle w:val="IP"/>
        </w:rPr>
        <w:t>3 inches</w:t>
      </w:r>
      <w:r>
        <w:rPr>
          <w:rStyle w:val="SI"/>
        </w:rPr>
        <w:t xml:space="preserve"> (76 mm)</w:t>
      </w:r>
      <w:r>
        <w:rPr/>
        <w:t xml:space="preserve">; otherwise, limit offset to </w:t>
      </w:r>
      <w:r>
        <w:rPr>
          <w:rStyle w:val="IP"/>
        </w:rPr>
        <w:t>1/8 inch</w:t>
      </w:r>
      <w:r>
        <w:rPr>
          <w:rStyle w:val="SI"/>
        </w:rPr>
        <w:t xml:space="preserve"> (3.2 mm)</w:t>
      </w:r>
      <w:r>
        <w:rPr/>
        <w:t>.</w:t>
      </w:r>
    </w:p>
    <w:p>
      <w:pPr>
        <w:pStyle w:val="PR2"/>
        <w:numPr>
          <w:ilvl w:val="5"/>
          <w:numId w:val="1"/>
        </w:numPr>
        <w:rPr/>
      </w:pPr>
      <w:r>
        <w:rPr/>
        <w:t xml:space="preserve">Location and Plane: Limit variation from true location and plane to </w:t>
      </w:r>
      <w:r>
        <w:rPr>
          <w:rStyle w:val="IP"/>
        </w:rPr>
        <w:t>1/8 inch in 12 feet</w:t>
      </w:r>
      <w:r>
        <w:rPr>
          <w:rStyle w:val="SI"/>
        </w:rPr>
        <w:t xml:space="preserve"> (3.2 mm in 3.7 m)</w:t>
      </w:r>
      <w:r>
        <w:rPr/>
        <w:t xml:space="preserve">, but no greater than </w:t>
      </w:r>
      <w:r>
        <w:rPr>
          <w:rStyle w:val="IP"/>
        </w:rPr>
        <w:t>1/2 inch</w:t>
      </w:r>
      <w:r>
        <w:rPr>
          <w:rStyle w:val="SI"/>
        </w:rPr>
        <w:t xml:space="preserve"> (12 mm)</w:t>
      </w:r>
      <w:r>
        <w:rPr/>
        <w:t xml:space="preserve"> over total length.</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Generally retain inexpensive test in "Water-Spray Test" Subparagraph below to check panel assemblies' resistance to water penetration. Insert test-area requirements to suit Project.</w:t>
      </w:r>
    </w:p>
    <w:p>
      <w:pPr>
        <w:pStyle w:val="PR2"/>
        <w:numPr>
          <w:ilvl w:val="5"/>
          <w:numId w:val="1"/>
        </w:numPr>
        <w:spacing w:before="240" w:after="0"/>
        <w:rPr/>
      </w:pPr>
      <w:r>
        <w:rPr/>
        <w:t>Water-Spray Test: Before installation of interior finishes has begun, panel assemblies shall be tested according to AAMA 501.2 and shall not show evidence of water penetration.</w:t>
      </w:r>
    </w:p>
    <w:p>
      <w:pPr>
        <w:pStyle w:val="CMT"/>
        <w:rPr/>
      </w:pPr>
      <w:r>
        <w:rPr/>
        <w:t>If retaining "Water Penetration under Static Pressure" Subparagraph below, verify, with qualified testing agencies, that Project conditions will allow satisfactory static-pressure field testing. A system's installed performance is generally less than its laboratory performance. Indicate test locations on Drawings.</w:t>
      </w:r>
    </w:p>
    <w:p>
      <w:pPr>
        <w:pStyle w:val="PR2"/>
        <w:numPr>
          <w:ilvl w:val="5"/>
          <w:numId w:val="1"/>
        </w:numPr>
        <w:rPr/>
      </w:pPr>
      <w:r>
        <w:rPr/>
        <w:t>Water Penetration under Static Pressure: Before installation of interior finishes has begun, areas shall be tested according to ASTM E1105.</w:t>
      </w:r>
    </w:p>
    <w:p>
      <w:pPr>
        <w:pStyle w:val="PR3"/>
        <w:numPr>
          <w:ilvl w:val="6"/>
          <w:numId w:val="1"/>
        </w:numPr>
        <w:spacing w:before="240" w:after="0"/>
        <w:rPr/>
      </w:pPr>
      <w:r>
        <w:rPr/>
        <w:t>Test Procedures: Test under [</w:t>
      </w:r>
      <w:r>
        <w:rPr>
          <w:b/>
        </w:rPr>
        <w:t>uniform</w:t>
      </w:r>
      <w:r>
        <w:rPr/>
        <w:t>] [</w:t>
      </w:r>
      <w:r>
        <w:rPr>
          <w:b/>
        </w:rPr>
        <w:t>and</w:t>
      </w:r>
      <w:r>
        <w:rPr/>
        <w:t>] [</w:t>
      </w:r>
      <w:r>
        <w:rPr>
          <w:b/>
        </w:rPr>
        <w:t>cyclic</w:t>
      </w:r>
      <w:r>
        <w:rPr/>
        <w:t>] static-air pressure.</w:t>
      </w:r>
    </w:p>
    <w:p>
      <w:pPr>
        <w:pStyle w:val="CMT"/>
        <w:rPr/>
      </w:pPr>
      <w:r>
        <w:rPr/>
        <w:t>Coordinate static-air-pressure, field-test performance requirements in "Static-Air-Pressure Difference" Subparagraph below with static-air-pressure, laboratory-test performance requirements specified in "Performance Requirements" Article. Generally, 0.67 times the pressure specified for laboratory testing according to ASTM E331 is a realistic criterion.</w:t>
      </w:r>
    </w:p>
    <w:p>
      <w:pPr>
        <w:pStyle w:val="PR3"/>
        <w:numPr>
          <w:ilvl w:val="6"/>
          <w:numId w:val="1"/>
        </w:numPr>
        <w:rPr/>
      </w:pPr>
      <w:r>
        <w:rPr/>
        <w:t>Static-Air-Pressure Difference: &lt;</w:t>
      </w:r>
      <w:r>
        <w:rPr>
          <w:b/>
        </w:rPr>
        <w:t>Insert pressure</w:t>
      </w:r>
      <w:r>
        <w:rPr/>
        <w:t>&gt;.</w:t>
      </w:r>
    </w:p>
    <w:p>
      <w:pPr>
        <w:pStyle w:val="PR3"/>
        <w:numPr>
          <w:ilvl w:val="6"/>
          <w:numId w:val="1"/>
        </w:numPr>
        <w:rPr/>
      </w:pPr>
      <w:r>
        <w:rPr/>
        <w:t>Water Penetration: None.</w:t>
      </w:r>
    </w:p>
    <w:p>
      <w:pPr>
        <w:pStyle w:val="PR1"/>
        <w:numPr>
          <w:ilvl w:val="4"/>
          <w:numId w:val="1"/>
        </w:numPr>
        <w:rPr/>
      </w:pPr>
      <w:r>
        <w:rPr/>
        <w:t>Repair or remove work where test results and inspections indicate that it does not comply with specified requirements.</w:t>
      </w:r>
    </w:p>
    <w:p>
      <w:pPr>
        <w:pStyle w:val="PR1"/>
        <w:numPr>
          <w:ilvl w:val="4"/>
          <w:numId w:val="1"/>
        </w:numPr>
        <w:rPr/>
      </w:pPr>
      <w:r>
        <w:rPr/>
        <w:t>Additional testing and inspecting, at Contractor's expense, will be performed to determine compliance of replaced or additional work with specified requirements.</w:t>
      </w:r>
    </w:p>
    <w:p>
      <w:pPr>
        <w:pStyle w:val="PR1"/>
        <w:numPr>
          <w:ilvl w:val="4"/>
          <w:numId w:val="1"/>
        </w:numPr>
        <w:rPr/>
      </w:pPr>
      <w:r>
        <w:rPr/>
        <w:t>Prepare test and inspection reports.</w:t>
      </w:r>
    </w:p>
    <w:p>
      <w:pPr>
        <w:pStyle w:val="EOS"/>
        <w:rPr/>
      </w:pPr>
      <w:r>
        <w:rPr/>
        <w:t>END OF SECTION 084513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STRUCTURED-POLYCARBONATE-PANEL ASSEMBLIES</w:t>
          </w:r>
        </w:p>
      </w:tc>
      <w:tc>
        <w:tcPr>
          <w:tcW w:w="1872" w:type="dxa"/>
          <w:tcBorders/>
        </w:tcPr>
        <w:p>
          <w:pPr>
            <w:pStyle w:val="RJUST"/>
            <w:rPr/>
          </w:pPr>
          <w:r>
            <w:rPr>
              <w:rStyle w:val="NUM"/>
            </w:rPr>
            <w:t>084513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84513"/>
    <w:docVar w:name="MF95" w:val="08951"/>
    <w:docVar w:name="MFOrigin" w:val="MF04"/>
    <w:docVar w:name="SectionID" w:val="255"/>
    <w:docVar w:name="SpecType" w:val="MasterSpec"/>
    <w:docVar w:name="Version" w:val="139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513&amp;ver=03-01-18&amp;format=FL&amp;sid=13975&amp;utm_source=MasterSpec&amp;utm_medium=Word" TargetMode="External"/><Relationship Id="rId3" Type="http://schemas.openxmlformats.org/officeDocument/2006/relationships/hyperlink" Target="http://www.productmasterspec.com/construction_specifications?mf04=08451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46&amp;mf=04&amp;src=wd" TargetMode="External"/><Relationship Id="rId6" Type="http://schemas.openxmlformats.org/officeDocument/2006/relationships/hyperlink" Target="http://www.arcomnet.com/sustainable_design.aspx?topic=45" TargetMode="External"/><Relationship Id="rId7" Type="http://schemas.openxmlformats.org/officeDocument/2006/relationships/hyperlink" Target="http://www.arcomnet.com/sustainable_design.aspx?topic=46"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STRUCTURED-POLYCARBONATE-PANEL ASSEMBLIES</dc:subject>
  <dc:title>SECTION 084513 - STRUCTURED-POLYCARBONATE-PANEL ASSEMBLIES</dc:title>
</cp:coreProperties>
</file>