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086100</w:t>
      </w:r>
      <w:r>
        <w:rPr/>
        <w:t xml:space="preserve"> - </w:t>
      </w:r>
      <w:r>
        <w:rPr>
          <w:rStyle w:val="NAM"/>
        </w:rPr>
        <w:t>ROOF WINDOWS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Roof windows.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086200 "Unit Skylights" for unit skylights and tubular daylighting devices installed in overhead ceiling areas.</w:t>
      </w:r>
    </w:p>
    <w:p>
      <w:pPr>
        <w:pStyle w:val="PR2"/>
        <w:numPr>
          <w:ilvl w:val="5"/>
          <w:numId w:val="1"/>
        </w:numPr>
        <w:ind w:hanging="0" w:left="0"/>
        <w:rPr/>
      </w:pPr>
      <w:r>
        <w:rPr/>
        <w:t>Section 086300 "Metal-Framed Skylights" for glass-glazed, site-erected, metal-framed monumental units.</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product dimensions, construction details, material descriptions, dimensions and profiles of components, and finishes.</w:t>
      </w:r>
    </w:p>
    <w:p>
      <w:pPr>
        <w:pStyle w:val="CMT"/>
        <w:rPr/>
      </w:pPr>
      <w:r>
        <w:rPr/>
        <w:t>Retain subparagraph below for roof windows with motorized operation.</w:t>
      </w:r>
    </w:p>
    <w:p>
      <w:pPr>
        <w:pStyle w:val="PR2"/>
        <w:numPr>
          <w:ilvl w:val="5"/>
          <w:numId w:val="1"/>
        </w:numPr>
        <w:spacing w:before="240" w:after="0"/>
        <w:ind w:hanging="0" w:left="0"/>
        <w:rPr/>
      </w:pPr>
      <w:r>
        <w:rPr/>
        <w:t>Include power requirements, ratings, characteristics, and mounting requirements for electrical components.</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EPDs and HPDs.&gt;</w:t>
        </w:r>
      </w:hyperlink>
    </w:p>
    <w:p>
      <w:pPr>
        <w:pStyle w:val="PR2"/>
        <w:numPr>
          <w:ilvl w:val="5"/>
          <w:numId w:val="1"/>
        </w:numPr>
        <w:ind w:hanging="0" w:left="0"/>
        <w:rPr/>
      </w:pPr>
      <w:hyperlink r:id="rId4">
        <w:r>
          <w:rPr>
            <w:rStyle w:val="Hyperlink"/>
          </w:rPr>
          <w:t>&lt;Double click to insert sustainable design text for recycled content.&gt;</w:t>
        </w:r>
      </w:hyperlink>
    </w:p>
    <w:p>
      <w:pPr>
        <w:pStyle w:val="PR2"/>
        <w:numPr>
          <w:ilvl w:val="5"/>
          <w:numId w:val="1"/>
        </w:numPr>
        <w:ind w:hanging="0" w:left="0"/>
        <w:rPr/>
      </w:pPr>
      <w:hyperlink r:id="rId5">
        <w:r>
          <w:rPr>
            <w:rStyle w:val="Hyperlink"/>
          </w:rPr>
          <w:t>&lt;Double click to insert sustainable design text for certified wood.&gt;</w:t>
        </w:r>
      </w:hyperlink>
    </w:p>
    <w:p>
      <w:pPr>
        <w:pStyle w:val="PR2"/>
        <w:numPr>
          <w:ilvl w:val="5"/>
          <w:numId w:val="1"/>
        </w:numPr>
        <w:ind w:hanging="0" w:left="0"/>
        <w:rPr/>
      </w:pPr>
      <w:hyperlink r:id="rId6">
        <w:r>
          <w:rPr>
            <w:rStyle w:val="Hyperlink"/>
          </w:rPr>
          <w:t>&lt;Double click to insert sustainable design text for certified wood.&gt;</w:t>
        </w:r>
      </w:hyperlink>
    </w:p>
    <w:p>
      <w:pPr>
        <w:pStyle w:val="PR1"/>
        <w:numPr>
          <w:ilvl w:val="4"/>
          <w:numId w:val="1"/>
        </w:numPr>
        <w:ind w:hanging="0" w:left="0"/>
        <w:rPr/>
      </w:pPr>
      <w:r>
        <w:rPr/>
        <w:t>Shop Drawings: For roof windows.</w:t>
      </w:r>
    </w:p>
    <w:p>
      <w:pPr>
        <w:pStyle w:val="PR2"/>
        <w:numPr>
          <w:ilvl w:val="5"/>
          <w:numId w:val="1"/>
        </w:numPr>
        <w:spacing w:before="240" w:after="0"/>
        <w:ind w:hanging="0" w:left="0"/>
        <w:rPr/>
      </w:pPr>
      <w:r>
        <w:rPr/>
        <w:t>Include plans, elevations, sections, and installation details.</w:t>
      </w:r>
    </w:p>
    <w:p>
      <w:pPr>
        <w:pStyle w:val="CMT"/>
        <w:rPr/>
      </w:pPr>
      <w:r>
        <w:rPr/>
        <w:t>Retain subparagraph below for motorized operation.</w:t>
      </w:r>
    </w:p>
    <w:p>
      <w:pPr>
        <w:pStyle w:val="PR2"/>
        <w:numPr>
          <w:ilvl w:val="5"/>
          <w:numId w:val="1"/>
        </w:numPr>
        <w:spacing w:before="240" w:after="0"/>
        <w:ind w:hanging="0" w:left="0"/>
        <w:rPr/>
      </w:pPr>
      <w:r>
        <w:rPr/>
        <w:t>Include diagrams for power, signal, and control wiring for motorized operation.</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ind w:hanging="0" w:left="0"/>
        <w:rPr/>
      </w:pPr>
      <w:r>
        <w:rPr/>
        <w:t>Samples: For each exposed product and for each color and finish specified.</w:t>
      </w:r>
    </w:p>
    <w:p>
      <w:pPr>
        <w:pStyle w:val="PR1"/>
        <w:numPr>
          <w:ilvl w:val="4"/>
          <w:numId w:val="1"/>
        </w:numPr>
        <w:ind w:hanging="0" w:left="0"/>
        <w:rPr/>
      </w:pPr>
      <w:r>
        <w:rPr/>
        <w:t>Samples for Initial Selection: For units with factory-applied finishes.</w:t>
      </w:r>
    </w:p>
    <w:p>
      <w:pPr>
        <w:pStyle w:val="PR2"/>
        <w:numPr>
          <w:ilvl w:val="5"/>
          <w:numId w:val="1"/>
        </w:numPr>
        <w:spacing w:before="240" w:after="0"/>
        <w:ind w:hanging="0" w:left="0"/>
        <w:rPr/>
      </w:pPr>
      <w:r>
        <w:rPr/>
        <w:t>Include Samples of hardware and accessories involving color selection.</w:t>
      </w:r>
    </w:p>
    <w:p>
      <w:pPr>
        <w:pStyle w:val="PR1"/>
        <w:numPr>
          <w:ilvl w:val="4"/>
          <w:numId w:val="1"/>
        </w:numPr>
        <w:ind w:hanging="0" w:left="0"/>
        <w:rPr/>
      </w:pPr>
      <w:r>
        <w:rPr/>
        <w:t>Samples for Verification: For each type of roof window, as follows:</w:t>
      </w:r>
    </w:p>
    <w:p>
      <w:pPr>
        <w:pStyle w:val="PR2"/>
        <w:numPr>
          <w:ilvl w:val="5"/>
          <w:numId w:val="1"/>
        </w:numPr>
        <w:spacing w:before="240" w:after="0"/>
        <w:ind w:hanging="0" w:left="0"/>
        <w:rPr/>
      </w:pPr>
      <w:r>
        <w:rPr/>
        <w:t>Glazing: [</w:t>
      </w:r>
      <w:r>
        <w:rPr>
          <w:b/>
          <w:bCs/>
        </w:rPr>
        <w:t>In manufacturer's standard size</w:t>
      </w:r>
      <w:r>
        <w:rPr/>
        <w:t>] [</w:t>
      </w:r>
      <w:r>
        <w:rPr>
          <w:rStyle w:val="IP"/>
          <w:b/>
          <w:bCs/>
        </w:rPr>
        <w:t>12 inches</w:t>
      </w:r>
      <w:r>
        <w:rPr>
          <w:rStyle w:val="SI"/>
          <w:b/>
          <w:bCs/>
        </w:rPr>
        <w:t xml:space="preserve"> (305 mm)</w:t>
      </w:r>
      <w:r>
        <w:rPr>
          <w:b/>
          <w:bCs/>
        </w:rPr>
        <w:t xml:space="preserve"> square</w:t>
      </w:r>
      <w:r>
        <w:rPr/>
        <w:t>] &lt;</w:t>
      </w:r>
      <w:r>
        <w:rPr>
          <w:b/>
          <w:bCs/>
        </w:rPr>
        <w:t>Insert requirement</w:t>
      </w:r>
      <w:r>
        <w:rPr/>
        <w:t>s&gt; and of same thickness indicated for the final Work.</w:t>
      </w:r>
    </w:p>
    <w:p>
      <w:pPr>
        <w:pStyle w:val="PR2"/>
        <w:numPr>
          <w:ilvl w:val="5"/>
          <w:numId w:val="1"/>
        </w:numPr>
        <w:ind w:hanging="0" w:left="0"/>
        <w:rPr/>
      </w:pPr>
      <w:r>
        <w:rPr/>
        <w:t>Finishes: For each type and color of factory-applied exposed finish required, in manufacturer's standard size.</w:t>
      </w:r>
    </w:p>
    <w:p>
      <w:pPr>
        <w:pStyle w:val="PR2"/>
        <w:numPr>
          <w:ilvl w:val="5"/>
          <w:numId w:val="1"/>
        </w:numPr>
        <w:ind w:hanging="0" w:left="0"/>
        <w:rPr/>
      </w:pPr>
      <w:r>
        <w:rPr/>
        <w:t>Hardware and Accessories: [</w:t>
      </w:r>
      <w:r>
        <w:rPr>
          <w:b/>
          <w:bCs/>
        </w:rPr>
        <w:t>Full-size</w:t>
      </w:r>
      <w:r>
        <w:rPr/>
        <w:t>] &lt;</w:t>
      </w:r>
      <w:r>
        <w:rPr>
          <w:b/>
          <w:bCs/>
        </w:rPr>
        <w:t>Insert requirements</w:t>
      </w:r>
      <w:r>
        <w:rPr/>
        <w:t>&gt; Samples of hardware and accessories involving color selection.</w:t>
      </w:r>
    </w:p>
    <w:p>
      <w:pPr>
        <w:pStyle w:val="CMT"/>
        <w:rPr/>
      </w:pPr>
      <w:r>
        <w:rPr/>
        <w:t>Retain "Product Schedule" Paragraph below if required.</w:t>
      </w:r>
    </w:p>
    <w:p>
      <w:pPr>
        <w:pStyle w:val="PR1"/>
        <w:numPr>
          <w:ilvl w:val="4"/>
          <w:numId w:val="1"/>
        </w:numPr>
        <w:ind w:hanging="0" w:left="0"/>
        <w:rPr/>
      </w:pPr>
      <w:r>
        <w:rPr/>
        <w:t>Product Schedule: For roof windows.[</w:t>
      </w:r>
      <w:r>
        <w:rPr>
          <w:b/>
        </w:rPr>
        <w:t> Use same designations indicated on Drawings.</w:t>
      </w:r>
      <w:r>
        <w:rPr/>
        <w:t>]</w:t>
      </w:r>
    </w:p>
    <w:p>
      <w:pPr>
        <w:pStyle w:val="ART"/>
        <w:numPr>
          <w:ilvl w:val="3"/>
          <w:numId w:val="1"/>
        </w:numPr>
        <w:ind w:hanging="0" w:left="0"/>
        <w:rPr/>
      </w:pPr>
      <w:r>
        <w:rPr/>
        <w:t>INFORMATIONAL SUBMITTALS</w:t>
      </w:r>
    </w:p>
    <w:p>
      <w:pPr>
        <w:pStyle w:val="CMT"/>
        <w:rPr/>
      </w:pPr>
      <w:r>
        <w:rPr/>
        <w:t>Retain "Product Test Reports" Paragraph below if labeling in accordance with AAMA/WDMA/CSA 101/1.S.2/A440 is insufficient or if authorities having jurisdiction will accept test reports instead of labeling.</w:t>
      </w:r>
    </w:p>
    <w:p>
      <w:pPr>
        <w:pStyle w:val="PR1"/>
        <w:numPr>
          <w:ilvl w:val="4"/>
          <w:numId w:val="1"/>
        </w:numPr>
        <w:ind w:hanging="0" w:left="0"/>
        <w:rPr/>
      </w:pPr>
      <w:r>
        <w:rPr/>
        <w:t>Product Test Reports: For each type and size of roof windows, for tests performed by a qualified testing agency on specimens equal to or greater than sizes required for Project.</w:t>
      </w:r>
    </w:p>
    <w:p>
      <w:pPr>
        <w:pStyle w:val="CMT"/>
        <w:rPr/>
      </w:pPr>
      <w:r>
        <w:rPr/>
        <w:t>Retain "Evaluation Reports" Paragraph below if reports from ICC-ES are required, or if compliance with requirements of authorities having jurisdiction in high-wind locations, such as Florida's Miami-Dade County, are needed.</w:t>
      </w:r>
    </w:p>
    <w:p>
      <w:pPr>
        <w:pStyle w:val="PR1"/>
        <w:numPr>
          <w:ilvl w:val="4"/>
          <w:numId w:val="1"/>
        </w:numPr>
        <w:ind w:hanging="0" w:left="0"/>
        <w:rPr/>
      </w:pPr>
      <w:r>
        <w:rPr/>
        <w:t>Evaluation Reports: [Indicating product compliance with code requirements of authorities having jurisdiction] &lt;Insert requirements&gt;.</w:t>
      </w:r>
    </w:p>
    <w:p>
      <w:pPr>
        <w:pStyle w:val="PR1"/>
        <w:numPr>
          <w:ilvl w:val="4"/>
          <w:numId w:val="1"/>
        </w:numPr>
        <w:ind w:hanging="0" w:left="0"/>
        <w:rPr/>
      </w:pPr>
      <w:r>
        <w:rPr/>
        <w:t>Sample Warranty: For special warranty.</w:t>
      </w:r>
    </w:p>
    <w:p>
      <w:pPr>
        <w:pStyle w:val="ART"/>
        <w:numPr>
          <w:ilvl w:val="3"/>
          <w:numId w:val="1"/>
        </w:numPr>
        <w:ind w:hanging="0" w:left="0"/>
        <w:rPr/>
      </w:pPr>
      <w:r>
        <w:rPr/>
        <w:t>CLOSEOUT SUBMITTALS</w:t>
      </w:r>
    </w:p>
    <w:p>
      <w:pPr>
        <w:pStyle w:val="PR1"/>
        <w:numPr>
          <w:ilvl w:val="4"/>
          <w:numId w:val="1"/>
        </w:numPr>
        <w:ind w:hanging="0" w:left="0"/>
        <w:rPr/>
      </w:pPr>
      <w:r>
        <w:rPr/>
        <w:t>Maintenance Data: For roof windows and accessories to include in maintenance manuals.</w:t>
      </w:r>
    </w:p>
    <w:p>
      <w:pPr>
        <w:pStyle w:val="ART"/>
        <w:numPr>
          <w:ilvl w:val="3"/>
          <w:numId w:val="1"/>
        </w:numPr>
        <w:ind w:hanging="0" w:left="0"/>
        <w:rPr/>
      </w:pPr>
      <w:r>
        <w:rPr/>
        <w:t>QUALITY ASSURANCE</w:t>
      </w:r>
    </w:p>
    <w:p>
      <w:pPr>
        <w:pStyle w:val="PR1"/>
        <w:numPr>
          <w:ilvl w:val="4"/>
          <w:numId w:val="1"/>
        </w:numPr>
        <w:ind w:hanging="0" w:left="0"/>
        <w:rPr/>
      </w:pPr>
      <w:hyperlink r:id="rId7">
        <w:r>
          <w:rPr>
            <w:rStyle w:val="Hyperlink"/>
          </w:rPr>
          <w:t>&lt;Double click to insert sustainable design text for manufacturer qualifications.&gt;</w:t>
        </w:r>
      </w:hyperlink>
    </w:p>
    <w:p>
      <w:pPr>
        <w:pStyle w:val="PR1"/>
        <w:numPr>
          <w:ilvl w:val="4"/>
          <w:numId w:val="1"/>
        </w:numPr>
        <w:ind w:hanging="0" w:left="0"/>
        <w:rPr/>
      </w:pPr>
      <w:hyperlink r:id="rId8">
        <w:r>
          <w:rPr>
            <w:rStyle w:val="Hyperlink"/>
          </w:rPr>
          <w:t>&lt;Double click to insert sustainable design text for vendor qualifications.&gt;</w:t>
        </w:r>
      </w:hyperlink>
    </w:p>
    <w:p>
      <w:pPr>
        <w:pStyle w:val="ART"/>
        <w:numPr>
          <w:ilvl w:val="3"/>
          <w:numId w:val="1"/>
        </w:numPr>
        <w:ind w:hanging="0" w:left="0"/>
        <w:rPr/>
      </w:pPr>
      <w:r>
        <w:rPr/>
        <w:t>DELIVERY, STORAGE, AND HANDLING</w:t>
      </w:r>
    </w:p>
    <w:p>
      <w:pPr>
        <w:pStyle w:val="PR1"/>
        <w:numPr>
          <w:ilvl w:val="4"/>
          <w:numId w:val="1"/>
        </w:numPr>
        <w:ind w:hanging="0" w:left="0"/>
        <w:rPr/>
      </w:pPr>
      <w:r>
        <w:rPr/>
        <w:t>Protect roof windows during transit, storage, and handling to prevent damage, soiling, and deterioration. Store off ground and covered in a clean, dry, well-ventilated, protected space. Comply with manufacturer's written instructions.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ind w:hanging="0" w:left="0"/>
        <w:rPr/>
      </w:pPr>
      <w:r>
        <w:rPr/>
        <w:t>Special Warranty: Manufacturer agrees to repair or replace roof windows that fail in materials or workmanship within specified warranty period.</w:t>
      </w:r>
    </w:p>
    <w:p>
      <w:pPr>
        <w:pStyle w:val="PR2"/>
        <w:numPr>
          <w:ilvl w:val="5"/>
          <w:numId w:val="1"/>
        </w:numPr>
        <w:spacing w:before="240" w:after="0"/>
        <w:ind w:hanging="0" w:left="0"/>
        <w:rPr/>
      </w:pPr>
      <w:r>
        <w:rPr/>
        <w:t>Failures include, but are not limited to, the following:</w:t>
      </w:r>
    </w:p>
    <w:p>
      <w:pPr>
        <w:pStyle w:val="PR3"/>
        <w:numPr>
          <w:ilvl w:val="6"/>
          <w:numId w:val="1"/>
        </w:numPr>
        <w:spacing w:before="240" w:after="0"/>
        <w:rPr/>
      </w:pPr>
      <w:bookmarkStart w:id="0" w:name="_Hlk26615619"/>
      <w:bookmarkEnd w:id="0"/>
      <w:r>
        <w:rPr/>
        <w:t>Failure to meet performance requirements.</w:t>
      </w:r>
    </w:p>
    <w:p>
      <w:pPr>
        <w:pStyle w:val="PR3"/>
        <w:numPr>
          <w:ilvl w:val="6"/>
          <w:numId w:val="1"/>
        </w:numPr>
        <w:rPr/>
      </w:pPr>
      <w:bookmarkStart w:id="1" w:name="_Hlk26615619"/>
      <w:bookmarkEnd w:id="1"/>
      <w:r>
        <w:rPr/>
        <w:t>Structural failures including excessive deflection.</w:t>
      </w:r>
    </w:p>
    <w:p>
      <w:pPr>
        <w:pStyle w:val="PR3"/>
        <w:numPr>
          <w:ilvl w:val="6"/>
          <w:numId w:val="1"/>
        </w:numPr>
        <w:rPr/>
      </w:pPr>
      <w:r>
        <w:rPr/>
        <w:t>Water leakage not controlled by drainage features.</w:t>
      </w:r>
    </w:p>
    <w:p>
      <w:pPr>
        <w:pStyle w:val="PR3"/>
        <w:numPr>
          <w:ilvl w:val="6"/>
          <w:numId w:val="1"/>
        </w:numPr>
        <w:rPr/>
      </w:pPr>
      <w:r>
        <w:rPr/>
        <w:t>Faulty operation of sashes and hardware.</w:t>
      </w:r>
    </w:p>
    <w:p>
      <w:pPr>
        <w:pStyle w:val="PR3"/>
        <w:numPr>
          <w:ilvl w:val="6"/>
          <w:numId w:val="1"/>
        </w:numPr>
        <w:rPr/>
      </w:pPr>
      <w:r>
        <w:rPr/>
        <w:t>Deterioration of materials and finishes beyond normal weathering.</w:t>
      </w:r>
    </w:p>
    <w:p>
      <w:pPr>
        <w:pStyle w:val="PR3"/>
        <w:numPr>
          <w:ilvl w:val="6"/>
          <w:numId w:val="1"/>
        </w:numPr>
        <w:rPr/>
      </w:pPr>
      <w:bookmarkStart w:id="2" w:name="_Hlk26615599"/>
      <w:bookmarkEnd w:id="2"/>
      <w:r>
        <w:rPr/>
        <w:t>Deterioration of insulating-glass units including failure of hermetic seal under normal use that is not attributed to glass breakage or to maintaining and cleaning insulating-glass units contrary to manufacturer's written instructions. Evidence of failure is the obstruction of vision by dust, moisture, or film on interior surfaces of glass.</w:t>
      </w:r>
    </w:p>
    <w:p>
      <w:pPr>
        <w:pStyle w:val="PR3"/>
        <w:numPr>
          <w:ilvl w:val="6"/>
          <w:numId w:val="1"/>
        </w:numPr>
        <w:rPr/>
      </w:pPr>
      <w:bookmarkStart w:id="3" w:name="_Hlk26615599"/>
      <w:bookmarkEnd w:id="3"/>
      <w:r>
        <w:rPr/>
        <w:t>Deterioration of laminated-glass lites including defects developed from normal use that are not attributed to glass breakage or to maintaining and cleaning laminated glass contrary to manufacturer's written instructions. Defects include edge separation and delamination that materially obstructs vision through glass.</w:t>
      </w:r>
    </w:p>
    <w:p>
      <w:pPr>
        <w:pStyle w:val="PR3"/>
        <w:numPr>
          <w:ilvl w:val="6"/>
          <w:numId w:val="1"/>
        </w:numPr>
        <w:rPr/>
      </w:pPr>
      <w:r>
        <w:rPr/>
        <w:t>&lt;</w:t>
      </w:r>
      <w:r>
        <w:rPr>
          <w:b/>
        </w:rPr>
        <w:t>Insert requirements</w:t>
      </w:r>
      <w:r>
        <w:rPr/>
        <w:t>&gt;.</w:t>
      </w:r>
    </w:p>
    <w:p>
      <w:pPr>
        <w:pStyle w:val="PR2"/>
        <w:numPr>
          <w:ilvl w:val="5"/>
          <w:numId w:val="1"/>
        </w:numPr>
        <w:spacing w:before="240" w:after="0"/>
        <w:ind w:hanging="0" w:left="0"/>
        <w:rPr/>
      </w:pPr>
      <w:r>
        <w:rPr/>
        <w:t>Warranty Period:</w:t>
      </w:r>
    </w:p>
    <w:p>
      <w:pPr>
        <w:pStyle w:val="CMT"/>
        <w:rPr/>
      </w:pPr>
      <w:r>
        <w:rPr/>
        <w:t>Verify available warranties for units and components.</w:t>
      </w:r>
    </w:p>
    <w:p>
      <w:pPr>
        <w:pStyle w:val="PR3"/>
        <w:numPr>
          <w:ilvl w:val="6"/>
          <w:numId w:val="1"/>
        </w:numPr>
        <w:spacing w:before="240" w:after="0"/>
        <w:rPr/>
      </w:pPr>
      <w:r>
        <w:rPr/>
        <w:t>Roof Window: [</w:t>
      </w:r>
      <w:r>
        <w:rPr>
          <w:b/>
        </w:rPr>
        <w:t>Five</w:t>
      </w:r>
      <w:r>
        <w:rPr/>
        <w:t>] [</w:t>
      </w:r>
      <w:r>
        <w:rPr>
          <w:b/>
        </w:rPr>
        <w:t>10</w:t>
      </w:r>
      <w:r>
        <w:rPr/>
        <w:t>] &lt;</w:t>
      </w:r>
      <w:r>
        <w:rPr>
          <w:b/>
        </w:rPr>
        <w:t>Insert number</w:t>
      </w:r>
      <w:r>
        <w:rPr/>
        <w:t>&gt; years from date of Substantial Completion.</w:t>
      </w:r>
    </w:p>
    <w:p>
      <w:pPr>
        <w:pStyle w:val="PR3"/>
        <w:numPr>
          <w:ilvl w:val="6"/>
          <w:numId w:val="1"/>
        </w:numPr>
        <w:rPr/>
      </w:pPr>
      <w:bookmarkStart w:id="4" w:name="_Hlk26615744"/>
      <w:bookmarkEnd w:id="4"/>
      <w:r>
        <w:rPr/>
        <w:t>Insulating-Glass Units: [</w:t>
      </w:r>
      <w:r>
        <w:rPr>
          <w:b/>
        </w:rPr>
        <w:t>10</w:t>
      </w:r>
      <w:r>
        <w:rPr/>
        <w:t>] [</w:t>
      </w:r>
      <w:r>
        <w:rPr>
          <w:b/>
        </w:rPr>
        <w:t>20</w:t>
      </w:r>
      <w:r>
        <w:rPr/>
        <w:t>] &lt;</w:t>
      </w:r>
      <w:r>
        <w:rPr>
          <w:b/>
        </w:rPr>
        <w:t>Insert number</w:t>
      </w:r>
      <w:r>
        <w:rPr/>
        <w:t>&gt; years from date of Substantial Completion.</w:t>
      </w:r>
    </w:p>
    <w:p>
      <w:pPr>
        <w:pStyle w:val="PR3"/>
        <w:numPr>
          <w:ilvl w:val="6"/>
          <w:numId w:val="1"/>
        </w:numPr>
        <w:rPr/>
      </w:pPr>
      <w:bookmarkStart w:id="5" w:name="_Hlk26615744"/>
      <w:bookmarkEnd w:id="5"/>
      <w:r>
        <w:rPr/>
        <w:t>[</w:t>
      </w:r>
      <w:r>
        <w:rPr>
          <w:b/>
        </w:rPr>
        <w:t>Accessories</w:t>
      </w:r>
      <w:r>
        <w:rPr/>
        <w:t>] [</w:t>
      </w:r>
      <w:r>
        <w:rPr>
          <w:b/>
        </w:rPr>
        <w:t>and</w:t>
      </w:r>
      <w:r>
        <w:rPr/>
        <w:t>] [</w:t>
      </w:r>
      <w:r>
        <w:rPr>
          <w:b/>
        </w:rPr>
        <w:t>Electronic Controls</w:t>
      </w:r>
      <w:r>
        <w:rPr/>
        <w:t>]: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bookmarkStart w:id="6" w:name="_Hlk26121933"/>
      <w:bookmarkEnd w:id="6"/>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bookmarkStart w:id="7" w:name="_Hlk26121933"/>
      <w:bookmarkEnd w:id="7"/>
      <w:r>
        <w:rPr/>
        <w:t>PERFORMANCE REQUIREMENTS</w:t>
      </w:r>
    </w:p>
    <w:p>
      <w:pPr>
        <w:pStyle w:val="CMT"/>
        <w:rPr/>
      </w:pPr>
      <w:r>
        <w:rPr/>
        <w:t>"Performance Standard" Paragraph below is based on the International Building Code (IBC) and the International Residential Code (IRC) requirements for testing roof windows in accordance with AAMA/WDMA/CSA 101/1.S.2/A440.</w:t>
      </w:r>
    </w:p>
    <w:p>
      <w:pPr>
        <w:pStyle w:val="PR1"/>
        <w:numPr>
          <w:ilvl w:val="4"/>
          <w:numId w:val="1"/>
        </w:numPr>
        <w:ind w:hanging="0" w:left="0"/>
        <w:rPr/>
      </w:pPr>
      <w:r>
        <w:rPr/>
        <w:t>Performance Standard: Comply with AAMA/WDMA/CSA 101/1.S.2/A440 for definitions and minimum standards of performance, materials, components, accessories, and fabrication unless more stringent requirements are indicated.</w:t>
      </w:r>
    </w:p>
    <w:p>
      <w:pPr>
        <w:pStyle w:val="CMT"/>
        <w:rPr/>
      </w:pPr>
      <w:bookmarkStart w:id="8" w:name="_Hlk26122195"/>
      <w:bookmarkEnd w:id="8"/>
      <w:r>
        <w:rPr/>
        <w:t>Revise "Minimum Performance Grade" Subparagraph below to suit Project. AAMA/WDMA/CSA 101/1.S.2/A440 establishes a gateway performance grade (PG) for roof windows of 30. The performance grade is the minimum design pressure and establishes test pressures for structural-performance and water-resistance tests.</w:t>
      </w:r>
    </w:p>
    <w:p>
      <w:pPr>
        <w:pStyle w:val="PR2"/>
        <w:numPr>
          <w:ilvl w:val="5"/>
          <w:numId w:val="1"/>
        </w:numPr>
        <w:spacing w:before="240" w:after="0"/>
        <w:ind w:hanging="0" w:left="0"/>
        <w:rPr/>
      </w:pPr>
      <w:bookmarkStart w:id="9" w:name="_Hlk26122195"/>
      <w:bookmarkEnd w:id="9"/>
      <w:r>
        <w:rPr/>
        <w:t>Minimum Performance Grade: PG [</w:t>
      </w:r>
      <w:r>
        <w:rPr>
          <w:b/>
        </w:rPr>
        <w:t>30</w:t>
      </w:r>
      <w:r>
        <w:rPr/>
        <w:t>] [</w:t>
      </w:r>
      <w:r>
        <w:rPr>
          <w:b/>
        </w:rPr>
        <w:t>35</w:t>
      </w:r>
      <w:r>
        <w:rPr/>
        <w:t>] [</w:t>
      </w:r>
      <w:r>
        <w:rPr>
          <w:b/>
        </w:rPr>
        <w:t>40</w:t>
      </w:r>
      <w:r>
        <w:rPr/>
        <w:t>] [</w:t>
      </w:r>
      <w:r>
        <w:rPr>
          <w:b/>
        </w:rPr>
        <w:t>45</w:t>
      </w:r>
      <w:r>
        <w:rPr/>
        <w:t>] &lt;</w:t>
      </w:r>
      <w:r>
        <w:rPr>
          <w:b/>
        </w:rPr>
        <w:t>Insert requirements</w:t>
      </w:r>
      <w:r>
        <w:rPr/>
        <w:t>&gt;.</w:t>
      </w:r>
    </w:p>
    <w:p>
      <w:pPr>
        <w:pStyle w:val="CMT"/>
        <w:rPr/>
      </w:pPr>
      <w:bookmarkStart w:id="10" w:name="_Hlk26126154"/>
      <w:bookmarkEnd w:id="10"/>
      <w:r>
        <w:rPr/>
        <w:t>"Label Requirements" Subparagraph below is based on the IBC and the IRC requirements for product labels indicating compliance with AAMA/WDMA/CSA 101/1.S.2/A440.</w:t>
      </w:r>
    </w:p>
    <w:p>
      <w:pPr>
        <w:pStyle w:val="PR2"/>
        <w:numPr>
          <w:ilvl w:val="5"/>
          <w:numId w:val="1"/>
        </w:numPr>
        <w:ind w:hanging="0" w:left="0"/>
        <w:rPr/>
      </w:pPr>
      <w:r>
        <w:rPr/>
        <w:t>Label Requirements: Label each product with names of manufacturer and labeling agency and AAMA/WDMA/CSA 101/1.S.2/A440 product designation, performance grade, and test specimen size equal to or greater than the size of the product.</w:t>
      </w:r>
    </w:p>
    <w:p>
      <w:pPr>
        <w:pStyle w:val="CMT"/>
        <w:rPr/>
      </w:pPr>
      <w:r>
        <w:rPr/>
        <w:t>Retain "Certification Requirements" Subparagraph below if WDMA or other certification is required. Manufacturers that test products in accordance with AAMA/WDMA/CSA 101/1.S.2/A440 requirements do not necessarily participate in WDMA third-party certification program.</w:t>
      </w:r>
    </w:p>
    <w:p>
      <w:pPr>
        <w:pStyle w:val="PR2"/>
        <w:numPr>
          <w:ilvl w:val="5"/>
          <w:numId w:val="1"/>
        </w:numPr>
        <w:ind w:hanging="0" w:left="0"/>
        <w:rPr/>
      </w:pPr>
      <w:r>
        <w:rPr/>
        <w:t>Certification Requirements: Provide [</w:t>
      </w:r>
      <w:r>
        <w:rPr>
          <w:b/>
          <w:bCs/>
        </w:rPr>
        <w:t>WDMA</w:t>
      </w:r>
      <w:r>
        <w:rPr/>
        <w:t>] &lt;</w:t>
      </w:r>
      <w:r>
        <w:rPr>
          <w:b/>
          <w:bCs/>
        </w:rPr>
        <w:t>Insert requirements</w:t>
      </w:r>
      <w:r>
        <w:rPr/>
        <w:t>&gt; certified products, with label attached to each roof window.</w:t>
      </w:r>
    </w:p>
    <w:p>
      <w:pPr>
        <w:pStyle w:val="CMT"/>
        <w:rPr/>
      </w:pPr>
      <w:bookmarkStart w:id="11" w:name="_Hlk26126154"/>
      <w:bookmarkStart w:id="12" w:name="_Hlk26127127"/>
      <w:bookmarkEnd w:id="11"/>
      <w:bookmarkEnd w:id="12"/>
      <w:r>
        <w:rPr/>
        <w:t>Retain "Thermal Transmittance" Paragraph below if required to comply with requirements of authorities having jurisdiction. Options are based on ENERGY STAR and ICC/ASHRAE 700 requirements. Requirements vary by climate zone.</w:t>
      </w:r>
    </w:p>
    <w:p>
      <w:pPr>
        <w:pStyle w:val="PR1"/>
        <w:numPr>
          <w:ilvl w:val="4"/>
          <w:numId w:val="1"/>
        </w:numPr>
        <w:ind w:hanging="0" w:left="0"/>
        <w:rPr/>
      </w:pPr>
      <w:r>
        <w:rPr/>
        <w:t xml:space="preserve">Thermal Transmittance: NFRC 100 maximum U-factor of </w:t>
      </w:r>
      <w:bookmarkStart w:id="13" w:name="_Hlk26613257"/>
      <w:r>
        <w:rPr/>
        <w:t>[</w:t>
      </w:r>
      <w:r>
        <w:rPr>
          <w:rStyle w:val="IP"/>
          <w:b/>
        </w:rPr>
        <w:t>0.42 Btu/sq. ft. x h x deg F</w:t>
      </w:r>
      <w:r>
        <w:rPr>
          <w:rStyle w:val="SI"/>
          <w:b/>
        </w:rPr>
        <w:t xml:space="preserve"> (2.38 W/sq. m x K)</w:t>
      </w:r>
      <w:r>
        <w:rPr/>
        <w:t>] [</w:t>
      </w:r>
      <w:r>
        <w:rPr>
          <w:rStyle w:val="IP"/>
          <w:b/>
        </w:rPr>
        <w:t>0.45 Btu/sq. ft. x h x deg F</w:t>
      </w:r>
      <w:r>
        <w:rPr>
          <w:rStyle w:val="SI"/>
          <w:b/>
        </w:rPr>
        <w:t xml:space="preserve"> (2.56 W/sq. m x K)</w:t>
      </w:r>
      <w:r>
        <w:rPr/>
        <w:t>] [</w:t>
      </w:r>
      <w:r>
        <w:rPr>
          <w:rStyle w:val="IP"/>
          <w:b/>
        </w:rPr>
        <w:t>0.46 Btu/sq. ft. x h x deg F</w:t>
      </w:r>
      <w:r>
        <w:rPr>
          <w:rStyle w:val="SI"/>
          <w:b/>
        </w:rPr>
        <w:t xml:space="preserve"> (2.61 W/sq. m x K)</w:t>
      </w:r>
      <w:r>
        <w:rPr/>
        <w:t>] [</w:t>
      </w:r>
      <w:r>
        <w:rPr>
          <w:rStyle w:val="IP"/>
          <w:b/>
        </w:rPr>
        <w:t>0.48 Btu/sq. ft. x h x deg F</w:t>
      </w:r>
      <w:r>
        <w:rPr>
          <w:rStyle w:val="SI"/>
          <w:b/>
        </w:rPr>
        <w:t xml:space="preserve"> (2.73 W/sq. m x K)</w:t>
      </w:r>
      <w:r>
        <w:rPr/>
        <w:t xml:space="preserve">] </w:t>
      </w:r>
      <w:bookmarkStart w:id="14" w:name="_Hlk26126838"/>
      <w:r>
        <w:rPr/>
        <w:t>[</w:t>
      </w:r>
      <w:r>
        <w:rPr>
          <w:rStyle w:val="IP"/>
          <w:b/>
        </w:rPr>
        <w:t>0.50 Btu/sq. ft. x h x deg F</w:t>
      </w:r>
      <w:r>
        <w:rPr>
          <w:rStyle w:val="SI"/>
          <w:b/>
        </w:rPr>
        <w:t xml:space="preserve"> (2.84 W/sq. m x K)</w:t>
      </w:r>
      <w:r>
        <w:rPr/>
        <w:t>] [</w:t>
      </w:r>
      <w:r>
        <w:rPr>
          <w:rStyle w:val="IP"/>
          <w:b/>
        </w:rPr>
        <w:t>0.53 Btu/sq. ft. x h x deg F</w:t>
      </w:r>
      <w:r>
        <w:rPr>
          <w:rStyle w:val="SI"/>
          <w:b/>
        </w:rPr>
        <w:t xml:space="preserve"> (3.01 W/sq. m x K)</w:t>
      </w:r>
      <w:r>
        <w:rPr/>
        <w:t>] [</w:t>
      </w:r>
      <w:r>
        <w:rPr>
          <w:rStyle w:val="IP"/>
          <w:b/>
        </w:rPr>
        <w:t>0.55 Btu/sq. ft. x h x deg F</w:t>
      </w:r>
      <w:r>
        <w:rPr>
          <w:rStyle w:val="SI"/>
          <w:b/>
        </w:rPr>
        <w:t xml:space="preserve"> (3.12 W/sq. m x K)</w:t>
      </w:r>
      <w:r>
        <w:rPr/>
        <w:t>] [</w:t>
      </w:r>
      <w:r>
        <w:rPr>
          <w:rStyle w:val="IP"/>
          <w:b/>
        </w:rPr>
        <w:t>0.60 Btu/sq. ft. x h x deg F</w:t>
      </w:r>
      <w:r>
        <w:rPr>
          <w:rStyle w:val="SI"/>
          <w:b/>
        </w:rPr>
        <w:t xml:space="preserve"> (3.41 W/sq. m x K)</w:t>
      </w:r>
      <w:r>
        <w:rPr/>
        <w:t>]</w:t>
      </w:r>
      <w:bookmarkEnd w:id="14"/>
      <w:r>
        <w:rPr/>
        <w:t xml:space="preserve"> </w:t>
      </w:r>
      <w:bookmarkEnd w:id="13"/>
      <w:r>
        <w:rPr/>
        <w:t>&lt;Insert value&gt;.</w:t>
      </w:r>
    </w:p>
    <w:p>
      <w:pPr>
        <w:pStyle w:val="CMT"/>
        <w:rPr/>
      </w:pPr>
      <w:bookmarkStart w:id="15" w:name="_Hlk26127127"/>
      <w:bookmarkEnd w:id="15"/>
      <w:r>
        <w:rPr/>
        <w:t>Options in "Solar Heat-Gain Coefficient (SHGC)" Paragraph below are based on ENERGY STAR and ICC/ASHRAE 700 requirements. Requirements vary by climate zone.</w:t>
      </w:r>
    </w:p>
    <w:p>
      <w:pPr>
        <w:pStyle w:val="PR1"/>
        <w:numPr>
          <w:ilvl w:val="4"/>
          <w:numId w:val="1"/>
        </w:numPr>
        <w:ind w:hanging="0" w:left="0"/>
        <w:rPr/>
      </w:pPr>
      <w:r>
        <w:rPr/>
        <w:t>Solar Heat-Gain Coefficient (SHGC): NFRC 200 maximum SHGC of [</w:t>
      </w:r>
      <w:r>
        <w:rPr>
          <w:b/>
        </w:rPr>
        <w:t>0.40</w:t>
      </w:r>
      <w:r>
        <w:rPr/>
        <w:t>] [</w:t>
      </w:r>
      <w:r>
        <w:rPr>
          <w:b/>
        </w:rPr>
        <w:t>0.35</w:t>
      </w:r>
      <w:r>
        <w:rPr/>
        <w:t>] [</w:t>
      </w:r>
      <w:r>
        <w:rPr>
          <w:b/>
        </w:rPr>
        <w:t>0.28</w:t>
      </w:r>
      <w:r>
        <w:rPr/>
        <w:t>] &lt;</w:t>
      </w:r>
      <w:r>
        <w:rPr>
          <w:b/>
        </w:rPr>
        <w:t>Insert value</w:t>
      </w:r>
      <w:r>
        <w:rPr/>
        <w:t>&gt;.</w:t>
      </w:r>
    </w:p>
    <w:p>
      <w:pPr>
        <w:pStyle w:val="CMT"/>
        <w:rPr/>
      </w:pPr>
      <w:r>
        <w:rPr/>
        <w:t>Retain "Sound Transmission Class (STC)" and "Outside-Inside Transmission Class (OITC)" paragraphs below after verifying availability of test data for specified products. STC evaluates construction subject to interior sound frequencies, while OITC evaluates an expanded sound-frequency range more representative of conditions to which the building envelope is subject, such as road, rail, and airplane traffic noise. OITC is generally the preferred evaluation method for exterior fenestration.</w:t>
      </w:r>
    </w:p>
    <w:p>
      <w:pPr>
        <w:pStyle w:val="PR1"/>
        <w:numPr>
          <w:ilvl w:val="4"/>
          <w:numId w:val="1"/>
        </w:numPr>
        <w:ind w:hanging="0" w:left="0"/>
        <w:rPr/>
      </w:pPr>
      <w:r>
        <w:rPr/>
        <w:t>Sound Transmission Class (STC): Rated for not less than [</w:t>
      </w:r>
      <w:r>
        <w:rPr>
          <w:b/>
        </w:rPr>
        <w:t>33</w:t>
      </w:r>
      <w:r>
        <w:rPr/>
        <w:t>] &lt;</w:t>
      </w:r>
      <w:r>
        <w:rPr>
          <w:b/>
        </w:rPr>
        <w:t>Insert rating</w:t>
      </w:r>
      <w:r>
        <w:rPr/>
        <w:t>&gt; STC when tested for laboratory sound transmission loss in accordance with ASTM E90 and determined by ASTM E413.</w:t>
      </w:r>
    </w:p>
    <w:p>
      <w:pPr>
        <w:pStyle w:val="PR1"/>
        <w:numPr>
          <w:ilvl w:val="4"/>
          <w:numId w:val="1"/>
        </w:numPr>
        <w:ind w:hanging="0" w:left="0"/>
        <w:rPr/>
      </w:pPr>
      <w:r>
        <w:rPr/>
        <w:t>Outside-Inside Transmission Class (OITC): Rated for not less than [</w:t>
      </w:r>
      <w:r>
        <w:rPr>
          <w:b/>
        </w:rPr>
        <w:t>28</w:t>
      </w:r>
      <w:r>
        <w:rPr/>
        <w:t>] &lt;</w:t>
      </w:r>
      <w:r>
        <w:rPr>
          <w:b/>
        </w:rPr>
        <w:t>Insert rating</w:t>
      </w:r>
      <w:r>
        <w:rPr/>
        <w:t>&gt; OITC when tested for laboratory sound transmission loss in accordance with ASTM E90 and determined by ASTM E1332.</w:t>
      </w:r>
    </w:p>
    <w:p>
      <w:pPr>
        <w:pStyle w:val="CMT"/>
        <w:rPr/>
      </w:pPr>
      <w:r>
        <w:rPr/>
        <w:t>Retain "Windborne-Debris Impact Resistance" Paragraph below to suit Project. The IBC and the IRC establish criteria for buildings in hurricane-prone locations. In paragraph, "enhanced" option applies to essential facilities and has additional requirements. Verify requirements of authorities having jurisdiction. Verify which manufacturers have tested products and can demonstrate compliance.</w:t>
      </w:r>
    </w:p>
    <w:p>
      <w:pPr>
        <w:pStyle w:val="PR1"/>
        <w:numPr>
          <w:ilvl w:val="4"/>
          <w:numId w:val="1"/>
        </w:numPr>
        <w:ind w:hanging="0" w:left="0"/>
        <w:rPr/>
      </w:pPr>
      <w:r>
        <w:rPr/>
        <w:t>Windborne-Debris Impact Resistance: Passes ASTM E1886 missile-impact and cyclic-pressure tests in accordance with ASTM E1996 for Wind Zone [</w:t>
      </w:r>
      <w:r>
        <w:rPr>
          <w:b/>
        </w:rPr>
        <w:t>1</w:t>
      </w:r>
      <w:r>
        <w:rPr/>
        <w:t>] [</w:t>
      </w:r>
      <w:r>
        <w:rPr>
          <w:b/>
        </w:rPr>
        <w:t>2</w:t>
      </w:r>
      <w:r>
        <w:rPr/>
        <w:t>] [</w:t>
      </w:r>
      <w:r>
        <w:rPr>
          <w:b/>
        </w:rPr>
        <w:t>3</w:t>
      </w:r>
      <w:r>
        <w:rPr/>
        <w:t>] [</w:t>
      </w:r>
      <w:r>
        <w:rPr>
          <w:b/>
        </w:rPr>
        <w:t>4</w:t>
      </w:r>
      <w:r>
        <w:rPr/>
        <w:t>] for [</w:t>
      </w:r>
      <w:r>
        <w:rPr>
          <w:b/>
        </w:rPr>
        <w:t>basic</w:t>
      </w:r>
      <w:r>
        <w:rPr/>
        <w:t>] [</w:t>
      </w:r>
      <w:r>
        <w:rPr>
          <w:b/>
        </w:rPr>
        <w:t>enhanced</w:t>
      </w:r>
      <w:r>
        <w:rPr/>
        <w:t>] protection.</w:t>
      </w:r>
    </w:p>
    <w:p>
      <w:pPr>
        <w:pStyle w:val="CMT"/>
        <w:rPr/>
      </w:pPr>
      <w:r>
        <w:rPr/>
        <w:t xml:space="preserve">Insert increased heights if different from those in "Large-Missile Test" and "Small-Missile Test" subparagraphs below. </w:t>
      </w:r>
      <w:bookmarkStart w:id="16" w:name="_Hlk29721332"/>
      <w:r>
        <w:rPr/>
        <w:t>See "Windborne-Debris Impact-Resistance Testing" Article in the Evaluations for further information.</w:t>
      </w:r>
      <w:bookmarkEnd w:id="16"/>
    </w:p>
    <w:p>
      <w:pPr>
        <w:pStyle w:val="PR2"/>
        <w:numPr>
          <w:ilvl w:val="5"/>
          <w:numId w:val="1"/>
        </w:numPr>
        <w:ind w:hanging="0" w:left="0"/>
        <w:rPr/>
      </w:pPr>
      <w:r>
        <w:rPr/>
        <w:t>Large-Missile Test: For glazing located within [</w:t>
      </w:r>
      <w:r>
        <w:rPr>
          <w:rStyle w:val="IP"/>
          <w:b/>
        </w:rPr>
        <w:t>30 feet</w:t>
      </w:r>
      <w:r>
        <w:rPr>
          <w:rStyle w:val="SI"/>
          <w:b/>
        </w:rPr>
        <w:t xml:space="preserve"> (9.1 m)</w:t>
      </w:r>
      <w:r>
        <w:rPr/>
        <w:t>] &lt;</w:t>
      </w:r>
      <w:r>
        <w:rPr>
          <w:b/>
        </w:rPr>
        <w:t>Insert dimension</w:t>
      </w:r>
      <w:r>
        <w:rPr/>
        <w:t>&gt; of grade.</w:t>
      </w:r>
    </w:p>
    <w:p>
      <w:pPr>
        <w:pStyle w:val="PR2"/>
        <w:numPr>
          <w:ilvl w:val="5"/>
          <w:numId w:val="1"/>
        </w:numPr>
        <w:ind w:hanging="0" w:left="0"/>
        <w:rPr/>
      </w:pPr>
      <w:r>
        <w:rPr/>
        <w:t xml:space="preserve">Small-Missile Test: For glazing located between </w:t>
      </w:r>
      <w:r>
        <w:rPr>
          <w:rStyle w:val="IP"/>
        </w:rPr>
        <w:t>30 feet</w:t>
      </w:r>
      <w:r>
        <w:rPr>
          <w:rStyle w:val="SI"/>
        </w:rPr>
        <w:t xml:space="preserve"> (9.1 m)</w:t>
      </w:r>
      <w:r>
        <w:rPr/>
        <w:t xml:space="preserve"> and [</w:t>
      </w:r>
      <w:r>
        <w:rPr>
          <w:rStyle w:val="IP"/>
          <w:b/>
        </w:rPr>
        <w:t>60 feet</w:t>
      </w:r>
      <w:r>
        <w:rPr>
          <w:rStyle w:val="SI"/>
          <w:b/>
        </w:rPr>
        <w:t xml:space="preserve"> (18.3 m)</w:t>
      </w:r>
      <w:r>
        <w:rPr/>
        <w:t>] &lt;</w:t>
      </w:r>
      <w:r>
        <w:rPr>
          <w:b/>
        </w:rPr>
        <w:t>Insert dimension</w:t>
      </w:r>
      <w:r>
        <w:rPr/>
        <w:t>&gt; above grade.</w:t>
      </w:r>
    </w:p>
    <w:p>
      <w:pPr>
        <w:pStyle w:val="PR1"/>
        <w:numPr>
          <w:ilvl w:val="4"/>
          <w:numId w:val="1"/>
        </w:numPr>
        <w:ind w:hanging="0" w:left="0"/>
        <w:rPr/>
      </w:pPr>
      <w:hyperlink r:id="rId9">
        <w:r>
          <w:rPr>
            <w:rStyle w:val="Hyperlink"/>
          </w:rPr>
          <w:t>&lt;Double click to insert sustainable design text for certified wood.&gt;</w:t>
        </w:r>
      </w:hyperlink>
    </w:p>
    <w:p>
      <w:pPr>
        <w:pStyle w:val="CMT"/>
        <w:rPr/>
      </w:pPr>
      <w:bookmarkStart w:id="17" w:name="_Hlk26128454"/>
      <w:bookmarkEnd w:id="17"/>
      <w:r>
        <w:rPr/>
        <w:t>Retain "Exterior Fire-Test Exposure" Paragraph below for roof windows installed in Class B roof assemblies. Verify requirements of authorities having jurisdiction.</w:t>
      </w:r>
    </w:p>
    <w:p>
      <w:pPr>
        <w:pStyle w:val="PR1"/>
        <w:numPr>
          <w:ilvl w:val="4"/>
          <w:numId w:val="1"/>
        </w:numPr>
        <w:ind w:hanging="0" w:left="0"/>
        <w:rPr/>
      </w:pPr>
      <w:r>
        <w:rPr/>
        <w:t>Exterior Fire-Test Exposure: Provide roof windows identical to those of assemblies tested for Class B fire resistance in accordance with ASTM E108 or UL 790 by Underwriters Laboratories or another testing and inspecting agency acceptable to authorities having jurisdiction.</w:t>
      </w:r>
    </w:p>
    <w:p>
      <w:pPr>
        <w:pStyle w:val="CMT"/>
        <w:rPr/>
      </w:pPr>
      <w:bookmarkStart w:id="18" w:name="_Hlk26128454"/>
      <w:bookmarkEnd w:id="18"/>
      <w:r>
        <w:rPr/>
        <w:t>Retain "Electrical Components, Devices, and Accessories" Paragraph below for products with electronic components.</w:t>
      </w:r>
    </w:p>
    <w:p>
      <w:pPr>
        <w:pStyle w:val="PR1"/>
        <w:numPr>
          <w:ilvl w:val="4"/>
          <w:numId w:val="1"/>
        </w:numPr>
        <w:ind w:hanging="0" w:left="0"/>
        <w:rPr/>
      </w:pPr>
      <w:r>
        <w:rPr/>
        <w:t>Electrical Components, Devices, and Accessories: Listed and labeled as defined in NFPA 70, by a qualified testing agency, and marked for intended location and application.</w:t>
      </w:r>
    </w:p>
    <w:p>
      <w:pPr>
        <w:pStyle w:val="ART"/>
        <w:numPr>
          <w:ilvl w:val="3"/>
          <w:numId w:val="1"/>
        </w:numPr>
        <w:ind w:hanging="0" w:left="0"/>
        <w:rPr/>
      </w:pPr>
      <w:r>
        <w:rPr/>
        <w:t>ROOF WINDOWS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ind w:hanging="0" w:left="0"/>
        <w:rPr/>
      </w:pPr>
      <w:hyperlink r:id="rId10">
        <w:r>
          <w:rPr>
            <w:rStyle w:val="Hyperlink"/>
          </w:rPr>
          <w:t>&lt;Double click here to find, evaluate, and insert list of manufacturers and products.&gt;</w:t>
        </w:r>
      </w:hyperlink>
    </w:p>
    <w:p>
      <w:pPr>
        <w:pStyle w:val="PR1"/>
        <w:numPr>
          <w:ilvl w:val="4"/>
          <w:numId w:val="1"/>
        </w:numPr>
        <w:ind w:hanging="0" w:left="0"/>
        <w:rPr/>
      </w:pPr>
      <w:r>
        <w:rPr/>
        <w:t>Curb/Frame: [</w:t>
      </w:r>
      <w:r>
        <w:rPr>
          <w:b/>
        </w:rPr>
        <w:t>Manufacturer's standard</w:t>
      </w:r>
      <w:r>
        <w:rPr/>
        <w:t>] [</w:t>
      </w:r>
      <w:r>
        <w:rPr>
          <w:b/>
        </w:rPr>
        <w:t>Wood</w:t>
      </w:r>
      <w:r>
        <w:rPr/>
        <w:t>] [</w:t>
      </w:r>
      <w:r>
        <w:rPr>
          <w:b/>
        </w:rPr>
        <w:t>Aluminum</w:t>
      </w:r>
      <w:r>
        <w:rPr/>
        <w:t>] [</w:t>
      </w:r>
      <w:r>
        <w:rPr>
          <w:b/>
        </w:rPr>
        <w:t>Thermally broken aluminum</w:t>
      </w:r>
      <w:r>
        <w:rPr/>
        <w:t>] [</w:t>
      </w:r>
      <w:r>
        <w:rPr>
          <w:b/>
        </w:rPr>
        <w:t>Aluminum-clad wood</w:t>
      </w:r>
      <w:r>
        <w:rPr/>
        <w:t>] [</w:t>
      </w:r>
      <w:r>
        <w:rPr>
          <w:b/>
        </w:rPr>
        <w:t>Copper-clad wood</w:t>
      </w:r>
      <w:r>
        <w:rPr/>
        <w:t>] [</w:t>
      </w:r>
      <w:r>
        <w:rPr>
          <w:b/>
        </w:rPr>
        <w:t>Vinyl</w:t>
      </w:r>
      <w:r>
        <w:rPr/>
        <w:t>] [</w:t>
      </w:r>
      <w:r>
        <w:rPr>
          <w:b/>
        </w:rPr>
        <w:t>Molded polyurethane over wood</w:t>
      </w:r>
      <w:r>
        <w:rPr/>
        <w:t>] &lt;</w:t>
      </w:r>
      <w:r>
        <w:rPr>
          <w:b/>
        </w:rPr>
        <w:t>Insert requirements</w:t>
      </w:r>
      <w:r>
        <w:rPr/>
        <w:t>&gt;.</w:t>
      </w:r>
    </w:p>
    <w:p>
      <w:pPr>
        <w:pStyle w:val="PR2"/>
        <w:numPr>
          <w:ilvl w:val="5"/>
          <w:numId w:val="1"/>
        </w:numPr>
        <w:spacing w:before="240" w:after="0"/>
        <w:ind w:hanging="0" w:left="0"/>
        <w:rPr/>
      </w:pPr>
      <w:r>
        <w:rPr/>
        <w:t>Flashing: [</w:t>
      </w:r>
      <w:r>
        <w:rPr>
          <w:b/>
        </w:rPr>
        <w:t>Self-flashing frame</w:t>
      </w:r>
      <w:r>
        <w:rPr/>
        <w:t>] [</w:t>
      </w:r>
      <w:r>
        <w:rPr>
          <w:b/>
        </w:rPr>
        <w:t>Manufacturer's standard aluminum</w:t>
      </w:r>
      <w:r>
        <w:rPr/>
        <w:t>] [</w:t>
      </w:r>
      <w:r>
        <w:rPr>
          <w:b/>
        </w:rPr>
        <w:t>Manufacturer's standard copper</w:t>
      </w:r>
      <w:r>
        <w:rPr/>
        <w:t>] &lt;</w:t>
      </w:r>
      <w:r>
        <w:rPr>
          <w:b/>
        </w:rPr>
        <w:t>Insert requirements</w:t>
      </w:r>
      <w:r>
        <w:rPr/>
        <w:t>&gt;.</w:t>
      </w:r>
    </w:p>
    <w:p>
      <w:pPr>
        <w:pStyle w:val="PR1"/>
        <w:numPr>
          <w:ilvl w:val="4"/>
          <w:numId w:val="1"/>
        </w:numPr>
        <w:ind w:hanging="0" w:left="0"/>
        <w:rPr/>
      </w:pPr>
      <w:r>
        <w:rPr/>
        <w:t>Sash: [</w:t>
      </w:r>
      <w:r>
        <w:rPr>
          <w:b/>
          <w:bCs/>
        </w:rPr>
        <w:t>Fixed (nonoperable)</w:t>
      </w:r>
      <w:r>
        <w:rPr/>
        <w:t>] [</w:t>
      </w:r>
      <w:r>
        <w:rPr>
          <w:b/>
          <w:bCs/>
        </w:rPr>
        <w:t>venting (operable)</w:t>
      </w:r>
      <w:r>
        <w:rPr/>
        <w:t>].</w:t>
      </w:r>
    </w:p>
    <w:p>
      <w:pPr>
        <w:pStyle w:val="PR2"/>
        <w:numPr>
          <w:ilvl w:val="5"/>
          <w:numId w:val="1"/>
        </w:numPr>
        <w:spacing w:before="240" w:after="0"/>
        <w:ind w:hanging="0" w:left="0"/>
        <w:rPr/>
      </w:pPr>
      <w:r>
        <w:rPr/>
        <w:t>Material: [</w:t>
      </w:r>
      <w:r>
        <w:rPr>
          <w:b/>
          <w:bCs/>
        </w:rPr>
        <w:t>Manufacturer's standard</w:t>
      </w:r>
      <w:r>
        <w:rPr/>
        <w:t>] [</w:t>
      </w:r>
      <w:r>
        <w:rPr>
          <w:b/>
          <w:bCs/>
        </w:rPr>
        <w:t>Wood</w:t>
      </w:r>
      <w:r>
        <w:rPr/>
        <w:t>] [</w:t>
      </w:r>
      <w:r>
        <w:rPr>
          <w:b/>
          <w:bCs/>
        </w:rPr>
        <w:t>Aluminum</w:t>
      </w:r>
      <w:r>
        <w:rPr/>
        <w:t>] [</w:t>
      </w:r>
      <w:r>
        <w:rPr>
          <w:b/>
          <w:bCs/>
        </w:rPr>
        <w:t>Aluminum and wood</w:t>
      </w:r>
      <w:r>
        <w:rPr/>
        <w:t>] [</w:t>
      </w:r>
      <w:r>
        <w:rPr>
          <w:b/>
          <w:bCs/>
        </w:rPr>
        <w:t>Copper and wood</w:t>
      </w:r>
      <w:r>
        <w:rPr/>
        <w:t>] [</w:t>
      </w:r>
      <w:r>
        <w:rPr>
          <w:b/>
          <w:bCs/>
        </w:rPr>
        <w:t>Aluminum and vinyl</w:t>
      </w:r>
      <w:r>
        <w:rPr/>
        <w:t>] [</w:t>
      </w:r>
      <w:r>
        <w:rPr>
          <w:b/>
          <w:bCs/>
        </w:rPr>
        <w:t>Vinyl</w:t>
      </w:r>
      <w:r>
        <w:rPr/>
        <w:t>] [</w:t>
      </w:r>
      <w:r>
        <w:rPr>
          <w:b/>
        </w:rPr>
        <w:t>Molded polyurethane over wood</w:t>
      </w:r>
      <w:r>
        <w:rPr/>
        <w:t>] &lt;</w:t>
      </w:r>
      <w:r>
        <w:rPr>
          <w:b/>
          <w:bCs/>
        </w:rPr>
        <w:t>Insert requirements</w:t>
      </w:r>
      <w:r>
        <w:rPr/>
        <w:t>&gt;.</w:t>
      </w:r>
    </w:p>
    <w:p>
      <w:pPr>
        <w:pStyle w:val="PR1"/>
        <w:numPr>
          <w:ilvl w:val="4"/>
          <w:numId w:val="1"/>
        </w:numPr>
        <w:ind w:hanging="0" w:left="0"/>
        <w:rPr/>
      </w:pPr>
      <w:r>
        <w:rPr/>
        <w:t>Insulating-Glass Units: ASTM E2190, manufacturer's standard.</w:t>
      </w:r>
    </w:p>
    <w:p>
      <w:pPr>
        <w:pStyle w:val="PR2"/>
        <w:numPr>
          <w:ilvl w:val="5"/>
          <w:numId w:val="1"/>
        </w:numPr>
        <w:spacing w:before="240" w:after="0"/>
        <w:ind w:hanging="0" w:left="0"/>
        <w:rPr/>
      </w:pPr>
      <w:r>
        <w:rPr/>
        <w:t>Exterior Lite: [</w:t>
      </w:r>
      <w:r>
        <w:rPr>
          <w:b/>
        </w:rPr>
        <w:t>Fully tempered glass with Low-E coating</w:t>
      </w:r>
      <w:r>
        <w:rPr/>
        <w:t>] &lt;</w:t>
      </w:r>
      <w:r>
        <w:rPr>
          <w:b/>
        </w:rPr>
        <w:t>Insert requirements</w:t>
      </w:r>
      <w:r>
        <w:rPr/>
        <w:t>&gt;.</w:t>
      </w:r>
    </w:p>
    <w:p>
      <w:pPr>
        <w:pStyle w:val="PR2"/>
        <w:numPr>
          <w:ilvl w:val="5"/>
          <w:numId w:val="1"/>
        </w:numPr>
        <w:ind w:hanging="0" w:left="0"/>
        <w:rPr/>
      </w:pPr>
      <w:r>
        <w:rPr/>
        <w:t>Interior Lite: [</w:t>
      </w:r>
      <w:r>
        <w:rPr>
          <w:b/>
        </w:rPr>
        <w:t xml:space="preserve">Laminated glass; heat-strengthened glass and </w:t>
      </w:r>
      <w:r>
        <w:rPr>
          <w:rStyle w:val="IP"/>
          <w:b/>
        </w:rPr>
        <w:t>0.03-inch-</w:t>
      </w:r>
      <w:r>
        <w:rPr>
          <w:rStyle w:val="SI"/>
          <w:b/>
        </w:rPr>
        <w:t xml:space="preserve"> (0.76-mm-)</w:t>
      </w:r>
      <w:r>
        <w:rPr>
          <w:b/>
        </w:rPr>
        <w:t xml:space="preserve"> thick polyvinyl butyral interlayer</w:t>
      </w:r>
      <w:r>
        <w:rPr/>
        <w:t>] [</w:t>
      </w:r>
      <w:r>
        <w:rPr>
          <w:b/>
        </w:rPr>
        <w:t>Fully tempered glass</w:t>
      </w:r>
      <w:r>
        <w:rPr/>
        <w:t>] [</w:t>
      </w:r>
      <w:r>
        <w:rPr>
          <w:b/>
        </w:rPr>
        <w:t xml:space="preserve">Laminated glass; heat-strengthened glass with </w:t>
      </w:r>
      <w:r>
        <w:rPr>
          <w:rStyle w:val="IP"/>
          <w:b/>
        </w:rPr>
        <w:t>0.090-inch</w:t>
      </w:r>
      <w:r>
        <w:rPr>
          <w:rStyle w:val="SI"/>
          <w:b/>
        </w:rPr>
        <w:t xml:space="preserve"> (2.29-mm)</w:t>
      </w:r>
      <w:r>
        <w:rPr>
          <w:b/>
        </w:rPr>
        <w:t xml:space="preserve"> polyvinyl butyral interlayer</w:t>
      </w:r>
      <w:r>
        <w:rPr/>
        <w:t>] [</w:t>
      </w:r>
      <w:r>
        <w:rPr>
          <w:b/>
        </w:rPr>
        <w:t xml:space="preserve">Laminated glass; fully tempered glass with </w:t>
      </w:r>
      <w:r>
        <w:rPr>
          <w:rStyle w:val="IP"/>
          <w:b/>
        </w:rPr>
        <w:t>0.03-inch-</w:t>
      </w:r>
      <w:r>
        <w:rPr>
          <w:rStyle w:val="SI"/>
          <w:b/>
        </w:rPr>
        <w:t xml:space="preserve"> (0.76-mm-)</w:t>
      </w:r>
      <w:r>
        <w:rPr>
          <w:b/>
        </w:rPr>
        <w:t xml:space="preserve"> thick polyvinyl butyral interlayer</w:t>
      </w:r>
      <w:r>
        <w:rPr/>
        <w:t>] &lt;</w:t>
      </w:r>
      <w:r>
        <w:rPr>
          <w:b/>
        </w:rPr>
        <w:t>Insert requirements</w:t>
      </w:r>
      <w:r>
        <w:rPr/>
        <w:t>&gt;.</w:t>
      </w:r>
    </w:p>
    <w:p>
      <w:pPr>
        <w:pStyle w:val="PR2"/>
        <w:numPr>
          <w:ilvl w:val="5"/>
          <w:numId w:val="1"/>
        </w:numPr>
        <w:ind w:hanging="0" w:left="0"/>
        <w:rPr/>
      </w:pPr>
      <w:r>
        <w:rPr/>
        <w:t>Interspace Content: [</w:t>
      </w:r>
      <w:r>
        <w:rPr>
          <w:b/>
        </w:rPr>
        <w:t>Air</w:t>
      </w:r>
      <w:r>
        <w:rPr/>
        <w:t>] [</w:t>
      </w:r>
      <w:r>
        <w:rPr>
          <w:b/>
        </w:rPr>
        <w:t>Argon</w:t>
      </w:r>
      <w:r>
        <w:rPr/>
        <w:t>].</w:t>
      </w:r>
    </w:p>
    <w:p>
      <w:pPr>
        <w:pStyle w:val="PR1"/>
        <w:numPr>
          <w:ilvl w:val="4"/>
          <w:numId w:val="1"/>
        </w:numPr>
        <w:ind w:hanging="0" w:left="0"/>
        <w:rPr/>
      </w:pPr>
      <w:r>
        <w:rPr/>
        <w:t>Glazing System: [</w:t>
      </w:r>
      <w:r>
        <w:rPr>
          <w:b/>
        </w:rPr>
        <w:t>Manufacturer's standard factory-glazing system that produces weathertight seal</w:t>
      </w:r>
      <w:r>
        <w:rPr/>
        <w:t>] &lt;</w:t>
      </w:r>
      <w:r>
        <w:rPr>
          <w:b/>
        </w:rPr>
        <w:t>Insert glazing requirements</w:t>
      </w:r>
      <w:r>
        <w:rPr/>
        <w:t>&gt;.</w:t>
      </w:r>
    </w:p>
    <w:p>
      <w:pPr>
        <w:pStyle w:val="CMT"/>
        <w:rPr/>
      </w:pPr>
      <w:r>
        <w:rPr/>
        <w:t>Retain "Operating Hardware" Paragraph below for operable units.</w:t>
      </w:r>
    </w:p>
    <w:p>
      <w:pPr>
        <w:pStyle w:val="PR1"/>
        <w:numPr>
          <w:ilvl w:val="4"/>
          <w:numId w:val="1"/>
        </w:numPr>
        <w:ind w:hanging="0" w:left="0"/>
        <w:rPr/>
      </w:pPr>
      <w:r>
        <w:rPr/>
        <w:t>Operating Hardware:</w:t>
      </w:r>
    </w:p>
    <w:p>
      <w:pPr>
        <w:pStyle w:val="PR2"/>
        <w:numPr>
          <w:ilvl w:val="5"/>
          <w:numId w:val="1"/>
        </w:numPr>
        <w:spacing w:before="240" w:after="0"/>
        <w:ind w:hanging="0" w:left="0"/>
        <w:rPr/>
      </w:pPr>
      <w:r>
        <w:rPr/>
        <w:t>Hardware Finish: [</w:t>
      </w:r>
      <w:r>
        <w:rPr>
          <w:b/>
        </w:rPr>
        <w:t>Manufacturer's standard</w:t>
      </w:r>
      <w:r>
        <w:rPr/>
        <w:t>] [</w:t>
      </w:r>
      <w:r>
        <w:rPr>
          <w:b/>
        </w:rPr>
        <w:t>Match cladding appearance</w:t>
      </w:r>
      <w:r>
        <w:rPr/>
        <w:t>] &lt;</w:t>
      </w:r>
      <w:r>
        <w:rPr>
          <w:b/>
        </w:rPr>
        <w:t>Insert finish</w:t>
      </w:r>
      <w:r>
        <w:rPr/>
        <w:t>&gt;.</w:t>
      </w:r>
    </w:p>
    <w:p>
      <w:pPr>
        <w:pStyle w:val="PR2"/>
        <w:numPr>
          <w:ilvl w:val="5"/>
          <w:numId w:val="1"/>
        </w:numPr>
        <w:ind w:hanging="0" w:left="0"/>
        <w:rPr/>
      </w:pPr>
      <w:r>
        <w:rPr/>
        <w:t>Operators and Controls: Gear-type rotary operator with [</w:t>
      </w:r>
      <w:r>
        <w:rPr>
          <w:b/>
        </w:rPr>
        <w:t>manufacturer's standard</w:t>
      </w:r>
      <w:r>
        <w:rPr/>
        <w:t>] [</w:t>
      </w:r>
      <w:r>
        <w:rPr>
          <w:b/>
        </w:rPr>
        <w:t>cable</w:t>
      </w:r>
      <w:r>
        <w:rPr/>
        <w:t>] [</w:t>
      </w:r>
      <w:r>
        <w:rPr>
          <w:b/>
        </w:rPr>
        <w:t>arm</w:t>
      </w:r>
      <w:r>
        <w:rPr/>
        <w:t>] control device with latching/locking mechanism.</w:t>
      </w:r>
    </w:p>
    <w:p>
      <w:pPr>
        <w:pStyle w:val="PR3"/>
        <w:numPr>
          <w:ilvl w:val="6"/>
          <w:numId w:val="1"/>
        </w:numPr>
        <w:spacing w:before="240" w:after="0"/>
        <w:rPr/>
      </w:pPr>
      <w:r>
        <w:rPr/>
        <w:t xml:space="preserve">Crank-Handle Operator: Manufacturer's standard for manually operating venting units that are less than </w:t>
      </w:r>
      <w:r>
        <w:rPr>
          <w:rStyle w:val="IP"/>
        </w:rPr>
        <w:t>72 inches</w:t>
      </w:r>
      <w:r>
        <w:rPr>
          <w:rStyle w:val="SI"/>
        </w:rPr>
        <w:t xml:space="preserve"> (1829 mm)</w:t>
      </w:r>
      <w:r>
        <w:rPr/>
        <w:t xml:space="preserve"> above floor.</w:t>
      </w:r>
    </w:p>
    <w:p>
      <w:pPr>
        <w:pStyle w:val="PR3"/>
        <w:numPr>
          <w:ilvl w:val="6"/>
          <w:numId w:val="1"/>
        </w:numPr>
        <w:rPr/>
      </w:pPr>
      <w:r>
        <w:rPr/>
        <w:t>Pole Operator: Manufacturer's standard [</w:t>
      </w:r>
      <w:r>
        <w:rPr>
          <w:b/>
        </w:rPr>
        <w:t>manual</w:t>
      </w:r>
      <w:r>
        <w:rPr/>
        <w:t>] [</w:t>
      </w:r>
      <w:r>
        <w:rPr>
          <w:b/>
        </w:rPr>
        <w:t>motorized</w:t>
      </w:r>
      <w:r>
        <w:rPr/>
        <w:t xml:space="preserve">] pole for operating venting units that are more than </w:t>
      </w:r>
      <w:r>
        <w:rPr>
          <w:rStyle w:val="IP"/>
        </w:rPr>
        <w:t>72 inches</w:t>
      </w:r>
      <w:r>
        <w:rPr>
          <w:rStyle w:val="SI"/>
        </w:rPr>
        <w:t xml:space="preserve"> (1829 mm)</w:t>
      </w:r>
      <w:r>
        <w:rPr/>
        <w:t xml:space="preserve"> above floor.</w:t>
      </w:r>
    </w:p>
    <w:p>
      <w:pPr>
        <w:pStyle w:val="PR3"/>
        <w:numPr>
          <w:ilvl w:val="6"/>
          <w:numId w:val="1"/>
        </w:numPr>
        <w:rPr/>
      </w:pPr>
      <w:r>
        <w:rPr/>
        <w:t xml:space="preserve">Remote-Control Motor Operator: Manufacturer's standard for operating venting units that are more than </w:t>
      </w:r>
      <w:r>
        <w:rPr>
          <w:rStyle w:val="IP"/>
        </w:rPr>
        <w:t>72 inches</w:t>
      </w:r>
      <w:r>
        <w:rPr>
          <w:rStyle w:val="SI"/>
        </w:rPr>
        <w:t xml:space="preserve"> (1829 mm)</w:t>
      </w:r>
      <w:r>
        <w:rPr/>
        <w:t xml:space="preserve"> above floor.</w:t>
      </w:r>
    </w:p>
    <w:p>
      <w:pPr>
        <w:pStyle w:val="PR4"/>
        <w:numPr>
          <w:ilvl w:val="7"/>
          <w:numId w:val="1"/>
        </w:numPr>
        <w:spacing w:before="240" w:after="0"/>
        <w:rPr/>
      </w:pPr>
      <w:r>
        <w:rPr/>
        <w:t>[</w:t>
      </w:r>
      <w:r>
        <w:rPr>
          <w:b/>
        </w:rPr>
        <w:t>Electric</w:t>
      </w:r>
      <w:r>
        <w:rPr/>
        <w:t>] [</w:t>
      </w:r>
      <w:r>
        <w:rPr>
          <w:b/>
        </w:rPr>
        <w:t>Solar-powered battery</w:t>
      </w:r>
      <w:r>
        <w:rPr/>
        <w:t>] motor.</w:t>
      </w:r>
    </w:p>
    <w:p>
      <w:pPr>
        <w:pStyle w:val="PR4"/>
        <w:numPr>
          <w:ilvl w:val="7"/>
          <w:numId w:val="1"/>
        </w:numPr>
        <w:rPr/>
      </w:pPr>
      <w:r>
        <w:rPr/>
        <w:t>[</w:t>
      </w:r>
      <w:r>
        <w:rPr>
          <w:b/>
        </w:rPr>
        <w:t>Wireless remote</w:t>
      </w:r>
      <w:r>
        <w:rPr/>
        <w:t>] [</w:t>
      </w:r>
      <w:r>
        <w:rPr>
          <w:b/>
        </w:rPr>
        <w:t>Keypad</w:t>
      </w:r>
      <w:r>
        <w:rPr/>
        <w:t>] [</w:t>
      </w:r>
      <w:r>
        <w:rPr>
          <w:b/>
          <w:bCs/>
        </w:rPr>
        <w:t>Building automation system</w:t>
      </w:r>
      <w:r>
        <w:rPr/>
        <w:t>] &lt;</w:t>
      </w:r>
      <w:r>
        <w:rPr>
          <w:b/>
          <w:bCs/>
        </w:rPr>
        <w:t>Insert requirements</w:t>
      </w:r>
      <w:r>
        <w:rPr/>
        <w:t>&gt; control.</w:t>
      </w:r>
    </w:p>
    <w:p>
      <w:pPr>
        <w:pStyle w:val="PR4"/>
        <w:numPr>
          <w:ilvl w:val="7"/>
          <w:numId w:val="1"/>
        </w:numPr>
        <w:rPr/>
      </w:pPr>
      <w:r>
        <w:rPr/>
        <w:t>Provide rain sensor that automatically closes venting unit when water is detected.</w:t>
      </w:r>
    </w:p>
    <w:p>
      <w:pPr>
        <w:pStyle w:val="PR2"/>
        <w:numPr>
          <w:ilvl w:val="5"/>
          <w:numId w:val="1"/>
        </w:numPr>
        <w:spacing w:before="240" w:after="0"/>
        <w:ind w:hanging="0" w:left="0"/>
        <w:rPr/>
      </w:pPr>
      <w:r>
        <w:rPr/>
        <w:t>Hinges: [</w:t>
      </w:r>
      <w:r>
        <w:rPr>
          <w:b/>
        </w:rPr>
        <w:t>Continuous</w:t>
      </w:r>
      <w:r>
        <w:rPr/>
        <w:t>] [</w:t>
      </w:r>
      <w:r>
        <w:rPr>
          <w:b/>
        </w:rPr>
        <w:t>Pivots, two per sash</w:t>
      </w:r>
      <w:r>
        <w:rPr/>
        <w:t>] [</w:t>
      </w:r>
      <w:r>
        <w:rPr>
          <w:b/>
        </w:rPr>
        <w:t>Manufacturer's standard</w:t>
      </w:r>
      <w:r>
        <w:rPr/>
        <w:t>] &lt;</w:t>
      </w:r>
      <w:r>
        <w:rPr>
          <w:b/>
        </w:rPr>
        <w:t>Insert requirements</w:t>
      </w:r>
      <w:r>
        <w:rPr/>
        <w:t>&gt;.</w:t>
      </w:r>
    </w:p>
    <w:p>
      <w:pPr>
        <w:pStyle w:val="PR1"/>
        <w:numPr>
          <w:ilvl w:val="4"/>
          <w:numId w:val="1"/>
        </w:numPr>
        <w:ind w:hanging="0" w:left="0"/>
        <w:rPr/>
      </w:pPr>
      <w:r>
        <w:rPr/>
        <w:t>Exposed Finishes:</w:t>
      </w:r>
    </w:p>
    <w:p>
      <w:pPr>
        <w:pStyle w:val="PR2"/>
        <w:numPr>
          <w:ilvl w:val="5"/>
          <w:numId w:val="1"/>
        </w:numPr>
        <w:spacing w:before="240" w:after="0"/>
        <w:ind w:hanging="0" w:left="0"/>
        <w:rPr/>
      </w:pPr>
      <w:r>
        <w:rPr/>
        <w:t>Exposed Wood: [</w:t>
      </w:r>
      <w:r>
        <w:rPr>
          <w:b/>
        </w:rPr>
        <w:t>Unfinished</w:t>
      </w:r>
      <w:r>
        <w:rPr/>
        <w:t>] [</w:t>
      </w:r>
      <w:r>
        <w:rPr>
          <w:b/>
        </w:rPr>
        <w:t>Manufacturer's standard transparent finish in color selected by Architect from manufacturer's full range</w:t>
      </w:r>
      <w:r>
        <w:rPr/>
        <w:t>] [</w:t>
      </w:r>
      <w:r>
        <w:rPr>
          <w:b/>
        </w:rPr>
        <w:t>Manufacturer's standard prime-painted finish</w:t>
      </w:r>
      <w:r>
        <w:rPr/>
        <w:t>] [</w:t>
      </w:r>
      <w:r>
        <w:rPr>
          <w:b/>
        </w:rPr>
        <w:t>Manufacturer's standard opaque finish in color selected by Architect from manufacturer's full range</w:t>
      </w:r>
      <w:r>
        <w:rPr/>
        <w:t>] &lt;</w:t>
      </w:r>
      <w:r>
        <w:rPr>
          <w:b/>
        </w:rPr>
        <w:t>Insert requirements</w:t>
      </w:r>
      <w:r>
        <w:rPr/>
        <w:t>&gt;.</w:t>
      </w:r>
    </w:p>
    <w:p>
      <w:pPr>
        <w:pStyle w:val="PR2"/>
        <w:numPr>
          <w:ilvl w:val="5"/>
          <w:numId w:val="1"/>
        </w:numPr>
        <w:ind w:hanging="0" w:left="0"/>
        <w:rPr/>
      </w:pPr>
      <w:r>
        <w:rPr/>
        <w:t>Aluminum: [</w:t>
      </w:r>
      <w:r>
        <w:rPr>
          <w:b/>
        </w:rPr>
        <w:t>Manufacturer's standard</w:t>
      </w:r>
      <w:r>
        <w:rPr/>
        <w:t>] [</w:t>
      </w:r>
      <w:r>
        <w:rPr>
          <w:b/>
        </w:rPr>
        <w:t>Match Architect's sample</w:t>
      </w:r>
      <w:r>
        <w:rPr/>
        <w:t>] [</w:t>
      </w:r>
      <w:r>
        <w:rPr>
          <w:b/>
        </w:rPr>
        <w:t>As selected by Architect from manufacturer's full range</w:t>
      </w:r>
      <w:r>
        <w:rPr/>
        <w:t>] &lt;</w:t>
      </w:r>
      <w:r>
        <w:rPr>
          <w:b/>
        </w:rPr>
        <w:t>Insert requirements</w:t>
      </w:r>
      <w:r>
        <w:rPr/>
        <w:t>&gt;.</w:t>
      </w:r>
    </w:p>
    <w:p>
      <w:pPr>
        <w:pStyle w:val="PR2"/>
        <w:numPr>
          <w:ilvl w:val="5"/>
          <w:numId w:val="1"/>
        </w:numPr>
        <w:ind w:hanging="0" w:left="0"/>
        <w:rPr/>
      </w:pPr>
      <w:r>
        <w:rPr/>
        <w:t>Copper: [</w:t>
      </w:r>
      <w:r>
        <w:rPr>
          <w:b/>
        </w:rPr>
        <w:t>Manufacturer's standard</w:t>
      </w:r>
      <w:r>
        <w:rPr/>
        <w:t>] [</w:t>
      </w:r>
      <w:r>
        <w:rPr>
          <w:b/>
        </w:rPr>
        <w:t>Match Architect's sample</w:t>
      </w:r>
      <w:r>
        <w:rPr/>
        <w:t>] [</w:t>
      </w:r>
      <w:r>
        <w:rPr>
          <w:b/>
        </w:rPr>
        <w:t>As selected by Architect from manufacturer's full range</w:t>
      </w:r>
      <w:r>
        <w:rPr/>
        <w:t>] &lt;</w:t>
      </w:r>
      <w:r>
        <w:rPr>
          <w:b/>
        </w:rPr>
        <w:t>Insert requirements</w:t>
      </w:r>
      <w:r>
        <w:rPr/>
        <w:t>&gt;.</w:t>
      </w:r>
    </w:p>
    <w:p>
      <w:pPr>
        <w:pStyle w:val="PR2"/>
        <w:numPr>
          <w:ilvl w:val="5"/>
          <w:numId w:val="1"/>
        </w:numPr>
        <w:ind w:hanging="0" w:left="0"/>
        <w:rPr/>
      </w:pPr>
      <w:r>
        <w:rPr/>
        <w:t>Vinyl: [</w:t>
      </w:r>
      <w:r>
        <w:rPr>
          <w:b/>
        </w:rPr>
        <w:t>Manufacturer's standard color</w:t>
      </w:r>
      <w:r>
        <w:rPr/>
        <w:t>] [</w:t>
      </w:r>
      <w:r>
        <w:rPr>
          <w:b/>
        </w:rPr>
        <w:t>In color selected by Architect from manufacturer's full range</w:t>
      </w:r>
      <w:r>
        <w:rPr/>
        <w:t>] &lt;</w:t>
      </w:r>
      <w:r>
        <w:rPr>
          <w:b/>
        </w:rPr>
        <w:t>Insert requirements</w:t>
      </w:r>
      <w:r>
        <w:rPr/>
        <w:t>&gt;.</w:t>
      </w:r>
    </w:p>
    <w:p>
      <w:pPr>
        <w:pStyle w:val="PR2"/>
        <w:numPr>
          <w:ilvl w:val="5"/>
          <w:numId w:val="1"/>
        </w:numPr>
        <w:ind w:hanging="0" w:left="0"/>
        <w:rPr/>
      </w:pPr>
      <w:r>
        <w:rPr/>
        <w:t>Molded Polyurethane: [</w:t>
      </w:r>
      <w:r>
        <w:rPr>
          <w:b/>
        </w:rPr>
        <w:t>Manufacturer's standard color</w:t>
      </w:r>
      <w:r>
        <w:rPr/>
        <w:t>] [</w:t>
      </w:r>
      <w:r>
        <w:rPr>
          <w:b/>
        </w:rPr>
        <w:t>In color selected by Architect from manufacturer's full range</w:t>
      </w:r>
      <w:r>
        <w:rPr/>
        <w:t>] &lt;</w:t>
      </w:r>
      <w:r>
        <w:rPr>
          <w:b/>
        </w:rPr>
        <w:t>Insert requirements</w:t>
      </w:r>
      <w:r>
        <w:rPr/>
        <w:t>&gt;.</w:t>
      </w:r>
    </w:p>
    <w:p>
      <w:pPr>
        <w:pStyle w:val="PR1"/>
        <w:numPr>
          <w:ilvl w:val="4"/>
          <w:numId w:val="1"/>
        </w:numPr>
        <w:ind w:hanging="0" w:left="0"/>
        <w:rPr/>
      </w:pPr>
      <w:r>
        <w:rPr/>
        <w:t>Fabrication:</w:t>
      </w:r>
    </w:p>
    <w:p>
      <w:pPr>
        <w:pStyle w:val="PR2"/>
        <w:numPr>
          <w:ilvl w:val="5"/>
          <w:numId w:val="1"/>
        </w:numPr>
        <w:spacing w:before="240" w:after="0"/>
        <w:ind w:hanging="0" w:left="0"/>
        <w:rPr/>
      </w:pPr>
      <w:r>
        <w:rPr/>
        <w:t>Fabricate roof windows that are reglazable without dismantling sash framing.</w:t>
      </w:r>
    </w:p>
    <w:p>
      <w:pPr>
        <w:pStyle w:val="PR2"/>
        <w:numPr>
          <w:ilvl w:val="5"/>
          <w:numId w:val="1"/>
        </w:numPr>
        <w:ind w:hanging="0" w:left="0"/>
        <w:rPr/>
      </w:pPr>
      <w:r>
        <w:rPr/>
        <w:t>Provide full-perimeter weather stripping for each operable sash.</w:t>
      </w:r>
    </w:p>
    <w:p>
      <w:pPr>
        <w:pStyle w:val="PR2"/>
        <w:numPr>
          <w:ilvl w:val="5"/>
          <w:numId w:val="1"/>
        </w:numPr>
        <w:ind w:hanging="0" w:left="0"/>
        <w:rPr/>
      </w:pPr>
      <w:r>
        <w:rPr/>
        <w:t>Provide condensation gutter or other means to hold condensed moisture or drain it to exterior.</w:t>
      </w:r>
    </w:p>
    <w:p>
      <w:pPr>
        <w:pStyle w:val="PR2"/>
        <w:numPr>
          <w:ilvl w:val="5"/>
          <w:numId w:val="1"/>
        </w:numPr>
        <w:ind w:hanging="0" w:left="0"/>
        <w:rPr/>
      </w:pPr>
      <w:r>
        <w:rPr/>
        <w:t>Complete fabrication, assembly, finishing, hardware application, and other work in the factory to greatest extent possible. Disassemble components only as necessary for shipment and installation.</w:t>
      </w:r>
    </w:p>
    <w:p>
      <w:pPr>
        <w:pStyle w:val="ART"/>
        <w:numPr>
          <w:ilvl w:val="3"/>
          <w:numId w:val="1"/>
        </w:numPr>
        <w:ind w:hanging="0" w:left="0"/>
        <w:rPr/>
      </w:pPr>
      <w:r>
        <w:rPr/>
        <w:t>ACCESSORIES</w:t>
      </w:r>
    </w:p>
    <w:p>
      <w:pPr>
        <w:pStyle w:val="PR1"/>
        <w:numPr>
          <w:ilvl w:val="4"/>
          <w:numId w:val="1"/>
        </w:numPr>
        <w:ind w:hanging="0" w:left="0"/>
        <w:rPr/>
      </w:pPr>
      <w:r>
        <w:rPr/>
        <w:t>Insect Screens: Manufacturer's standard removable screen; aluminum or vinyl frame with mitered or coped joints and with ASTM D3656/D3656M mesh of plastic-coated glass-fiber threads. Provide frame in manufacturer's standard finish and mesh in manufacturer's standard color.</w:t>
      </w:r>
    </w:p>
    <w:p>
      <w:pPr>
        <w:pStyle w:val="PR1"/>
        <w:numPr>
          <w:ilvl w:val="4"/>
          <w:numId w:val="1"/>
        </w:numPr>
        <w:ind w:hanging="0" w:left="0"/>
        <w:rPr/>
      </w:pPr>
      <w:r>
        <w:rPr/>
        <w:t>Blinds: In color and pattern selected by Architect from manufacturer's full range.</w:t>
      </w:r>
    </w:p>
    <w:p>
      <w:pPr>
        <w:pStyle w:val="PR2"/>
        <w:numPr>
          <w:ilvl w:val="5"/>
          <w:numId w:val="1"/>
        </w:numPr>
        <w:spacing w:before="240" w:after="0"/>
        <w:ind w:hanging="0" w:left="0"/>
        <w:rPr/>
      </w:pPr>
      <w:r>
        <w:rPr/>
        <w:t>Type: [</w:t>
      </w:r>
      <w:r>
        <w:rPr>
          <w:b/>
        </w:rPr>
        <w:t>Pleated</w:t>
      </w:r>
      <w:r>
        <w:rPr/>
        <w:t>] [</w:t>
      </w:r>
      <w:r>
        <w:rPr>
          <w:b/>
        </w:rPr>
        <w:t>Roll up, light filtering</w:t>
      </w:r>
      <w:r>
        <w:rPr/>
        <w:t>] [</w:t>
      </w:r>
      <w:r>
        <w:rPr>
          <w:b/>
        </w:rPr>
        <w:t>Roll up, blackout</w:t>
      </w:r>
      <w:r>
        <w:rPr/>
        <w:t>] [</w:t>
      </w:r>
      <w:r>
        <w:rPr>
          <w:b/>
        </w:rPr>
        <w:t>Venetian</w:t>
      </w:r>
      <w:r>
        <w:rPr/>
        <w:t>] [</w:t>
      </w:r>
      <w:r>
        <w:rPr>
          <w:b/>
        </w:rPr>
        <w:t>Manufacturer's standard</w:t>
      </w:r>
      <w:r>
        <w:rPr/>
        <w:t>] &lt;</w:t>
      </w:r>
      <w:r>
        <w:rPr>
          <w:b/>
        </w:rPr>
        <w:t>Insert requirements</w:t>
      </w:r>
      <w:r>
        <w:rPr/>
        <w:t>&gt;.</w:t>
      </w:r>
    </w:p>
    <w:p>
      <w:pPr>
        <w:pStyle w:val="PR2"/>
        <w:numPr>
          <w:ilvl w:val="5"/>
          <w:numId w:val="1"/>
        </w:numPr>
        <w:ind w:hanging="0" w:left="0"/>
        <w:rPr/>
      </w:pPr>
      <w:r>
        <w:rPr/>
        <w:t>Pole Operation: Provide [</w:t>
      </w:r>
      <w:r>
        <w:rPr>
          <w:b/>
        </w:rPr>
        <w:t>manual</w:t>
      </w:r>
      <w:r>
        <w:rPr/>
        <w:t>] [</w:t>
      </w:r>
      <w:r>
        <w:rPr>
          <w:b/>
        </w:rPr>
        <w:t>motorized</w:t>
      </w:r>
      <w:r>
        <w:rPr/>
        <w:t xml:space="preserve">] pole for operating blinds that are more than </w:t>
      </w:r>
      <w:r>
        <w:rPr>
          <w:rStyle w:val="IP"/>
        </w:rPr>
        <w:t>72 inches</w:t>
      </w:r>
      <w:r>
        <w:rPr>
          <w:rStyle w:val="SI"/>
        </w:rPr>
        <w:t xml:space="preserve"> (1829 mm)</w:t>
      </w:r>
      <w:r>
        <w:rPr/>
        <w:t xml:space="preserve"> above floor.</w:t>
      </w:r>
    </w:p>
    <w:p>
      <w:pPr>
        <w:pStyle w:val="PR2"/>
        <w:numPr>
          <w:ilvl w:val="5"/>
          <w:numId w:val="1"/>
        </w:numPr>
        <w:ind w:hanging="0" w:left="0"/>
        <w:rPr/>
      </w:pPr>
      <w:r>
        <w:rPr/>
        <w:t xml:space="preserve">Motor Operator: Manufacturer's standard for blinds that are more than </w:t>
      </w:r>
      <w:r>
        <w:rPr>
          <w:rStyle w:val="IP"/>
        </w:rPr>
        <w:t>72 inches</w:t>
      </w:r>
      <w:r>
        <w:rPr>
          <w:rStyle w:val="SI"/>
        </w:rPr>
        <w:t xml:space="preserve"> (1829 mm)</w:t>
      </w:r>
      <w:r>
        <w:rPr/>
        <w:t xml:space="preserve"> above floor.</w:t>
      </w:r>
    </w:p>
    <w:p>
      <w:pPr>
        <w:pStyle w:val="PR3"/>
        <w:numPr>
          <w:ilvl w:val="6"/>
          <w:numId w:val="1"/>
        </w:numPr>
        <w:spacing w:before="240" w:after="0"/>
        <w:rPr/>
      </w:pPr>
      <w:r>
        <w:rPr/>
        <w:t>[</w:t>
      </w:r>
      <w:r>
        <w:rPr>
          <w:b/>
        </w:rPr>
        <w:t>Electric</w:t>
      </w:r>
      <w:r>
        <w:rPr/>
        <w:t>] [</w:t>
      </w:r>
      <w:r>
        <w:rPr>
          <w:b/>
        </w:rPr>
        <w:t>Solar-powered battery</w:t>
      </w:r>
      <w:r>
        <w:rPr/>
        <w:t>] motor.</w:t>
      </w:r>
    </w:p>
    <w:p>
      <w:pPr>
        <w:pStyle w:val="PR3"/>
        <w:numPr>
          <w:ilvl w:val="6"/>
          <w:numId w:val="1"/>
        </w:numPr>
        <w:rPr/>
      </w:pPr>
      <w:r>
        <w:rPr/>
        <w:t>[</w:t>
      </w:r>
      <w:r>
        <w:rPr>
          <w:b/>
        </w:rPr>
        <w:t>Wireless remote</w:t>
      </w:r>
      <w:r>
        <w:rPr/>
        <w:t>] [</w:t>
      </w:r>
      <w:r>
        <w:rPr>
          <w:b/>
        </w:rPr>
        <w:t>Keypad</w:t>
      </w:r>
      <w:r>
        <w:rPr/>
        <w:t>] &lt;</w:t>
      </w:r>
      <w:r>
        <w:rPr>
          <w:b/>
          <w:bCs/>
        </w:rPr>
        <w:t>Insert requirements</w:t>
      </w:r>
      <w:r>
        <w:rPr/>
        <w:t>&gt; control.</w:t>
      </w:r>
    </w:p>
    <w:p>
      <w:pPr>
        <w:pStyle w:val="PR1"/>
        <w:numPr>
          <w:ilvl w:val="4"/>
          <w:numId w:val="1"/>
        </w:numPr>
        <w:ind w:hanging="0" w:left="0"/>
        <w:rPr/>
      </w:pPr>
      <w:r>
        <w:rPr/>
        <w:t>Mull Kit: Manufacturer's standard for installing two units side by side or inline; finished to match roof window units.</w:t>
      </w:r>
    </w:p>
    <w:p>
      <w:pPr>
        <w:pStyle w:val="CMT"/>
        <w:rPr/>
      </w:pPr>
      <w:r>
        <w:rPr/>
        <w:t>Insert other accessories, such as adapters for specific roof materials, if required.</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substrates and conditions, with Installer present, for compliance with requirements, rough opening dimensions, and other conditions affecting performance of the Work.</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ind w:hanging="0" w:left="0"/>
        <w:rPr/>
      </w:pPr>
      <w:r>
        <w:rPr/>
        <w:t>Comply with manufacturer's written installation instructions for installing roof windows and accessories.</w:t>
      </w:r>
    </w:p>
    <w:p>
      <w:pPr>
        <w:pStyle w:val="PR1"/>
        <w:numPr>
          <w:ilvl w:val="4"/>
          <w:numId w:val="1"/>
        </w:numPr>
        <w:ind w:hanging="0" w:left="0"/>
        <w:rPr/>
      </w:pPr>
      <w:r>
        <w:rPr/>
        <w:t>Install roof windows square, true, and without distortion, warp, or rack of frames and sash. Securely anchor windows to structural support without impeding thermal movement.</w:t>
      </w:r>
    </w:p>
    <w:p>
      <w:pPr>
        <w:pStyle w:val="PR1"/>
        <w:numPr>
          <w:ilvl w:val="4"/>
          <w:numId w:val="1"/>
        </w:numPr>
        <w:ind w:hanging="0" w:left="0"/>
        <w:rPr/>
      </w:pPr>
      <w:r>
        <w:rPr/>
        <w:t>Install flashing to provide a watertight and weathertight seal.</w:t>
      </w:r>
    </w:p>
    <w:p>
      <w:pPr>
        <w:pStyle w:val="PR1"/>
        <w:numPr>
          <w:ilvl w:val="4"/>
          <w:numId w:val="1"/>
        </w:numPr>
        <w:ind w:hanging="0" w:left="0"/>
        <w:rPr/>
      </w:pPr>
      <w:r>
        <w:rPr/>
        <w:t>Separate aluminum, copper, and other corrodible surfaces from sources of corrosion or electrolytic action at points of contact with other materials in accordance with recommendations in ASTM E2112.</w:t>
      </w:r>
    </w:p>
    <w:p>
      <w:pPr>
        <w:pStyle w:val="ART"/>
        <w:numPr>
          <w:ilvl w:val="3"/>
          <w:numId w:val="1"/>
        </w:numPr>
        <w:ind w:hanging="0" w:left="0"/>
        <w:rPr/>
      </w:pPr>
      <w:r>
        <w:rPr/>
        <w:t>ADJUSTING, CLEANING, AND PROTECTION</w:t>
      </w:r>
    </w:p>
    <w:p>
      <w:pPr>
        <w:pStyle w:val="PR1"/>
        <w:numPr>
          <w:ilvl w:val="4"/>
          <w:numId w:val="1"/>
        </w:numPr>
        <w:ind w:hanging="0" w:left="0"/>
        <w:rPr/>
      </w:pPr>
      <w:r>
        <w:rPr/>
        <w:t>Adjust operating sash, screens, and accessories for a tight fit at contact points and for smooth operation and weathertight closure.</w:t>
      </w:r>
    </w:p>
    <w:p>
      <w:pPr>
        <w:pStyle w:val="PR1"/>
        <w:numPr>
          <w:ilvl w:val="4"/>
          <w:numId w:val="1"/>
        </w:numPr>
        <w:ind w:hanging="0" w:left="0"/>
        <w:rPr/>
      </w:pPr>
      <w:r>
        <w:rPr/>
        <w:t>Adjust hardware for proper alignment, smooth operation, and proper latching without unnecessary force or excessive clearance.</w:t>
      </w:r>
    </w:p>
    <w:p>
      <w:pPr>
        <w:pStyle w:val="PR1"/>
        <w:numPr>
          <w:ilvl w:val="4"/>
          <w:numId w:val="1"/>
        </w:numPr>
        <w:ind w:hanging="0" w:left="0"/>
        <w:rPr/>
      </w:pPr>
      <w:r>
        <w:rPr/>
        <w:t>Adjust blinds to hang true to line without rack. Provide unencumbered operation.</w:t>
      </w:r>
    </w:p>
    <w:p>
      <w:pPr>
        <w:pStyle w:val="PR1"/>
        <w:numPr>
          <w:ilvl w:val="4"/>
          <w:numId w:val="1"/>
        </w:numPr>
        <w:ind w:hanging="0" w:left="0"/>
        <w:rPr/>
      </w:pPr>
      <w:r>
        <w:rPr/>
        <w:t>Clean frame surfaces immediately after installing roof windows. Comply with manufacturer's written instructions for final cleaning and maintenance. Avoid damaging protective coatings and finishes.</w:t>
      </w:r>
    </w:p>
    <w:p>
      <w:pPr>
        <w:pStyle w:val="PR1"/>
        <w:numPr>
          <w:ilvl w:val="4"/>
          <w:numId w:val="1"/>
        </w:numPr>
        <w:ind w:hanging="0" w:left="0"/>
        <w:rPr/>
      </w:pPr>
      <w:r>
        <w:rPr/>
        <w:t>Inspect drainage holes for blockage. Clean and free holes of any obstructions to allow drainage.</w:t>
      </w:r>
    </w:p>
    <w:p>
      <w:pPr>
        <w:pStyle w:val="PR1"/>
        <w:numPr>
          <w:ilvl w:val="4"/>
          <w:numId w:val="1"/>
        </w:numPr>
        <w:ind w:hanging="0" w:left="0"/>
        <w:rPr/>
      </w:pPr>
      <w:r>
        <w:rPr/>
        <w:t>Clean glass immediately after installing roof windows. Comply with manufacturer's written instructions for final cleaning and maintenance. Remove nonpermanent labels and clean surfaces.</w:t>
      </w:r>
    </w:p>
    <w:p>
      <w:pPr>
        <w:pStyle w:val="PR1"/>
        <w:numPr>
          <w:ilvl w:val="4"/>
          <w:numId w:val="1"/>
        </w:numPr>
        <w:ind w:hanging="0" w:left="0"/>
        <w:rPr/>
      </w:pPr>
      <w:r>
        <w:rPr/>
        <w:t>Remove and replace glass that has been broken, chipped, cracked, abraded, or damaged during construction period.</w:t>
      </w:r>
    </w:p>
    <w:p>
      <w:pPr>
        <w:pStyle w:val="PR1"/>
        <w:numPr>
          <w:ilvl w:val="4"/>
          <w:numId w:val="1"/>
        </w:numPr>
        <w:ind w:hanging="0" w:left="0"/>
        <w:rPr/>
      </w:pPr>
      <w:r>
        <w:rPr/>
        <w:t>Protect roof window surfaces from contact with contaminating substances resulting from construction operations. If contaminating substances contact roof window surfaces, remove contaminants immediately in accordance with manufacturer's written instructions.</w:t>
      </w:r>
    </w:p>
    <w:p>
      <w:pPr>
        <w:pStyle w:val="PR1"/>
        <w:numPr>
          <w:ilvl w:val="4"/>
          <w:numId w:val="1"/>
        </w:numPr>
        <w:ind w:hanging="0" w:left="0"/>
        <w:rPr/>
      </w:pPr>
      <w:r>
        <w:rPr/>
        <w:t>Refinish or replace roof windows that have damaged finishes.</w:t>
      </w:r>
    </w:p>
    <w:p>
      <w:pPr>
        <w:pStyle w:val="PR1"/>
        <w:numPr>
          <w:ilvl w:val="4"/>
          <w:numId w:val="1"/>
        </w:numPr>
        <w:ind w:hanging="0" w:left="0"/>
        <w:rPr/>
      </w:pPr>
      <w:r>
        <w:rPr/>
        <w:t>Replace damaged components.</w:t>
      </w:r>
    </w:p>
    <w:p>
      <w:pPr>
        <w:pStyle w:val="CMT"/>
        <w:rPr/>
      </w:pPr>
      <w:r>
        <w:rPr/>
        <w:t>Consider using a schedule if Project includes more than one size of each type of roof window specified. A schedule or other method of identifying different sizes can be shown on Drawings or inserted below.</w:t>
      </w:r>
    </w:p>
    <w:p>
      <w:pPr>
        <w:pStyle w:val="ART"/>
        <w:numPr>
          <w:ilvl w:val="3"/>
          <w:numId w:val="1"/>
        </w:numPr>
        <w:ind w:hanging="0" w:left="0"/>
        <w:rPr/>
      </w:pPr>
      <w:r>
        <w:rPr/>
        <w:t>&lt;</w:t>
      </w:r>
      <w:r>
        <w:rPr>
          <w:b/>
          <w:bCs/>
        </w:rPr>
        <w:t>INSERT PRODUCT SCHEDULE</w:t>
      </w:r>
      <w:r>
        <w:rPr/>
        <w:t>&gt;</w:t>
      </w:r>
    </w:p>
    <w:p>
      <w:pPr>
        <w:pStyle w:val="EOS"/>
        <w:rPr/>
      </w:pPr>
      <w:r>
        <w:rPr/>
        <w:t>END OF SECTION 086100</w:t>
      </w:r>
    </w:p>
    <w:sectPr>
      <w:headerReference w:type="default" r:id="rId11"/>
      <w:footerReference w:type="default" r:id="rId1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ROOF WINDOWS</w:t>
          </w:r>
        </w:p>
      </w:tc>
      <w:tc>
        <w:tcPr>
          <w:tcW w:w="1872" w:type="dxa"/>
          <w:tcBorders/>
        </w:tcPr>
        <w:p>
          <w:pPr>
            <w:pStyle w:val="RJUST"/>
            <w:rPr/>
          </w:pPr>
          <w:r>
            <w:rPr>
              <w:rStyle w:val="NUM"/>
            </w:rPr>
            <w:t>086100</w:t>
          </w:r>
          <w:r>
            <w:rPr/>
            <w:t xml:space="preserve"> - </w:t>
          </w:r>
          <w:r>
            <w:rPr/>
            <w:fldChar w:fldCharType="begin"/>
          </w:r>
          <w:r>
            <w:rPr/>
            <w:instrText xml:space="preserve"> PAGE </w:instrText>
          </w:r>
          <w:r>
            <w:rPr/>
            <w:fldChar w:fldCharType="separate"/>
          </w:r>
          <w:r>
            <w:rPr/>
            <w:t>9</w:t>
          </w:r>
          <w:r>
            <w:rPr/>
            <w:fldChar w:fldCharType="end"/>
          </w:r>
        </w:p>
      </w:tc>
    </w:tr>
  </w:tbl>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03/20</w:t>
    </w:r>
    <w:r>
      <mc:AlternateContent>
        <mc:Choice Requires="wps">
          <w:drawing>
            <wp:anchor behindDoc="1" distT="0" distB="0" distL="114935" distR="114935" simplePos="0" locked="0" layoutInCell="1" allowOverlap="1" relativeHeight="1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0"/>
    <w:docVar w:name="Format" w:val="1"/>
    <w:docVar w:name="MF04" w:val="086100"/>
    <w:docVar w:name="MF95" w:val="08610"/>
    <w:docVar w:name="MFOrigin" w:val="MF04"/>
    <w:docVar w:name="SectionID" w:val="240"/>
    <w:docVar w:name="SpecType" w:val="MasterSpec"/>
    <w:docVar w:name="Type" w:val="Full Length"/>
    <w:docVar w:name="Version" w:val="1533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808080"/>
      <w:shd w:fill="E6E6E6" w:val="clear"/>
    </w:rPr>
  </w:style>
  <w:style w:type="character" w:styleId="SustHyperlink">
    <w:name w:val="SustHyperlink"/>
    <w:qFormat/>
    <w:rPr>
      <w:color w:val="009900"/>
      <w:u w:val="single"/>
    </w:rPr>
  </w:style>
  <w:style w:type="character" w:styleId="BalloonTextChar">
    <w:name w:val="Balloon Text Char"/>
    <w:qFormat/>
    <w:rPr>
      <w:rFonts w:ascii="Segoe UI" w:hAnsi="Segoe UI" w:cs="Segoe UI"/>
      <w:sz w:val="18"/>
      <w:szCs w:val="18"/>
    </w:rPr>
  </w:style>
  <w:style w:type="character" w:styleId="PR2Char">
    <w:name w:val="PR2 Char"/>
    <w:qFormat/>
    <w:rPr>
      <w:sz w:val="22"/>
    </w:rPr>
  </w:style>
  <w:style w:type="character" w:styleId="PRNChar">
    <w:name w:val="PRN Char"/>
    <w:qFormat/>
    <w:rPr>
      <w:sz w:val="22"/>
      <w:shd w:fill="FFFFCC" w:val="clear"/>
    </w:rPr>
  </w:style>
  <w:style w:type="character" w:styleId="FollowedHyperlink">
    <w:name w:val="FollowedHyperlink"/>
    <w:rPr>
      <w:color w:val="954F72"/>
      <w:u w:val="single"/>
    </w:rPr>
  </w:style>
  <w:style w:type="character" w:styleId="PR1Char">
    <w:name w:val="PR1 Char"/>
    <w:qFormat/>
    <w:rPr>
      <w:sz w:val="22"/>
    </w:rPr>
  </w:style>
  <w:style w:type="character" w:styleId="CommentReference">
    <w:name w:val="Comment Reference"/>
    <w:qFormat/>
    <w:rPr>
      <w:sz w:val="16"/>
      <w:szCs w:val="16"/>
    </w:rPr>
  </w:style>
  <w:style w:type="character" w:styleId="CommentTextChar">
    <w:name w:val="Comment Text Char"/>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jc w:val="both"/>
      <w:outlineLvl w:val="2"/>
    </w:pPr>
    <w:rPr/>
  </w:style>
  <w:style w:type="paragraph" w:styleId="PR2">
    <w:name w:val="PR2"/>
    <w:basedOn w:val="Normal"/>
    <w:qFormat/>
    <w:pPr>
      <w:numPr>
        <w:ilvl w:val="0"/>
        <w:numId w:val="1"/>
      </w:numPr>
      <w:tabs>
        <w:tab w:val="clear" w:pos="360"/>
        <w:tab w:val="left" w:pos="1440" w:leader="none"/>
      </w:tabs>
      <w:suppressAutoHyphens w:val="true"/>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BalloonText">
    <w:name w:val="Balloon Text"/>
    <w:basedOn w:val="Normal"/>
    <w:qFormat/>
    <w:pPr/>
    <w:rPr>
      <w:rFonts w:ascii="Segoe UI" w:hAnsi="Segoe UI" w:cs="Segoe UI"/>
      <w:sz w:val="18"/>
      <w:szCs w:val="18"/>
    </w:rPr>
  </w:style>
  <w:style w:type="paragraph" w:styleId="PRN">
    <w:name w:val="PRN"/>
    <w:basedOn w:val="Normal"/>
    <w:qFormat/>
    <w:pPr>
      <w:pBdr>
        <w:top w:val="single" w:sz="6" w:space="1" w:color="000000" w:shadow="1"/>
        <w:left w:val="single" w:sz="6" w:space="4" w:color="000000" w:shadow="1"/>
        <w:bottom w:val="single" w:sz="6" w:space="1" w:color="000000" w:shadow="1"/>
        <w:right w:val="single" w:sz="6" w:space="4" w:color="000000" w:shadow="1"/>
      </w:pBdr>
      <w:shd w:fill="FFFFCC" w:val="clear"/>
      <w:tabs>
        <w:tab w:val="clear" w:pos="360"/>
        <w:tab w:val="left" w:pos="1440" w:leader="none"/>
      </w:tabs>
      <w:spacing w:before="240" w:after="0"/>
      <w:ind w:hanging="576" w:left="1440" w:right="0"/>
    </w:pPr>
    <w:rPr/>
  </w:style>
  <w:style w:type="paragraph" w:styleId="CommentText">
    <w:name w:val="Comment Text"/>
    <w:basedOn w:val="Normal"/>
    <w:qFormat/>
    <w:pPr/>
    <w:rPr>
      <w:sz w:val="20"/>
    </w:rPr>
  </w:style>
  <w:style w:type="paragraph" w:styleId="Revision">
    <w:name w:val="Revision"/>
    <w:qFormat/>
    <w:pPr>
      <w:widowControl/>
      <w:bidi w:val="0"/>
    </w:pPr>
    <w:rPr>
      <w:rFonts w:ascii="Times New Roman" w:hAnsi="Times New Roman" w:eastAsia="Times New Roman" w:cs="Times New Roman"/>
      <w:color w:val="auto"/>
      <w:sz w:val="22"/>
      <w:szCs w:val="20"/>
      <w:lang w:val="en-U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6100&amp;ver=03-01-20&amp;format=FL&amp;sid=15330&amp;utm_source=MasterSpec&amp;utm_medium=Word" TargetMode="External"/><Relationship Id="rId3" Type="http://schemas.openxmlformats.org/officeDocument/2006/relationships/hyperlink" Target="http://www.arcomnet.com/sustainable_design.aspx?topic=330"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146" TargetMode="External"/><Relationship Id="rId6" Type="http://schemas.openxmlformats.org/officeDocument/2006/relationships/hyperlink" Target="http://www.arcomnet.com/sustainable_design.aspx?topic=148" TargetMode="External"/><Relationship Id="rId7" Type="http://schemas.openxmlformats.org/officeDocument/2006/relationships/hyperlink" Target="http://www.arcomnet.com/sustainable_design.aspx?topic=25" TargetMode="External"/><Relationship Id="rId8" Type="http://schemas.openxmlformats.org/officeDocument/2006/relationships/hyperlink" Target="http://www.arcomnet.com/sustainable_design.aspx?topic=26" TargetMode="External"/><Relationship Id="rId9" Type="http://schemas.openxmlformats.org/officeDocument/2006/relationships/hyperlink" Target="http://www.arcomnet.com/sustainable_design.aspx?topic=133" TargetMode="External"/><Relationship Id="rId10" Type="http://schemas.openxmlformats.org/officeDocument/2006/relationships/hyperlink" Target="http://www.specagent.com/LookUp/?ulid=11240&amp;mf=04&amp;src=wd" TargetMode="Externa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2022-09-26T02:07:00Z</dcterms:created>
  <dc:creator>Deltek, Inc.</dc:creator>
  <dc:description/>
  <cp:keywords>BAS-12345-MS80</cp:keywords>
  <dc:language>zh-CN</dc:language>
  <cp:lastModifiedBy>Janice Nacional</cp:lastModifiedBy>
  <dcterms:modified xsi:type="dcterms:W3CDTF">2022-09-26T02:07:00Z</dcterms:modified>
  <cp:revision>2</cp:revision>
  <dc:subject>ROOF WINDOWS</dc:subject>
  <dc:title>SECTION 086100 - ROOF WINDOWS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ector">
    <vt:lpwstr>18</vt:lpwstr>
  </property>
  <property fmtid="{D5CDD505-2E9C-101B-9397-08002B2CF9AE}" pid="3" name="Editor SF-OT">
    <vt:lpwstr/>
  </property>
  <property fmtid="{D5CDD505-2E9C-101B-9397-08002B2CF9AE}" pid="4" name="Editor0">
    <vt:lpwstr>8</vt:lpwstr>
  </property>
  <property fmtid="{D5CDD505-2E9C-101B-9397-08002B2CF9AE}" pid="5" name="Notification Start">
    <vt:lpwstr>Start</vt:lpwstr>
  </property>
  <property fmtid="{D5CDD505-2E9C-101B-9397-08002B2CF9AE}" pid="6" name="Status">
    <vt:lpwstr>Ready for QC</vt:lpwstr>
  </property>
  <property fmtid="{D5CDD505-2E9C-101B-9397-08002B2CF9AE}" pid="7" name="Update">
    <vt:lpwstr>2020-1Q Update</vt:lpwstr>
  </property>
  <property fmtid="{D5CDD505-2E9C-101B-9397-08002B2CF9AE}" pid="8" name="WorkflowChangePath">
    <vt:lpwstr>34c81181-f6cd-4d6c-a1c7-8851bb40afeb,2;34c81181-f6cd-4d6c-a1c7-8851bb40afeb,2;34c81181-f6cd-4d6c-a1c7-8851bb40afeb,4;34c81181-f6cd-4d6c-a1c7-8851bb40afeb,4;ca1097fa-f048-4604-b307-9628e60464c5,4;87a1dfe1-56e2-4738-bc32-c4fca52aa1ab,9;4bc48954-03fb-49d4-9d</vt:lpwstr>
  </property>
  <property fmtid="{D5CDD505-2E9C-101B-9397-08002B2CF9AE}" pid="9" name="Writer">
    <vt:lpwstr>47</vt:lpwstr>
  </property>
  <property fmtid="{D5CDD505-2E9C-101B-9397-08002B2CF9AE}" pid="10" name="display_urn:schemas-microsoft-com:office:office#Director">
    <vt:lpwstr>Joseph Berchenko</vt:lpwstr>
  </property>
  <property fmtid="{D5CDD505-2E9C-101B-9397-08002B2CF9AE}" pid="11" name="display_urn:schemas-microsoft-com:office:office#Editor0">
    <vt:lpwstr>Doug Roemer</vt:lpwstr>
  </property>
  <property fmtid="{D5CDD505-2E9C-101B-9397-08002B2CF9AE}" pid="12" name="display_urn:schemas-microsoft-com:office:office#Writer">
    <vt:lpwstr>Kristi Duce-Romero</vt:lpwstr>
  </property>
</Properties>
</file>