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096816</w:t>
      </w:r>
      <w:r>
        <w:rPr/>
        <w:t xml:space="preserve"> - </w:t>
      </w:r>
      <w:r>
        <w:rPr>
          <w:rStyle w:val="NAM"/>
        </w:rPr>
        <w:t>SHEET CARPETING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Insert fusion-bonded, needle-punched, knitted, or another carpet construction if required.</w:t>
      </w:r>
    </w:p>
    <w:p>
      <w:pPr>
        <w:pStyle w:val="PR2"/>
        <w:numPr>
          <w:ilvl w:val="5"/>
          <w:numId w:val="1"/>
        </w:numPr>
        <w:spacing w:before="240" w:after="0"/>
        <w:rPr/>
      </w:pPr>
      <w:r>
        <w:rPr/>
        <w:t>Tufted carpet.</w:t>
      </w:r>
    </w:p>
    <w:p>
      <w:pPr>
        <w:pStyle w:val="PR2"/>
        <w:numPr>
          <w:ilvl w:val="5"/>
          <w:numId w:val="1"/>
        </w:numPr>
        <w:rPr/>
      </w:pPr>
      <w:r>
        <w:rPr/>
        <w:t>Woven carpet.</w:t>
      </w:r>
    </w:p>
    <w:p>
      <w:pPr>
        <w:pStyle w:val="PR2"/>
        <w:numPr>
          <w:ilvl w:val="5"/>
          <w:numId w:val="1"/>
        </w:numPr>
        <w:rPr/>
      </w:pPr>
      <w:r>
        <w:rPr/>
        <w:t>Carpet cushion.</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024119 "Selective Demolition" for removing existing floor coverings.</w:t>
      </w:r>
    </w:p>
    <w:p>
      <w:pPr>
        <w:pStyle w:val="PR2"/>
        <w:numPr>
          <w:ilvl w:val="5"/>
          <w:numId w:val="1"/>
        </w:numPr>
        <w:rPr/>
      </w:pPr>
      <w:r>
        <w:rPr/>
        <w:t>[</w:t>
      </w:r>
      <w:r>
        <w:rPr>
          <w:b/>
        </w:rPr>
        <w:t>Section 096513 "Resilient Base and Accessories"</w:t>
      </w:r>
      <w:r>
        <w:rPr/>
        <w:t>] [</w:t>
      </w:r>
      <w:r>
        <w:rPr>
          <w:b/>
        </w:rPr>
        <w:t>Section 096519 "Resilient Tile Flooring"</w:t>
      </w:r>
      <w:r>
        <w:rPr/>
        <w:t>] for resilient wall base and accessories installed with carpet.</w:t>
      </w:r>
    </w:p>
    <w:p>
      <w:pPr>
        <w:pStyle w:val="PR2"/>
        <w:numPr>
          <w:ilvl w:val="5"/>
          <w:numId w:val="1"/>
        </w:numPr>
        <w:rPr/>
      </w:pPr>
      <w:r>
        <w:rPr/>
        <w:t>Section 096813 "Tile Carpeting" for modular carpet tiles.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w:t>
      </w:r>
    </w:p>
    <w:p>
      <w:pPr>
        <w:pStyle w:val="PR2"/>
        <w:numPr>
          <w:ilvl w:val="5"/>
          <w:numId w:val="1"/>
        </w:numPr>
        <w:spacing w:before="240" w:after="0"/>
        <w:rPr/>
      </w:pPr>
      <w:r>
        <w:rPr/>
        <w:t>Review methods and procedures related to carpet installation including, but not limited to, the following:</w:t>
      </w:r>
    </w:p>
    <w:p>
      <w:pPr>
        <w:pStyle w:val="CMT"/>
        <w:rPr/>
      </w:pPr>
      <w:r>
        <w:rPr/>
        <w:t>Retain first subparagraph for occupied buildings if delivery must be controlled and coordinated, for example, for tenant spaces in occupied office buildings with multiple tenants.</w:t>
      </w:r>
    </w:p>
    <w:p>
      <w:pPr>
        <w:pStyle w:val="PR3"/>
        <w:numPr>
          <w:ilvl w:val="6"/>
          <w:numId w:val="1"/>
        </w:numPr>
        <w:spacing w:before="240" w:after="0"/>
        <w:rPr/>
      </w:pPr>
      <w:r>
        <w:rPr/>
        <w:t>Review delivery, storage, and handling procedures.</w:t>
      </w:r>
    </w:p>
    <w:p>
      <w:pPr>
        <w:pStyle w:val="PR3"/>
        <w:numPr>
          <w:ilvl w:val="6"/>
          <w:numId w:val="1"/>
        </w:numPr>
        <w:rPr/>
      </w:pPr>
      <w:r>
        <w:rPr/>
        <w:t>Review ambient conditions and ventilation procedures.</w:t>
      </w:r>
    </w:p>
    <w:p>
      <w:pPr>
        <w:pStyle w:val="PR3"/>
        <w:numPr>
          <w:ilvl w:val="6"/>
          <w:numId w:val="1"/>
        </w:numPr>
        <w:rPr/>
      </w:pPr>
      <w:r>
        <w:rPr/>
        <w:t>Review subfloor preparation procedures.</w:t>
      </w:r>
    </w:p>
    <w:p>
      <w:pPr>
        <w:pStyle w:val="PR3"/>
        <w:numPr>
          <w:ilvl w:val="6"/>
          <w:numId w:val="1"/>
        </w:numPr>
        <w:rPr/>
      </w:pPr>
      <w:r>
        <w:rPr/>
        <w:t>&lt;</w:t>
      </w:r>
      <w:r>
        <w:rPr>
          <w:b/>
        </w:rPr>
        <w:t>Insert agenda items</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manufacturer's written data on physical characteristics and durability.</w:t>
      </w:r>
    </w:p>
    <w:p>
      <w:pPr>
        <w:pStyle w:val="PR2"/>
        <w:numPr>
          <w:ilvl w:val="5"/>
          <w:numId w:val="1"/>
        </w:numPr>
        <w:rPr/>
      </w:pPr>
      <w:r>
        <w:rPr/>
        <w:t>Include manufacturer's written installation recommendations for each type of substrate.</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carpeting products.&gt;</w:t>
        </w:r>
      </w:hyperlink>
    </w:p>
    <w:p>
      <w:pPr>
        <w:pStyle w:val="PR2"/>
        <w:numPr>
          <w:ilvl w:val="5"/>
          <w:numId w:val="1"/>
        </w:numPr>
        <w:rPr/>
      </w:pPr>
      <w:hyperlink r:id="rId6">
        <w:r>
          <w:rPr>
            <w:rStyle w:val="Hyperlink"/>
          </w:rPr>
          <w:t>&lt;Double click to insert sustainable design text for flooring.&gt;</w:t>
        </w:r>
      </w:hyperlink>
    </w:p>
    <w:p>
      <w:pPr>
        <w:pStyle w:val="PR1"/>
        <w:numPr>
          <w:ilvl w:val="4"/>
          <w:numId w:val="1"/>
        </w:numPr>
        <w:rPr/>
      </w:pPr>
      <w:r>
        <w:rPr/>
        <w:t>Shop Drawings: For carpet installation, showing the following:</w:t>
      </w:r>
    </w:p>
    <w:p>
      <w:pPr>
        <w:pStyle w:val="CMT"/>
        <w:rPr/>
      </w:pPr>
      <w:r>
        <w:rPr/>
        <w:t>Retain, delete, or revise subparagraphs below to suit Project.</w:t>
      </w:r>
    </w:p>
    <w:p>
      <w:pPr>
        <w:pStyle w:val="PR2"/>
        <w:numPr>
          <w:ilvl w:val="5"/>
          <w:numId w:val="1"/>
        </w:numPr>
        <w:spacing w:before="240" w:after="0"/>
        <w:rPr/>
      </w:pPr>
      <w:r>
        <w:rPr/>
        <w:t>Columns, doorways, enclosing walls or partitions, built-in cabinets, and locations where cutouts are required in carpet.</w:t>
      </w:r>
    </w:p>
    <w:p>
      <w:pPr>
        <w:pStyle w:val="PR2"/>
        <w:numPr>
          <w:ilvl w:val="5"/>
          <w:numId w:val="1"/>
        </w:numPr>
        <w:rPr/>
      </w:pPr>
      <w:r>
        <w:rPr/>
        <w:t>Carpet type, color, and dye lot.</w:t>
      </w:r>
    </w:p>
    <w:p>
      <w:pPr>
        <w:pStyle w:val="CMT"/>
        <w:rPr/>
      </w:pPr>
      <w:r>
        <w:rPr/>
        <w:t>Retain first subparagraph below only for large installations where multiple dye lots are unavoidable.</w:t>
      </w:r>
    </w:p>
    <w:p>
      <w:pPr>
        <w:pStyle w:val="PR2"/>
        <w:numPr>
          <w:ilvl w:val="5"/>
          <w:numId w:val="1"/>
        </w:numPr>
        <w:rPr/>
      </w:pPr>
      <w:r>
        <w:rPr/>
        <w:t>Locations where dye lot changes occur.</w:t>
      </w:r>
    </w:p>
    <w:p>
      <w:pPr>
        <w:pStyle w:val="PR2"/>
        <w:numPr>
          <w:ilvl w:val="5"/>
          <w:numId w:val="1"/>
        </w:numPr>
        <w:rPr/>
      </w:pPr>
      <w:r>
        <w:rPr/>
        <w:t>Seam locations, types, and methods.</w:t>
      </w:r>
    </w:p>
    <w:p>
      <w:pPr>
        <w:pStyle w:val="PR2"/>
        <w:numPr>
          <w:ilvl w:val="5"/>
          <w:numId w:val="1"/>
        </w:numPr>
        <w:rPr/>
      </w:pPr>
      <w:r>
        <w:rPr/>
        <w:t>Type of subfloor.</w:t>
      </w:r>
    </w:p>
    <w:p>
      <w:pPr>
        <w:pStyle w:val="PR2"/>
        <w:numPr>
          <w:ilvl w:val="5"/>
          <w:numId w:val="1"/>
        </w:numPr>
        <w:rPr/>
      </w:pPr>
      <w:r>
        <w:rPr/>
        <w:t>Type of installation.</w:t>
      </w:r>
    </w:p>
    <w:p>
      <w:pPr>
        <w:pStyle w:val="PR2"/>
        <w:numPr>
          <w:ilvl w:val="5"/>
          <w:numId w:val="1"/>
        </w:numPr>
        <w:rPr/>
      </w:pPr>
      <w:r>
        <w:rPr/>
        <w:t>Pattern type, repeat size, location, direction, and starting point.</w:t>
      </w:r>
    </w:p>
    <w:p>
      <w:pPr>
        <w:pStyle w:val="PR2"/>
        <w:numPr>
          <w:ilvl w:val="5"/>
          <w:numId w:val="1"/>
        </w:numPr>
        <w:rPr/>
      </w:pPr>
      <w:r>
        <w:rPr/>
        <w:t>Pile direction.</w:t>
      </w:r>
    </w:p>
    <w:p>
      <w:pPr>
        <w:pStyle w:val="PR2"/>
        <w:numPr>
          <w:ilvl w:val="5"/>
          <w:numId w:val="1"/>
        </w:numPr>
        <w:rPr/>
      </w:pPr>
      <w:r>
        <w:rPr/>
        <w:t>Types, colors, and locations of insets and borders.</w:t>
      </w:r>
    </w:p>
    <w:p>
      <w:pPr>
        <w:pStyle w:val="PR2"/>
        <w:numPr>
          <w:ilvl w:val="5"/>
          <w:numId w:val="1"/>
        </w:numPr>
        <w:rPr/>
      </w:pPr>
      <w:r>
        <w:rPr/>
        <w:t>Types, colors, and locations of edge, transition, and other accessory strips.</w:t>
      </w:r>
    </w:p>
    <w:p>
      <w:pPr>
        <w:pStyle w:val="PR2"/>
        <w:numPr>
          <w:ilvl w:val="5"/>
          <w:numId w:val="1"/>
        </w:numPr>
        <w:rPr/>
      </w:pPr>
      <w:r>
        <w:rPr/>
        <w:t>Transition details to other flooring materials.</w:t>
      </w:r>
    </w:p>
    <w:p>
      <w:pPr>
        <w:pStyle w:val="CMT"/>
        <w:rPr/>
      </w:pPr>
      <w:r>
        <w:rPr/>
        <w:t>Retain subparagraph below if applicable.</w:t>
      </w:r>
    </w:p>
    <w:p>
      <w:pPr>
        <w:pStyle w:val="PR2"/>
        <w:numPr>
          <w:ilvl w:val="5"/>
          <w:numId w:val="1"/>
        </w:numPr>
        <w:rPr/>
      </w:pPr>
      <w:r>
        <w:rPr/>
        <w:t>Type of carpet cushion.</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each of the following products and for each color and texture required. Label each Sample with manufacturer's name, material description, color, pattern, and designation indicated on Drawings and in schedules.</w:t>
      </w:r>
    </w:p>
    <w:p>
      <w:pPr>
        <w:pStyle w:val="PR2"/>
        <w:numPr>
          <w:ilvl w:val="5"/>
          <w:numId w:val="1"/>
        </w:numPr>
        <w:spacing w:before="240" w:after="0"/>
        <w:rPr/>
      </w:pPr>
      <w:r>
        <w:rPr/>
        <w:t xml:space="preserve">Carpet: </w:t>
      </w:r>
      <w:r>
        <w:rPr>
          <w:rStyle w:val="IP"/>
        </w:rPr>
        <w:t>12-inch-</w:t>
      </w:r>
      <w:r>
        <w:rPr>
          <w:rStyle w:val="SI"/>
        </w:rPr>
        <w:t xml:space="preserve"> (300-mm-)</w:t>
      </w:r>
      <w:r>
        <w:rPr/>
        <w:t xml:space="preserve"> square Sample.</w:t>
      </w:r>
    </w:p>
    <w:p>
      <w:pPr>
        <w:pStyle w:val="PR2"/>
        <w:numPr>
          <w:ilvl w:val="5"/>
          <w:numId w:val="1"/>
        </w:numPr>
        <w:rPr/>
      </w:pPr>
      <w:r>
        <w:rPr/>
        <w:t xml:space="preserve">Exposed Edge, Transition, and Other Accessory Stripping: </w:t>
      </w:r>
      <w:r>
        <w:rPr>
          <w:rStyle w:val="IP"/>
        </w:rPr>
        <w:t>12-inch-</w:t>
      </w:r>
      <w:r>
        <w:rPr>
          <w:rStyle w:val="SI"/>
        </w:rPr>
        <w:t xml:space="preserve"> (300-mm-)</w:t>
      </w:r>
      <w:r>
        <w:rPr/>
        <w:t xml:space="preserve"> long Samples.</w:t>
      </w:r>
    </w:p>
    <w:p>
      <w:pPr>
        <w:pStyle w:val="CMT"/>
        <w:rPr/>
      </w:pPr>
      <w:r>
        <w:rPr/>
        <w:t>Retain "Carpet Cushion" Subparagraph below if applicable.</w:t>
      </w:r>
    </w:p>
    <w:p>
      <w:pPr>
        <w:pStyle w:val="PR2"/>
        <w:numPr>
          <w:ilvl w:val="5"/>
          <w:numId w:val="1"/>
        </w:numPr>
        <w:rPr/>
      </w:pPr>
      <w:r>
        <w:rPr/>
        <w:t xml:space="preserve">Carpet Cushion: </w:t>
      </w:r>
      <w:r>
        <w:rPr>
          <w:rStyle w:val="IP"/>
        </w:rPr>
        <w:t>6-inch-</w:t>
      </w:r>
      <w:r>
        <w:rPr>
          <w:rStyle w:val="SI"/>
        </w:rPr>
        <w:t xml:space="preserve"> (150-mm-)</w:t>
      </w:r>
      <w:r>
        <w:rPr/>
        <w:t xml:space="preserve"> square Sample.</w:t>
      </w:r>
    </w:p>
    <w:p>
      <w:pPr>
        <w:pStyle w:val="PR2"/>
        <w:numPr>
          <w:ilvl w:val="5"/>
          <w:numId w:val="1"/>
        </w:numPr>
        <w:rPr/>
      </w:pPr>
      <w:r>
        <w:rPr/>
        <w:t xml:space="preserve">Carpet Seam: </w:t>
      </w:r>
      <w:r>
        <w:rPr>
          <w:rStyle w:val="IP"/>
        </w:rPr>
        <w:t>6-inch</w:t>
      </w:r>
      <w:r>
        <w:rPr>
          <w:rStyle w:val="SI"/>
        </w:rPr>
        <w:t xml:space="preserve"> (150-mm)</w:t>
      </w:r>
      <w:r>
        <w:rPr/>
        <w:t xml:space="preserve"> Sample.</w:t>
      </w:r>
    </w:p>
    <w:p>
      <w:pPr>
        <w:pStyle w:val="CMT"/>
        <w:rPr/>
      </w:pPr>
      <w:r>
        <w:rPr/>
        <w:t>Retain "Mitered Carpet-Border Seam" Subparagraph below if applicable.</w:t>
      </w:r>
    </w:p>
    <w:p>
      <w:pPr>
        <w:pStyle w:val="PR2"/>
        <w:numPr>
          <w:ilvl w:val="5"/>
          <w:numId w:val="1"/>
        </w:numPr>
        <w:rPr/>
      </w:pPr>
      <w:r>
        <w:rPr/>
        <w:t xml:space="preserve">Mitered Carpet-Border Seam: </w:t>
      </w:r>
      <w:r>
        <w:rPr>
          <w:rStyle w:val="IP"/>
        </w:rPr>
        <w:t>12-inch-</w:t>
      </w:r>
      <w:r>
        <w:rPr>
          <w:rStyle w:val="SI"/>
        </w:rPr>
        <w:t xml:space="preserve"> (300-mm-)</w:t>
      </w:r>
      <w:r>
        <w:rPr/>
        <w:t xml:space="preserve"> square Sample. Show carpet pattern alignment.</w:t>
      </w:r>
    </w:p>
    <w:p>
      <w:pPr>
        <w:pStyle w:val="PR1"/>
        <w:numPr>
          <w:ilvl w:val="4"/>
          <w:numId w:val="1"/>
        </w:numPr>
        <w:rPr/>
      </w:pPr>
      <w:r>
        <w:rPr/>
        <w:t>Samples for Initial Selection: For each type of product.</w:t>
      </w:r>
    </w:p>
    <w:p>
      <w:pPr>
        <w:pStyle w:val="PR2"/>
        <w:numPr>
          <w:ilvl w:val="5"/>
          <w:numId w:val="1"/>
        </w:numPr>
        <w:spacing w:before="240" w:after="0"/>
        <w:rPr/>
      </w:pPr>
      <w:r>
        <w:rPr/>
        <w:t>Include Samples of exposed edge, transition, and other accessory stripping involving color or finish selection.</w:t>
      </w:r>
    </w:p>
    <w:p>
      <w:pPr>
        <w:pStyle w:val="PR1"/>
        <w:numPr>
          <w:ilvl w:val="4"/>
          <w:numId w:val="1"/>
        </w:numPr>
        <w:rPr/>
      </w:pPr>
      <w:r>
        <w:rPr/>
        <w:t>Samples for Verification: For each of the following products and for each color and texture required. Label each Sample with manufacturer's name, material description, color, pattern, and designation indicated on Drawings and in schedules.</w:t>
      </w:r>
    </w:p>
    <w:p>
      <w:pPr>
        <w:pStyle w:val="PR2"/>
        <w:numPr>
          <w:ilvl w:val="5"/>
          <w:numId w:val="1"/>
        </w:numPr>
        <w:spacing w:before="240" w:after="0"/>
        <w:rPr/>
      </w:pPr>
      <w:r>
        <w:rPr/>
        <w:t xml:space="preserve">Carpet: </w:t>
      </w:r>
      <w:r>
        <w:rPr>
          <w:rStyle w:val="IP"/>
        </w:rPr>
        <w:t>12-inch-</w:t>
      </w:r>
      <w:r>
        <w:rPr>
          <w:rStyle w:val="SI"/>
        </w:rPr>
        <w:t xml:space="preserve"> (300-mm-)</w:t>
      </w:r>
      <w:r>
        <w:rPr/>
        <w:t xml:space="preserve"> square Sample.</w:t>
      </w:r>
    </w:p>
    <w:p>
      <w:pPr>
        <w:pStyle w:val="PR2"/>
        <w:numPr>
          <w:ilvl w:val="5"/>
          <w:numId w:val="1"/>
        </w:numPr>
        <w:rPr/>
      </w:pPr>
      <w:r>
        <w:rPr/>
        <w:t xml:space="preserve">Exposed Edge, Transition, and Other Accessory Stripping: </w:t>
      </w:r>
      <w:r>
        <w:rPr>
          <w:rStyle w:val="IP"/>
        </w:rPr>
        <w:t>12-inch-</w:t>
      </w:r>
      <w:r>
        <w:rPr>
          <w:rStyle w:val="SI"/>
        </w:rPr>
        <w:t xml:space="preserve"> (300-mm-)</w:t>
      </w:r>
      <w:r>
        <w:rPr/>
        <w:t xml:space="preserve"> long Samples.</w:t>
      </w:r>
    </w:p>
    <w:p>
      <w:pPr>
        <w:pStyle w:val="CMT"/>
        <w:rPr/>
      </w:pPr>
      <w:r>
        <w:rPr/>
        <w:t>Retain "Carpet Cushion" Subparagraph below if applicable.</w:t>
      </w:r>
    </w:p>
    <w:p>
      <w:pPr>
        <w:pStyle w:val="PR2"/>
        <w:numPr>
          <w:ilvl w:val="5"/>
          <w:numId w:val="1"/>
        </w:numPr>
        <w:rPr/>
      </w:pPr>
      <w:r>
        <w:rPr/>
        <w:t xml:space="preserve">Carpet Cushion: </w:t>
      </w:r>
      <w:r>
        <w:rPr>
          <w:rStyle w:val="IP"/>
        </w:rPr>
        <w:t>6-inch-</w:t>
      </w:r>
      <w:r>
        <w:rPr>
          <w:rStyle w:val="SI"/>
        </w:rPr>
        <w:t xml:space="preserve"> (150-mm-)</w:t>
      </w:r>
      <w:r>
        <w:rPr/>
        <w:t xml:space="preserve"> square Sample.</w:t>
      </w:r>
    </w:p>
    <w:p>
      <w:pPr>
        <w:pStyle w:val="PR2"/>
        <w:numPr>
          <w:ilvl w:val="5"/>
          <w:numId w:val="1"/>
        </w:numPr>
        <w:rPr/>
      </w:pPr>
      <w:r>
        <w:rPr/>
        <w:t xml:space="preserve">Carpet Seam: </w:t>
      </w:r>
      <w:r>
        <w:rPr>
          <w:rStyle w:val="IP"/>
        </w:rPr>
        <w:t>6-inch</w:t>
      </w:r>
      <w:r>
        <w:rPr>
          <w:rStyle w:val="SI"/>
        </w:rPr>
        <w:t xml:space="preserve"> (150-mm)</w:t>
      </w:r>
      <w:r>
        <w:rPr/>
        <w:t xml:space="preserve"> Sample.</w:t>
      </w:r>
    </w:p>
    <w:p>
      <w:pPr>
        <w:pStyle w:val="CMT"/>
        <w:rPr/>
      </w:pPr>
      <w:r>
        <w:rPr/>
        <w:t>Retain "Mitered Carpet-Border Seam" Subparagraph below if applicable.</w:t>
      </w:r>
    </w:p>
    <w:p>
      <w:pPr>
        <w:pStyle w:val="PR2"/>
        <w:numPr>
          <w:ilvl w:val="5"/>
          <w:numId w:val="1"/>
        </w:numPr>
        <w:rPr/>
      </w:pPr>
      <w:r>
        <w:rPr/>
        <w:t xml:space="preserve">Mitered Carpet-Border Seam: </w:t>
      </w:r>
      <w:r>
        <w:rPr>
          <w:rStyle w:val="IP"/>
        </w:rPr>
        <w:t>12-inch-</w:t>
      </w:r>
      <w:r>
        <w:rPr>
          <w:rStyle w:val="SI"/>
        </w:rPr>
        <w:t xml:space="preserve"> (300-mm-)</w:t>
      </w:r>
      <w:r>
        <w:rPr/>
        <w:t xml:space="preserve"> square Sample. Show carpet pattern alignment.</w:t>
      </w:r>
    </w:p>
    <w:p>
      <w:pPr>
        <w:pStyle w:val="PR1"/>
        <w:numPr>
          <w:ilvl w:val="4"/>
          <w:numId w:val="1"/>
        </w:numPr>
        <w:rPr/>
      </w:pPr>
      <w:r>
        <w:rPr/>
        <w:t>Product Schedule: For carpet[</w:t>
      </w:r>
      <w:r>
        <w:rPr>
          <w:b/>
        </w:rPr>
        <w:t> and carpet cushion</w:t>
      </w:r>
      <w:r>
        <w:rPr/>
        <w:t>]. Use same designations indicated on Drawings.</w:t>
      </w:r>
    </w:p>
    <w:p>
      <w:pPr>
        <w:pStyle w:val="CMT"/>
        <w:rPr/>
      </w:pPr>
      <w:r>
        <w:rPr/>
        <w:t>Retain "Sustainable Product Certification" Paragraph if products certified according to ANSI/NSF 140 are required.</w:t>
      </w:r>
    </w:p>
    <w:p>
      <w:pPr>
        <w:pStyle w:val="PR1"/>
        <w:numPr>
          <w:ilvl w:val="4"/>
          <w:numId w:val="1"/>
        </w:numPr>
        <w:rPr/>
      </w:pPr>
      <w:r>
        <w:rPr/>
        <w:t>Sustainable Product Certification: Provide ANSI/NSF 140 certification for carpet products.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carpet[</w:t>
      </w:r>
      <w:r>
        <w:rPr>
          <w:b/>
        </w:rPr>
        <w:t> and carpet cushion</w:t>
      </w:r>
      <w:r>
        <w:rPr/>
        <w:t>], for tests performed by a qualified testing agency.</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carpet to include in maintenance manuals. Include the following:</w:t>
      </w:r>
    </w:p>
    <w:p>
      <w:pPr>
        <w:pStyle w:val="PR2"/>
        <w:numPr>
          <w:ilvl w:val="5"/>
          <w:numId w:val="1"/>
        </w:numPr>
        <w:spacing w:before="240" w:after="0"/>
        <w:rPr/>
      </w:pPr>
      <w:r>
        <w:rPr/>
        <w:t>Methods for maintaining carpet, including cleaning and stain-removal products and procedures and manufacturer's recommended maintenance schedule.</w:t>
      </w:r>
    </w:p>
    <w:p>
      <w:pPr>
        <w:pStyle w:val="PR2"/>
        <w:numPr>
          <w:ilvl w:val="5"/>
          <w:numId w:val="1"/>
        </w:numPr>
        <w:rPr/>
      </w:pPr>
      <w:r>
        <w:rPr/>
        <w:t>Precautions for cleaning materials and methods that could be detrimental to carpet[</w:t>
      </w:r>
      <w:r>
        <w:rPr>
          <w:b/>
        </w:rPr>
        <w:t> and carpet cushion</w:t>
      </w:r>
      <w:r>
        <w:rPr/>
        <w:t>].</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 run, that match products installed and that are packaged with protective covering for storage and identified with labels describing contents.</w:t>
      </w:r>
    </w:p>
    <w:p>
      <w:pPr>
        <w:pStyle w:val="PR2"/>
        <w:numPr>
          <w:ilvl w:val="5"/>
          <w:numId w:val="1"/>
        </w:numPr>
        <w:spacing w:before="240" w:after="0"/>
        <w:rPr/>
      </w:pPr>
      <w:r>
        <w:rPr/>
        <w:t>Carpet: Full-width rolls equal to [</w:t>
      </w:r>
      <w:r>
        <w:rPr>
          <w:b/>
        </w:rPr>
        <w:t>5</w:t>
      </w:r>
      <w:r>
        <w:rPr/>
        <w:t>] &lt;</w:t>
      </w:r>
      <w:r>
        <w:rPr>
          <w:b/>
        </w:rPr>
        <w:t>Insert number</w:t>
      </w:r>
      <w:r>
        <w:rPr/>
        <w:t xml:space="preserve">&gt; percent of amount installed for each type indicated, but not less than </w:t>
      </w:r>
      <w:r>
        <w:rPr>
          <w:rStyle w:val="IP"/>
        </w:rPr>
        <w:t>10 sq. yd.</w:t>
      </w:r>
      <w:r>
        <w:rPr>
          <w:rStyle w:val="SI"/>
        </w:rPr>
        <w:t xml:space="preserve"> (8.3 sq. m)</w:t>
      </w:r>
      <w:r>
        <w:rPr/>
        <w:t>.</w:t>
      </w:r>
    </w:p>
    <w:p>
      <w:pPr>
        <w:pStyle w:val="ART"/>
        <w:numPr>
          <w:ilvl w:val="3"/>
          <w:numId w:val="1"/>
        </w:numPr>
        <w:ind w:hanging="0" w:left="0"/>
        <w:rPr/>
      </w:pPr>
      <w:r>
        <w:rPr/>
        <w:t>QUALITY ASSURANCE</w:t>
      </w:r>
    </w:p>
    <w:p>
      <w:pPr>
        <w:pStyle w:val="PR1"/>
        <w:numPr>
          <w:ilvl w:val="4"/>
          <w:numId w:val="1"/>
        </w:numPr>
        <w:rPr/>
      </w:pPr>
      <w:r>
        <w:rPr/>
        <w:t>Installer Qualifications: An experienced installer who is certified by the International Certified Floorcovering Installers Association at the [</w:t>
      </w:r>
      <w:r>
        <w:rPr>
          <w:b/>
        </w:rPr>
        <w:t>Commercial II</w:t>
      </w:r>
      <w:r>
        <w:rPr/>
        <w:t>] [</w:t>
      </w:r>
      <w:r>
        <w:rPr>
          <w:b/>
        </w:rPr>
        <w:t>Master II</w:t>
      </w:r>
      <w:r>
        <w:rPr/>
        <w:t>] &lt;</w:t>
      </w:r>
      <w:r>
        <w:rPr>
          <w:b/>
        </w:rPr>
        <w:t>Insert description</w:t>
      </w:r>
      <w:r>
        <w:rPr/>
        <w:t>&gt; certification level.</w:t>
      </w:r>
    </w:p>
    <w:p>
      <w:pPr>
        <w:pStyle w:val="CMT"/>
        <w:rPr/>
      </w:pPr>
      <w:r>
        <w:rPr/>
        <w:t>Indicate area of floors represented by mockups on Drawings or draw mockups as separate elements.</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PR2"/>
        <w:numPr>
          <w:ilvl w:val="5"/>
          <w:numId w:val="1"/>
        </w:numPr>
        <w:spacing w:before="240" w:after="0"/>
        <w:rPr/>
      </w:pPr>
      <w:r>
        <w:rPr/>
        <w:t>Build mockups at locations and in sizes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the Carpet and Rug Institute's CRI 104.</w:t>
      </w:r>
    </w:p>
    <w:p>
      <w:pPr>
        <w:pStyle w:val="PR1"/>
        <w:numPr>
          <w:ilvl w:val="4"/>
          <w:numId w:val="1"/>
        </w:numPr>
        <w:rPr/>
      </w:pPr>
      <w:r>
        <w:rPr/>
        <w:t>Deliver carpet in original mill protective covering with mill register numbers and tags attached.</w:t>
      </w:r>
    </w:p>
    <w:p>
      <w:pPr>
        <w:pStyle w:val="ART"/>
        <w:numPr>
          <w:ilvl w:val="3"/>
          <w:numId w:val="1"/>
        </w:numPr>
        <w:ind w:hanging="0" w:left="0"/>
        <w:rPr/>
      </w:pPr>
      <w:r>
        <w:rPr/>
        <w:t>FIELD CONDITIONS</w:t>
      </w:r>
    </w:p>
    <w:p>
      <w:pPr>
        <w:pStyle w:val="PR1"/>
        <w:numPr>
          <w:ilvl w:val="4"/>
          <w:numId w:val="1"/>
        </w:numPr>
        <w:rPr/>
      </w:pPr>
      <w:r>
        <w:rPr/>
        <w:t>Comply with the Carpet and Rug Institute's CRI 104 for temperature, humidity, and ventilation limitations.</w:t>
      </w:r>
    </w:p>
    <w:p>
      <w:pPr>
        <w:pStyle w:val="PR1"/>
        <w:numPr>
          <w:ilvl w:val="4"/>
          <w:numId w:val="1"/>
        </w:numPr>
        <w:rPr/>
      </w:pPr>
      <w:r>
        <w:rPr/>
        <w:t>Environmental Limitations: Do not deliver or install carpet[</w:t>
      </w:r>
      <w:r>
        <w:rPr>
          <w:b/>
        </w:rPr>
        <w:t> and carpet cushion</w:t>
      </w:r>
      <w:r>
        <w:rPr/>
        <w:t>] until spaces are enclosed and weathertight, wet-work in spaces is complete and dry, and ambient temperature and humidity conditions are maintained at levels planned for building occupants during the remainder of the construction period.</w:t>
      </w:r>
    </w:p>
    <w:p>
      <w:pPr>
        <w:pStyle w:val="CMT"/>
        <w:rPr/>
      </w:pPr>
      <w:r>
        <w:rPr/>
        <w:t>Retain first paragraph below if products are adhesively applied to concrete substrates. Revise to suit Project.</w:t>
      </w:r>
    </w:p>
    <w:p>
      <w:pPr>
        <w:pStyle w:val="PR1"/>
        <w:numPr>
          <w:ilvl w:val="4"/>
          <w:numId w:val="1"/>
        </w:numPr>
        <w:rPr/>
      </w:pPr>
      <w:r>
        <w:rPr/>
        <w:t>Do not install carpet[</w:t>
      </w:r>
      <w:r>
        <w:rPr>
          <w:b/>
        </w:rPr>
        <w:t> and carpet cushion</w:t>
      </w:r>
      <w:r>
        <w:rPr/>
        <w:t>] over concrete slabs until slabs have cured, are sufficiently dry to bond with adhesive, and have pH range recommended by carpet manufacturer.</w:t>
      </w:r>
    </w:p>
    <w:p>
      <w:pPr>
        <w:pStyle w:val="PR1"/>
        <w:numPr>
          <w:ilvl w:val="4"/>
          <w:numId w:val="1"/>
        </w:numPr>
        <w:rPr/>
      </w:pPr>
      <w:r>
        <w:rPr/>
        <w:t>Where demountable partitions or other items are indicated for installation on top of carpet, install carpet before installing these items.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Revise "Special Warranty for Carpet" Paragraph below if manufacturers have separate warranties for various characteristics.</w:t>
      </w:r>
    </w:p>
    <w:p>
      <w:pPr>
        <w:pStyle w:val="PR1"/>
        <w:numPr>
          <w:ilvl w:val="4"/>
          <w:numId w:val="1"/>
        </w:numPr>
        <w:rPr/>
      </w:pPr>
      <w:r>
        <w:rPr/>
        <w:t>Special Warranty for Carpet: Manufacturer agrees to repair or replace components of carpet installation that fail in materials or workmanship within specified warranty period.</w:t>
      </w:r>
    </w:p>
    <w:p>
      <w:pPr>
        <w:pStyle w:val="PR2"/>
        <w:numPr>
          <w:ilvl w:val="5"/>
          <w:numId w:val="1"/>
        </w:numPr>
        <w:spacing w:before="240" w:after="0"/>
        <w:rPr/>
      </w:pPr>
      <w:r>
        <w:rPr/>
        <w:t>Warranty does not include deterioration or failure of carpet due to unusual traffic, failure of substrate, vandalism, or abuse.</w:t>
      </w:r>
    </w:p>
    <w:p>
      <w:pPr>
        <w:pStyle w:val="PR2"/>
        <w:numPr>
          <w:ilvl w:val="5"/>
          <w:numId w:val="1"/>
        </w:numPr>
        <w:rPr/>
      </w:pPr>
      <w:r>
        <w:rPr/>
        <w:t>Failures include, but are not limited to, the following:</w:t>
      </w:r>
    </w:p>
    <w:p>
      <w:pPr>
        <w:pStyle w:val="PR3"/>
        <w:numPr>
          <w:ilvl w:val="6"/>
          <w:numId w:val="1"/>
        </w:numPr>
        <w:spacing w:before="240" w:after="0"/>
        <w:rPr/>
      </w:pPr>
      <w:r>
        <w:rPr/>
        <w:t>More than 10 percent loss of face fiber, edge raveling, snags, and runs.</w:t>
      </w:r>
    </w:p>
    <w:p>
      <w:pPr>
        <w:pStyle w:val="PR3"/>
        <w:numPr>
          <w:ilvl w:val="6"/>
          <w:numId w:val="1"/>
        </w:numPr>
        <w:rPr/>
      </w:pPr>
      <w:r>
        <w:rPr/>
        <w:t>Loss of tuft bind strength.</w:t>
      </w:r>
    </w:p>
    <w:p>
      <w:pPr>
        <w:pStyle w:val="PR3"/>
        <w:numPr>
          <w:ilvl w:val="6"/>
          <w:numId w:val="1"/>
        </w:numPr>
        <w:rPr/>
      </w:pPr>
      <w:r>
        <w:rPr/>
        <w:t>Excess static discharge</w:t>
      </w:r>
      <w:r>
        <w:rPr>
          <w:b/>
        </w:rPr>
        <w:t>.</w:t>
      </w:r>
    </w:p>
    <w:p>
      <w:pPr>
        <w:pStyle w:val="PR3"/>
        <w:numPr>
          <w:ilvl w:val="6"/>
          <w:numId w:val="1"/>
        </w:numPr>
        <w:rPr/>
      </w:pPr>
      <w:r>
        <w:rPr/>
        <w:t>Delamination.</w:t>
      </w:r>
    </w:p>
    <w:p>
      <w:pPr>
        <w:pStyle w:val="PR3"/>
        <w:numPr>
          <w:ilvl w:val="6"/>
          <w:numId w:val="1"/>
        </w:numPr>
        <w:rPr/>
      </w:pPr>
      <w:r>
        <w:rPr/>
        <w:t>&lt;</w:t>
      </w:r>
      <w:r>
        <w:rPr>
          <w:b/>
        </w:rPr>
        <w:t>Insert failure characteristic</w:t>
      </w:r>
      <w:r>
        <w:rPr/>
        <w:t>&gt;.</w:t>
      </w:r>
    </w:p>
    <w:p>
      <w:pPr>
        <w:pStyle w:val="CMT"/>
        <w:rPr/>
      </w:pPr>
      <w:r>
        <w:rPr/>
        <w:t>Verify available warranties and warranty periods for carpet.</w:t>
      </w:r>
    </w:p>
    <w:p>
      <w:pPr>
        <w:pStyle w:val="PR2"/>
        <w:numPr>
          <w:ilvl w:val="5"/>
          <w:numId w:val="1"/>
        </w:numPr>
        <w:spacing w:before="240" w:after="0"/>
        <w:rPr/>
      </w:pPr>
      <w:r>
        <w:rPr/>
        <w:t>Warranty Period: [</w:t>
      </w:r>
      <w:r>
        <w:rPr>
          <w:b/>
        </w:rPr>
        <w:t>10</w:t>
      </w:r>
      <w:r>
        <w:rPr/>
        <w:t>] &lt;</w:t>
      </w:r>
      <w:r>
        <w:rPr>
          <w:b/>
        </w:rPr>
        <w:t>Insert number</w:t>
      </w:r>
      <w:r>
        <w:rPr/>
        <w:t>&gt; years from date of Substantial Completion.</w:t>
      </w:r>
    </w:p>
    <w:p>
      <w:pPr>
        <w:pStyle w:val="PR1"/>
        <w:numPr>
          <w:ilvl w:val="4"/>
          <w:numId w:val="1"/>
        </w:numPr>
        <w:rPr/>
      </w:pPr>
      <w:r>
        <w:rPr/>
        <w:t>Special Warranty for Carpet Cushion: Manufacturer agrees to repair or replace components of carpet cushion installation that fail in materials or workmanship within specified warranty period.</w:t>
      </w:r>
    </w:p>
    <w:p>
      <w:pPr>
        <w:pStyle w:val="PR2"/>
        <w:numPr>
          <w:ilvl w:val="5"/>
          <w:numId w:val="1"/>
        </w:numPr>
        <w:spacing w:before="240" w:after="0"/>
        <w:rPr/>
      </w:pPr>
      <w:r>
        <w:rPr/>
        <w:t>Warranty includes removal and replacement of carpet and accessories required by replacement of carpet cushion.</w:t>
      </w:r>
    </w:p>
    <w:p>
      <w:pPr>
        <w:pStyle w:val="PR2"/>
        <w:numPr>
          <w:ilvl w:val="5"/>
          <w:numId w:val="1"/>
        </w:numPr>
        <w:rPr/>
      </w:pPr>
      <w:r>
        <w:rPr/>
        <w:t>Warranty does not include deterioration or failure of carpet cushion due to unusual traffic, failure of substrate, vandalism, or abuse.</w:t>
      </w:r>
    </w:p>
    <w:p>
      <w:pPr>
        <w:pStyle w:val="PR2"/>
        <w:numPr>
          <w:ilvl w:val="5"/>
          <w:numId w:val="1"/>
        </w:numPr>
        <w:rPr/>
      </w:pPr>
      <w:r>
        <w:rPr/>
        <w:t>Failure includes, but is not limited to, permanent indentation or compression.</w:t>
      </w:r>
    </w:p>
    <w:p>
      <w:pPr>
        <w:pStyle w:val="CMT"/>
        <w:rPr/>
      </w:pPr>
      <w:r>
        <w:rPr/>
        <w:t>Verify available warranties and warranty periods for carpet cushion.</w:t>
      </w:r>
    </w:p>
    <w:p>
      <w:pPr>
        <w:pStyle w:val="PR2"/>
        <w:numPr>
          <w:ilvl w:val="5"/>
          <w:numId w:val="1"/>
        </w:numPr>
        <w:rPr/>
      </w:pPr>
      <w:r>
        <w:rPr/>
        <w:t>Warranty Period: [</w:t>
      </w:r>
      <w:r>
        <w:rPr>
          <w:b/>
        </w:rPr>
        <w:t>10</w:t>
      </w:r>
      <w:r>
        <w:rPr/>
        <w:t>] &lt;</w:t>
      </w:r>
      <w:r>
        <w:rPr>
          <w:b/>
        </w:rPr>
        <w:t>Insert number</w:t>
      </w:r>
      <w:r>
        <w:rPr/>
        <w:t>&gt; years from date of Substantial Completion.</w:t>
      </w:r>
    </w:p>
    <w:p>
      <w:pPr>
        <w:pStyle w:val="CMT"/>
        <w:rPr/>
      </w:pPr>
      <w:r>
        <w:rPr/>
        <w:t>If Installer warranty is available and required, insert here.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TUFTED CARPET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Generally retain "Color" and "Pattern" paragraphs below unless they are described by product designation inserted above.</w:t>
      </w:r>
    </w:p>
    <w:p>
      <w:pPr>
        <w:pStyle w:val="PR1"/>
        <w:numPr>
          <w:ilvl w:val="4"/>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1"/>
        <w:numPr>
          <w:ilvl w:val="4"/>
          <w:numId w:val="1"/>
        </w:numPr>
        <w:rPr/>
      </w:pPr>
      <w:r>
        <w:rPr/>
        <w:t>Pattern: [</w:t>
      </w:r>
      <w:r>
        <w:rPr>
          <w:b/>
        </w:rPr>
        <w:t>Match Architect's samples</w:t>
      </w:r>
      <w:r>
        <w:rPr/>
        <w:t>] &lt;</w:t>
      </w:r>
      <w:r>
        <w:rPr>
          <w:b/>
        </w:rPr>
        <w:t>Insert pattern</w:t>
      </w:r>
      <w:r>
        <w:rPr/>
        <w:t>&gt;.</w:t>
      </w:r>
    </w:p>
    <w:p>
      <w:pPr>
        <w:pStyle w:val="PR1"/>
        <w:numPr>
          <w:ilvl w:val="4"/>
          <w:numId w:val="1"/>
        </w:numPr>
        <w:rPr/>
      </w:pPr>
      <w:r>
        <w:rPr/>
        <w:t>Fiber Content: [</w:t>
      </w:r>
      <w:r>
        <w:rPr>
          <w:b/>
        </w:rPr>
        <w:t>100 percent nylon 6, 6</w:t>
      </w:r>
      <w:r>
        <w:rPr/>
        <w:t>] [</w:t>
      </w:r>
      <w:r>
        <w:rPr>
          <w:b/>
        </w:rPr>
        <w:t>100 percent nylon 6</w:t>
      </w:r>
      <w:r>
        <w:rPr/>
        <w:t>] [</w:t>
      </w:r>
      <w:r>
        <w:rPr>
          <w:b/>
        </w:rPr>
        <w:t>100 percent polypropylene</w:t>
      </w:r>
      <w:r>
        <w:rPr/>
        <w:t>] &lt;</w:t>
      </w:r>
      <w:r>
        <w:rPr>
          <w:b/>
        </w:rPr>
        <w:t>Insert fiber and content by percentage</w:t>
      </w:r>
      <w:r>
        <w:rPr/>
        <w:t>&gt;.</w:t>
      </w:r>
    </w:p>
    <w:p>
      <w:pPr>
        <w:pStyle w:val="CMT"/>
        <w:rPr/>
      </w:pPr>
      <w:r>
        <w:rPr/>
        <w:t>Retain "Fiber Type" Paragraph below and insert proprietary fiber type such as "Antron," "Ultron," or "Zeftron" by INVISTA, Solutia, and Shaw, respectively, if required.</w:t>
      </w:r>
    </w:p>
    <w:p>
      <w:pPr>
        <w:pStyle w:val="PR1"/>
        <w:numPr>
          <w:ilvl w:val="4"/>
          <w:numId w:val="1"/>
        </w:numPr>
        <w:rPr/>
      </w:pPr>
      <w:r>
        <w:rPr/>
        <w:t>Fiber Type: &lt;</w:t>
      </w:r>
      <w:r>
        <w:rPr>
          <w:b/>
        </w:rPr>
        <w:t>Insert proprietary fiber type</w:t>
      </w:r>
      <w:r>
        <w:rPr/>
        <w:t>&gt;.</w:t>
      </w:r>
    </w:p>
    <w:p>
      <w:pPr>
        <w:pStyle w:val="PR1"/>
        <w:numPr>
          <w:ilvl w:val="4"/>
          <w:numId w:val="1"/>
        </w:numPr>
        <w:rPr/>
      </w:pPr>
      <w:r>
        <w:rPr/>
        <w:t>Pile Characteristic: [</w:t>
      </w:r>
      <w:r>
        <w:rPr>
          <w:b/>
        </w:rPr>
        <w:t>Level-loop</w:t>
      </w:r>
      <w:r>
        <w:rPr/>
        <w:t>] [</w:t>
      </w:r>
      <w:r>
        <w:rPr>
          <w:b/>
        </w:rPr>
        <w:t>Cut</w:t>
      </w:r>
      <w:r>
        <w:rPr/>
        <w:t>] [</w:t>
      </w:r>
      <w:r>
        <w:rPr>
          <w:b/>
        </w:rPr>
        <w:t>Cut-and-loop</w:t>
      </w:r>
      <w:r>
        <w:rPr/>
        <w:t>] [</w:t>
      </w:r>
      <w:r>
        <w:rPr>
          <w:b/>
        </w:rPr>
        <w:t>Multilevel-loop</w:t>
      </w:r>
      <w:r>
        <w:rPr/>
        <w:t>] [</w:t>
      </w:r>
      <w:r>
        <w:rPr>
          <w:b/>
        </w:rPr>
        <w:t>Level tip shear</w:t>
      </w:r>
      <w:r>
        <w:rPr/>
        <w:t>] [</w:t>
      </w:r>
      <w:r>
        <w:rPr>
          <w:b/>
        </w:rPr>
        <w:t>Random shear</w:t>
      </w:r>
      <w:r>
        <w:rPr/>
        <w:t>] [</w:t>
      </w:r>
      <w:r>
        <w:rPr>
          <w:b/>
        </w:rPr>
        <w:t>Frieze</w:t>
      </w:r>
      <w:r>
        <w:rPr/>
        <w:t>] [</w:t>
      </w:r>
      <w:r>
        <w:rPr>
          <w:b/>
        </w:rPr>
        <w:t>Sculptured</w:t>
      </w:r>
      <w:r>
        <w:rPr/>
        <w:t>] &lt;</w:t>
      </w:r>
      <w:r>
        <w:rPr>
          <w:b/>
        </w:rPr>
        <w:t>Insert characteristic</w:t>
      </w:r>
      <w:r>
        <w:rPr/>
        <w:t>&gt; pile.</w:t>
      </w:r>
    </w:p>
    <w:p>
      <w:pPr>
        <w:pStyle w:val="PR1"/>
        <w:numPr>
          <w:ilvl w:val="4"/>
          <w:numId w:val="1"/>
        </w:numPr>
        <w:rPr/>
      </w:pPr>
      <w:r>
        <w:rPr/>
        <w:t>Yarn Twist: &lt;</w:t>
      </w:r>
      <w:r>
        <w:rPr>
          <w:b/>
        </w:rPr>
        <w:t xml:space="preserve">Insert twist in </w:t>
      </w:r>
      <w:r>
        <w:rPr>
          <w:rStyle w:val="IP"/>
          <w:b/>
        </w:rPr>
        <w:t>TPI</w:t>
      </w:r>
      <w:r>
        <w:rPr>
          <w:rStyle w:val="SI"/>
          <w:b/>
        </w:rPr>
        <w:t xml:space="preserve"> (TPCM)</w:t>
      </w:r>
      <w:r>
        <w:rPr/>
        <w:t>&gt;.</w:t>
      </w:r>
    </w:p>
    <w:p>
      <w:pPr>
        <w:pStyle w:val="PR1"/>
        <w:numPr>
          <w:ilvl w:val="4"/>
          <w:numId w:val="1"/>
        </w:numPr>
        <w:rPr/>
      </w:pPr>
      <w:r>
        <w:rPr/>
        <w:t>Yarn Count: &lt;</w:t>
      </w:r>
      <w:r>
        <w:rPr>
          <w:b/>
        </w:rPr>
        <w:t>Insert yarn count</w:t>
      </w:r>
      <w:r>
        <w:rPr/>
        <w:t>&gt;.</w:t>
      </w:r>
    </w:p>
    <w:p>
      <w:pPr>
        <w:pStyle w:val="PR1"/>
        <w:numPr>
          <w:ilvl w:val="4"/>
          <w:numId w:val="1"/>
        </w:numPr>
        <w:rPr/>
      </w:pPr>
      <w:r>
        <w:rPr/>
        <w:t>Density: &lt;</w:t>
      </w:r>
      <w:r>
        <w:rPr>
          <w:b/>
        </w:rPr>
        <w:t xml:space="preserve">Insert </w:t>
      </w:r>
      <w:r>
        <w:rPr>
          <w:rStyle w:val="IP"/>
          <w:b/>
        </w:rPr>
        <w:t>oz./cu. yd.</w:t>
      </w:r>
      <w:r>
        <w:rPr>
          <w:rStyle w:val="SI"/>
          <w:b/>
        </w:rPr>
        <w:t xml:space="preserve"> (g/cu. cm)</w:t>
      </w:r>
      <w:r>
        <w:rPr/>
        <w:t>&gt;.</w:t>
      </w:r>
    </w:p>
    <w:p>
      <w:pPr>
        <w:pStyle w:val="CMT"/>
        <w:rPr/>
      </w:pPr>
      <w:r>
        <w:rPr/>
        <w:t>Test method in "Pile Thickness" Paragraph below is applicable only to finished level-loop and cut-pile constructions with tuft heights less than 0.25 inch (6 mm). See the Evaluations for an explanation of pile thickness, pile height, and tuft height.</w:t>
      </w:r>
    </w:p>
    <w:p>
      <w:pPr>
        <w:pStyle w:val="PR1"/>
        <w:numPr>
          <w:ilvl w:val="4"/>
          <w:numId w:val="1"/>
        </w:numPr>
        <w:rPr/>
      </w:pPr>
      <w:r>
        <w:rPr/>
        <w:t>Pile Thickness: &lt;</w:t>
      </w:r>
      <w:r>
        <w:rPr>
          <w:b/>
        </w:rPr>
        <w:t xml:space="preserve">Insert </w:t>
      </w:r>
      <w:r>
        <w:rPr>
          <w:rStyle w:val="IP"/>
          <w:b/>
        </w:rPr>
        <w:t>inches</w:t>
      </w:r>
      <w:r>
        <w:rPr>
          <w:rStyle w:val="SI"/>
          <w:b/>
        </w:rPr>
        <w:t xml:space="preserve"> (mm)</w:t>
      </w:r>
      <w:r>
        <w:rPr/>
        <w:t>&gt; for finished carpet[</w:t>
      </w:r>
      <w:r>
        <w:rPr>
          <w:b/>
        </w:rPr>
        <w:t> according to ASTM D6859</w:t>
      </w:r>
      <w:r>
        <w:rPr/>
        <w:t>].</w:t>
      </w:r>
    </w:p>
    <w:p>
      <w:pPr>
        <w:pStyle w:val="PR1"/>
        <w:numPr>
          <w:ilvl w:val="4"/>
          <w:numId w:val="1"/>
        </w:numPr>
        <w:rPr/>
      </w:pPr>
      <w:r>
        <w:rPr/>
        <w:t>Stitches: &lt;</w:t>
      </w:r>
      <w:r>
        <w:rPr>
          <w:b/>
        </w:rPr>
        <w:t xml:space="preserve">Insert stitches per </w:t>
      </w:r>
      <w:r>
        <w:rPr>
          <w:rStyle w:val="IP"/>
          <w:b/>
        </w:rPr>
        <w:t>inch</w:t>
      </w:r>
      <w:r>
        <w:rPr>
          <w:rStyle w:val="SI"/>
          <w:b/>
        </w:rPr>
        <w:t xml:space="preserve"> (mm)</w:t>
      </w:r>
      <w:r>
        <w:rPr/>
        <w:t>&gt;.</w:t>
      </w:r>
    </w:p>
    <w:p>
      <w:pPr>
        <w:pStyle w:val="PR1"/>
        <w:numPr>
          <w:ilvl w:val="4"/>
          <w:numId w:val="1"/>
        </w:numPr>
        <w:rPr/>
      </w:pPr>
      <w:r>
        <w:rPr/>
        <w:t>Gage: &lt;</w:t>
      </w:r>
      <w:r>
        <w:rPr>
          <w:b/>
        </w:rPr>
        <w:t xml:space="preserve">Insert gage in ends per </w:t>
      </w:r>
      <w:r>
        <w:rPr>
          <w:rStyle w:val="IP"/>
          <w:b/>
        </w:rPr>
        <w:t>inch</w:t>
      </w:r>
      <w:r>
        <w:rPr>
          <w:rStyle w:val="SI"/>
          <w:b/>
        </w:rPr>
        <w:t xml:space="preserve"> (mm)</w:t>
      </w:r>
      <w:r>
        <w:rPr/>
        <w:t>&gt;.</w:t>
      </w:r>
    </w:p>
    <w:p>
      <w:pPr>
        <w:pStyle w:val="CMT"/>
        <w:rPr/>
      </w:pPr>
      <w:r>
        <w:rPr/>
        <w:t>Do not include weight of backings in "Face Weight" Paragraph below.</w:t>
      </w:r>
    </w:p>
    <w:p>
      <w:pPr>
        <w:pStyle w:val="PR1"/>
        <w:numPr>
          <w:ilvl w:val="4"/>
          <w:numId w:val="1"/>
        </w:numPr>
        <w:rPr/>
      </w:pPr>
      <w:r>
        <w:rPr/>
        <w:t>Face Weight: &lt;</w:t>
      </w:r>
      <w:r>
        <w:rPr>
          <w:b/>
        </w:rPr>
        <w:t xml:space="preserve">Insert </w:t>
      </w:r>
      <w:r>
        <w:rPr>
          <w:rStyle w:val="IP"/>
          <w:b/>
        </w:rPr>
        <w:t>oz./sq. yd.</w:t>
      </w:r>
      <w:r>
        <w:rPr>
          <w:rStyle w:val="SI"/>
          <w:b/>
        </w:rPr>
        <w:t xml:space="preserve"> (g/sq. m)</w:t>
      </w:r>
      <w:r>
        <w:rPr/>
        <w:t>&gt;.</w:t>
      </w:r>
    </w:p>
    <w:p>
      <w:pPr>
        <w:pStyle w:val="PR1"/>
        <w:numPr>
          <w:ilvl w:val="4"/>
          <w:numId w:val="1"/>
        </w:numPr>
        <w:rPr/>
      </w:pPr>
      <w:r>
        <w:rPr/>
        <w:t>Total Weight: &lt;</w:t>
      </w:r>
      <w:r>
        <w:rPr>
          <w:b/>
        </w:rPr>
        <w:t xml:space="preserve">Insert </w:t>
      </w:r>
      <w:r>
        <w:rPr>
          <w:rStyle w:val="IP"/>
          <w:b/>
        </w:rPr>
        <w:t>oz./sq. yd.</w:t>
      </w:r>
      <w:r>
        <w:rPr>
          <w:rStyle w:val="SI"/>
          <w:b/>
        </w:rPr>
        <w:t xml:space="preserve"> (g/sq. m)</w:t>
      </w:r>
      <w:r>
        <w:rPr/>
        <w:t>&gt; for finished carpet.</w:t>
      </w:r>
    </w:p>
    <w:p>
      <w:pPr>
        <w:pStyle w:val="CMT"/>
        <w:rPr/>
      </w:pPr>
      <w:r>
        <w:rPr/>
        <w:t>Retain one or more of "Primary Backing," "Secondary Backing," or "Backcoating" paragraphs below if describing backing construction instead of naming a proprietary backing system.</w:t>
      </w:r>
    </w:p>
    <w:p>
      <w:pPr>
        <w:pStyle w:val="PR1"/>
        <w:numPr>
          <w:ilvl w:val="4"/>
          <w:numId w:val="1"/>
        </w:numPr>
        <w:rPr/>
      </w:pPr>
      <w:r>
        <w:rPr/>
        <w:t>Primary Backing: [</w:t>
      </w:r>
      <w:r>
        <w:rPr>
          <w:b/>
        </w:rPr>
        <w:t>Manufacturer's standard material</w:t>
      </w:r>
      <w:r>
        <w:rPr/>
        <w:t>] [</w:t>
      </w:r>
      <w:r>
        <w:rPr>
          <w:b/>
        </w:rPr>
        <w:t>Woven polypropylene</w:t>
      </w:r>
      <w:r>
        <w:rPr/>
        <w:t>] [</w:t>
      </w:r>
      <w:r>
        <w:rPr>
          <w:b/>
        </w:rPr>
        <w:t>Nonwoven, polypropylene or polyester</w:t>
      </w:r>
      <w:r>
        <w:rPr/>
        <w:t>] &lt;</w:t>
      </w:r>
      <w:r>
        <w:rPr>
          <w:b/>
        </w:rPr>
        <w:t>Insert specific primary backing material</w:t>
      </w:r>
      <w:r>
        <w:rPr/>
        <w:t>&gt;.</w:t>
      </w:r>
    </w:p>
    <w:p>
      <w:pPr>
        <w:pStyle w:val="PR1"/>
        <w:numPr>
          <w:ilvl w:val="4"/>
          <w:numId w:val="1"/>
        </w:numPr>
        <w:rPr/>
      </w:pPr>
      <w:r>
        <w:rPr/>
        <w:t>Secondary Backing: [</w:t>
      </w:r>
      <w:r>
        <w:rPr>
          <w:b/>
        </w:rPr>
        <w:t>Manufacturer's standard material</w:t>
      </w:r>
      <w:r>
        <w:rPr/>
        <w:t>] [</w:t>
      </w:r>
      <w:r>
        <w:rPr>
          <w:b/>
        </w:rPr>
        <w:t>Woven polypropylene</w:t>
      </w:r>
      <w:r>
        <w:rPr/>
        <w:t>] [</w:t>
      </w:r>
      <w:r>
        <w:rPr>
          <w:b/>
        </w:rPr>
        <w:t>Nonwoven, polypropylene or polyester</w:t>
      </w:r>
      <w:r>
        <w:rPr/>
        <w:t>] [</w:t>
      </w:r>
      <w:r>
        <w:rPr>
          <w:b/>
        </w:rPr>
        <w:t>Woven jute</w:t>
      </w:r>
      <w:r>
        <w:rPr/>
        <w:t>] [</w:t>
      </w:r>
      <w:r>
        <w:rPr>
          <w:b/>
        </w:rPr>
        <w:t>Fiberglass</w:t>
      </w:r>
      <w:r>
        <w:rPr/>
        <w:t>] &lt;</w:t>
      </w:r>
      <w:r>
        <w:rPr>
          <w:b/>
        </w:rPr>
        <w:t>Insert specific secondary backing material</w:t>
      </w:r>
      <w:r>
        <w:rPr/>
        <w:t>&gt;.</w:t>
      </w:r>
    </w:p>
    <w:p>
      <w:pPr>
        <w:pStyle w:val="PR1"/>
        <w:numPr>
          <w:ilvl w:val="4"/>
          <w:numId w:val="1"/>
        </w:numPr>
        <w:rPr/>
      </w:pPr>
      <w:r>
        <w:rPr/>
        <w:t>Backcoating: [</w:t>
      </w:r>
      <w:r>
        <w:rPr>
          <w:b/>
        </w:rPr>
        <w:t>Manufacturer's standard material</w:t>
      </w:r>
      <w:r>
        <w:rPr/>
        <w:t>] [</w:t>
      </w:r>
      <w:r>
        <w:rPr>
          <w:b/>
        </w:rPr>
        <w:t>SBR latex</w:t>
      </w:r>
      <w:r>
        <w:rPr/>
        <w:t>] [</w:t>
      </w:r>
      <w:r>
        <w:rPr>
          <w:b/>
        </w:rPr>
        <w:t>PVC</w:t>
      </w:r>
      <w:r>
        <w:rPr/>
        <w:t>] [</w:t>
      </w:r>
      <w:r>
        <w:rPr>
          <w:b/>
        </w:rPr>
        <w:t>Thermoplastic copolymer</w:t>
      </w:r>
      <w:r>
        <w:rPr/>
        <w:t>] &lt;</w:t>
      </w:r>
      <w:r>
        <w:rPr>
          <w:b/>
        </w:rPr>
        <w:t>Insert backcoating; consult manufacturers</w:t>
      </w:r>
      <w:r>
        <w:rPr/>
        <w:t>&gt;.</w:t>
      </w:r>
    </w:p>
    <w:p>
      <w:pPr>
        <w:pStyle w:val="CMT"/>
        <w:rPr/>
      </w:pPr>
      <w:r>
        <w:rPr/>
        <w:t>Retain "Backing System" Paragraph below if naming a proprietary backing system, such as "ActionBac" by Propex.</w:t>
      </w:r>
    </w:p>
    <w:p>
      <w:pPr>
        <w:pStyle w:val="PR1"/>
        <w:numPr>
          <w:ilvl w:val="4"/>
          <w:numId w:val="1"/>
        </w:numPr>
        <w:rPr/>
      </w:pPr>
      <w:r>
        <w:rPr/>
        <w:t>Backing System: &lt;</w:t>
      </w:r>
      <w:r>
        <w:rPr>
          <w:b/>
        </w:rPr>
        <w:t>Insert proprietary name</w:t>
      </w:r>
      <w:r>
        <w:rPr/>
        <w:t>&gt;.</w:t>
      </w:r>
    </w:p>
    <w:p>
      <w:pPr>
        <w:pStyle w:val="PR1"/>
        <w:numPr>
          <w:ilvl w:val="4"/>
          <w:numId w:val="1"/>
        </w:numPr>
        <w:rPr/>
      </w:pPr>
      <w:r>
        <w:rPr/>
        <w:t>Roll Width: [</w:t>
      </w:r>
      <w:r>
        <w:rPr>
          <w:rStyle w:val="IP"/>
          <w:b/>
        </w:rPr>
        <w:t>12 feet</w:t>
      </w:r>
      <w:r>
        <w:rPr>
          <w:rStyle w:val="SI"/>
          <w:b/>
        </w:rPr>
        <w:t xml:space="preserve"> (3.7 m)</w:t>
      </w:r>
      <w:r>
        <w:rPr/>
        <w:t>] [</w:t>
      </w:r>
      <w:r>
        <w:rPr>
          <w:rStyle w:val="IP"/>
          <w:b/>
        </w:rPr>
        <w:t>6 feet</w:t>
      </w:r>
      <w:r>
        <w:rPr>
          <w:rStyle w:val="SI"/>
          <w:b/>
        </w:rPr>
        <w:t xml:space="preserve"> (1.8 m)</w:t>
      </w:r>
      <w:r>
        <w:rPr/>
        <w:t>] [</w:t>
      </w:r>
      <w:r>
        <w:rPr>
          <w:rStyle w:val="IP"/>
          <w:b/>
        </w:rPr>
        <w:t>13.5 feet</w:t>
      </w:r>
      <w:r>
        <w:rPr>
          <w:rStyle w:val="SI"/>
          <w:b/>
        </w:rPr>
        <w:t xml:space="preserve"> (4.1 m)</w:t>
      </w:r>
      <w:r>
        <w:rPr/>
        <w:t>] [</w:t>
      </w:r>
      <w:r>
        <w:rPr>
          <w:rStyle w:val="IP"/>
          <w:b/>
        </w:rPr>
        <w:t>15 feet</w:t>
      </w:r>
      <w:r>
        <w:rPr>
          <w:rStyle w:val="SI"/>
          <w:b/>
        </w:rPr>
        <w:t xml:space="preserve"> (4.6 m)</w:t>
      </w:r>
      <w:r>
        <w:rPr/>
        <w:t>] &lt;</w:t>
      </w:r>
      <w:r>
        <w:rPr>
          <w:b/>
        </w:rPr>
        <w:t>Insert dimension</w:t>
      </w:r>
      <w:r>
        <w:rPr/>
        <w:t>&gt;.</w:t>
      </w:r>
    </w:p>
    <w:p>
      <w:pPr>
        <w:pStyle w:val="PR1"/>
        <w:numPr>
          <w:ilvl w:val="4"/>
          <w:numId w:val="1"/>
        </w:numPr>
        <w:rPr/>
      </w:pPr>
      <w:r>
        <w:rPr/>
        <w:t>Applied Treatments:</w:t>
      </w:r>
    </w:p>
    <w:p>
      <w:pPr>
        <w:pStyle w:val="CMT"/>
        <w:rPr/>
      </w:pPr>
      <w:r>
        <w:rPr/>
        <w:t>Retain "Applied Soil-Resistance Treatment" Subparagraph below unless soil resistance is integral to carpet fiber or if soil resistance is not needed for Project; consult manufacturer.</w:t>
      </w:r>
    </w:p>
    <w:p>
      <w:pPr>
        <w:pStyle w:val="PR2"/>
        <w:numPr>
          <w:ilvl w:val="5"/>
          <w:numId w:val="1"/>
        </w:numPr>
        <w:spacing w:before="240" w:after="0"/>
        <w:rPr/>
      </w:pPr>
      <w:r>
        <w:rPr/>
        <w:t>Applied Soil-Resistance Treatment: [</w:t>
      </w:r>
      <w:r>
        <w:rPr>
          <w:b/>
        </w:rPr>
        <w:t>Manufacturer's standard material</w:t>
      </w:r>
      <w:r>
        <w:rPr/>
        <w:t>] &lt;</w:t>
      </w:r>
      <w:r>
        <w:rPr>
          <w:b/>
        </w:rPr>
        <w:t>Insert treatment</w:t>
      </w:r>
      <w:r>
        <w:rPr/>
        <w:t>&gt;.</w:t>
      </w:r>
    </w:p>
    <w:p>
      <w:pPr>
        <w:pStyle w:val="CMT"/>
        <w:rPr/>
      </w:pPr>
      <w:r>
        <w:rPr/>
        <w:t>Retain "Antimicrobial Treatment" Subparagraph below unless antimicrobial treatment is integral to carpet or if antimicrobial treatment is not needed for Project; consult manufacturer.</w:t>
      </w:r>
    </w:p>
    <w:p>
      <w:pPr>
        <w:pStyle w:val="PR2"/>
        <w:numPr>
          <w:ilvl w:val="5"/>
          <w:numId w:val="1"/>
        </w:numPr>
        <w:rPr/>
      </w:pPr>
      <w:r>
        <w:rPr/>
        <w:t>Antimicrobial Treatment: [</w:t>
      </w:r>
      <w:r>
        <w:rPr>
          <w:b/>
        </w:rPr>
        <w:t>Manufacturer's standard material</w:t>
      </w:r>
      <w:r>
        <w:rPr/>
        <w:t>] &lt;</w:t>
      </w:r>
      <w:r>
        <w:rPr>
          <w:b/>
        </w:rPr>
        <w:t>Insert treatment</w:t>
      </w:r>
      <w:r>
        <w:rPr/>
        <w:t>&gt;.</w:t>
      </w:r>
    </w:p>
    <w:p>
      <w:pPr>
        <w:pStyle w:val="PR3"/>
        <w:numPr>
          <w:ilvl w:val="6"/>
          <w:numId w:val="1"/>
        </w:numPr>
        <w:spacing w:before="240" w:after="0"/>
        <w:rPr/>
      </w:pPr>
      <w:r>
        <w:rPr/>
        <w:t>Antimicrobial Activity: Not less than 2-mm halo of inhibition for gram-positive bacteria, not less than 1-mm halo of inhibition for gram-negative bacteria, and no fungal growth, according to AATCC 174.</w:t>
      </w:r>
    </w:p>
    <w:p>
      <w:pPr>
        <w:pStyle w:val="PR1"/>
        <w:numPr>
          <w:ilvl w:val="4"/>
          <w:numId w:val="1"/>
        </w:numPr>
        <w:rPr/>
      </w:pPr>
      <w:r>
        <w:rPr/>
        <w:t>Sustainable Design Requirements:</w:t>
      </w:r>
    </w:p>
    <w:p>
      <w:pPr>
        <w:pStyle w:val="CMT"/>
        <w:rPr/>
      </w:pPr>
      <w:r>
        <w:rPr/>
        <w:t>Retain "Sustainable Product Certification" Subparagraph below if compliance with ANSI/NSF 140 is required. Verify availability of certification with manufacturers.</w:t>
      </w:r>
    </w:p>
    <w:p>
      <w:pPr>
        <w:pStyle w:val="PR2"/>
        <w:numPr>
          <w:ilvl w:val="5"/>
          <w:numId w:val="1"/>
        </w:numPr>
        <w:spacing w:before="240" w:after="0"/>
        <w:rPr/>
      </w:pPr>
      <w:r>
        <w:rPr/>
        <w:t>Sustainable Product Certification: [</w:t>
      </w:r>
      <w:r>
        <w:rPr>
          <w:b/>
        </w:rPr>
        <w:t>Silver</w:t>
      </w:r>
      <w:r>
        <w:rPr/>
        <w:t>] [</w:t>
      </w:r>
      <w:r>
        <w:rPr>
          <w:b/>
        </w:rPr>
        <w:t>Gold</w:t>
      </w:r>
      <w:r>
        <w:rPr/>
        <w:t>] [</w:t>
      </w:r>
      <w:r>
        <w:rPr>
          <w:b/>
        </w:rPr>
        <w:t>Platinum</w:t>
      </w:r>
      <w:r>
        <w:rPr/>
        <w:t>] level certification according to ANSI/NSF 140.</w:t>
      </w:r>
    </w:p>
    <w:p>
      <w:pPr>
        <w:pStyle w:val="PR2"/>
        <w:numPr>
          <w:ilvl w:val="5"/>
          <w:numId w:val="1"/>
        </w:numPr>
        <w:rPr/>
      </w:pPr>
      <w:hyperlink r:id="rId8">
        <w:r>
          <w:rPr>
            <w:rStyle w:val="Hyperlink"/>
          </w:rPr>
          <w:t>&lt;Double click to insert sustainable design text for carpet and cushion.&gt;</w:t>
        </w:r>
      </w:hyperlink>
    </w:p>
    <w:p>
      <w:pPr>
        <w:pStyle w:val="PR1"/>
        <w:numPr>
          <w:ilvl w:val="4"/>
          <w:numId w:val="1"/>
        </w:numPr>
        <w:rPr/>
      </w:pPr>
      <w:r>
        <w:rPr/>
        <w:t>Performance Characteristics:</w:t>
      </w:r>
    </w:p>
    <w:p>
      <w:pPr>
        <w:pStyle w:val="PR2"/>
        <w:numPr>
          <w:ilvl w:val="5"/>
          <w:numId w:val="1"/>
        </w:numPr>
        <w:spacing w:before="240" w:after="0"/>
        <w:rPr/>
      </w:pPr>
      <w:r>
        <w:rPr/>
        <w:t>Appearance Retention Rating: [</w:t>
      </w:r>
      <w:r>
        <w:rPr>
          <w:b/>
        </w:rPr>
        <w:t>Moderate traffic, 2.5</w:t>
      </w:r>
      <w:r>
        <w:rPr/>
        <w:t>] [</w:t>
      </w:r>
      <w:r>
        <w:rPr>
          <w:b/>
        </w:rPr>
        <w:t>Heavy traffic, 3.0</w:t>
      </w:r>
      <w:r>
        <w:rPr/>
        <w:t>] [</w:t>
      </w:r>
      <w:r>
        <w:rPr>
          <w:b/>
        </w:rPr>
        <w:t>Severe traffic, 3.5</w:t>
      </w:r>
      <w:r>
        <w:rPr/>
        <w:t>] &lt;</w:t>
      </w:r>
      <w:r>
        <w:rPr>
          <w:b/>
        </w:rPr>
        <w:t>Insert number</w:t>
      </w:r>
      <w:r>
        <w:rPr/>
        <w:t>&gt; minimum according to ASTM D7330.</w:t>
      </w:r>
    </w:p>
    <w:p>
      <w:pPr>
        <w:pStyle w:val="CMT"/>
        <w:rPr/>
      </w:pPr>
      <w:r>
        <w:rPr/>
        <w:t>Retain or revise "Critical Radiant Flux Classification" Subparagraph below after verifying requirements of authorities having jurisdiction.</w:t>
      </w:r>
    </w:p>
    <w:p>
      <w:pPr>
        <w:pStyle w:val="PR2"/>
        <w:numPr>
          <w:ilvl w:val="5"/>
          <w:numId w:val="1"/>
        </w:numPr>
        <w:rPr/>
      </w:pPr>
      <w:r>
        <w:rPr/>
        <w:t>Critical Radiant Flux Classification: Not less than [</w:t>
      </w:r>
      <w:r>
        <w:rPr>
          <w:b/>
        </w:rPr>
        <w:t>0.45 W/sq. cm</w:t>
      </w:r>
      <w:r>
        <w:rPr/>
        <w:t>] [</w:t>
      </w:r>
      <w:r>
        <w:rPr>
          <w:b/>
        </w:rPr>
        <w:t>0.22 W/sq. cm</w:t>
      </w:r>
      <w:r>
        <w:rPr/>
        <w:t>] according to NFPA 253.</w:t>
      </w:r>
    </w:p>
    <w:p>
      <w:pPr>
        <w:pStyle w:val="PR2"/>
        <w:numPr>
          <w:ilvl w:val="5"/>
          <w:numId w:val="1"/>
        </w:numPr>
        <w:rPr/>
      </w:pPr>
      <w:r>
        <w:rPr/>
        <w:t xml:space="preserve">Dry Breaking Strength: Not less than </w:t>
      </w:r>
      <w:r>
        <w:rPr>
          <w:rStyle w:val="IP"/>
        </w:rPr>
        <w:t>100 lbf</w:t>
      </w:r>
      <w:r>
        <w:rPr>
          <w:rStyle w:val="SI"/>
        </w:rPr>
        <w:t xml:space="preserve"> (445 N)</w:t>
      </w:r>
      <w:r>
        <w:rPr/>
        <w:t xml:space="preserve"> according to ASTM D2646.</w:t>
      </w:r>
    </w:p>
    <w:p>
      <w:pPr>
        <w:pStyle w:val="CMT"/>
        <w:rPr/>
      </w:pPr>
      <w:r>
        <w:rPr/>
        <w:t>First and second options in "Tuft Bind" Subparagraph below are HUD-recommended minimums for cut pile and loop pile, respectively, according to its "Use of Materials Bulletin No. 44d." Third option is minimum average recommended by the Carpet and Rug Institute for school carpet with backing other than unitary backing. INVISTA recommends 5 lbf (22 N) for cut pile and 10 lbf (45 N) for loop pile. More than 5 lbf (22 N) for cut pile and 10 lbf (45 N) for loop pile may be required for high-frequency traffic locations.</w:t>
      </w:r>
    </w:p>
    <w:p>
      <w:pPr>
        <w:pStyle w:val="PR2"/>
        <w:numPr>
          <w:ilvl w:val="5"/>
          <w:numId w:val="1"/>
        </w:numPr>
        <w:rPr/>
      </w:pPr>
      <w:r>
        <w:rPr/>
        <w:t>Tuft Bind: Not less than [</w:t>
      </w:r>
      <w:r>
        <w:rPr>
          <w:rStyle w:val="IP"/>
          <w:b/>
        </w:rPr>
        <w:t>3 lbf</w:t>
      </w:r>
      <w:r>
        <w:rPr>
          <w:rStyle w:val="SI"/>
          <w:b/>
        </w:rPr>
        <w:t xml:space="preserve"> (13 N)</w:t>
      </w:r>
      <w:r>
        <w:rPr/>
        <w:t>] [</w:t>
      </w:r>
      <w:r>
        <w:rPr>
          <w:rStyle w:val="IP"/>
          <w:b/>
        </w:rPr>
        <w:t>5 lbf</w:t>
      </w:r>
      <w:r>
        <w:rPr>
          <w:rStyle w:val="SI"/>
          <w:b/>
        </w:rPr>
        <w:t xml:space="preserve"> (22 N)</w:t>
      </w:r>
      <w:r>
        <w:rPr/>
        <w:t>] [</w:t>
      </w:r>
      <w:r>
        <w:rPr>
          <w:rStyle w:val="IP"/>
          <w:b/>
        </w:rPr>
        <w:t>6.2 lbf</w:t>
      </w:r>
      <w:r>
        <w:rPr>
          <w:rStyle w:val="SI"/>
          <w:b/>
        </w:rPr>
        <w:t xml:space="preserve"> (28 N)</w:t>
      </w:r>
      <w:r>
        <w:rPr/>
        <w:t>] [</w:t>
      </w:r>
      <w:r>
        <w:rPr>
          <w:rStyle w:val="IP"/>
          <w:b/>
        </w:rPr>
        <w:t>8 lbf</w:t>
      </w:r>
      <w:r>
        <w:rPr>
          <w:rStyle w:val="SI"/>
          <w:b/>
        </w:rPr>
        <w:t xml:space="preserve"> (36 N)</w:t>
      </w:r>
      <w:r>
        <w:rPr/>
        <w:t>] [</w:t>
      </w:r>
      <w:r>
        <w:rPr>
          <w:rStyle w:val="IP"/>
          <w:b/>
        </w:rPr>
        <w:t>10 lbf</w:t>
      </w:r>
      <w:r>
        <w:rPr>
          <w:rStyle w:val="SI"/>
          <w:b/>
        </w:rPr>
        <w:t xml:space="preserve"> (45 N)</w:t>
      </w:r>
      <w:r>
        <w:rPr/>
        <w:t>] &lt;</w:t>
      </w:r>
      <w:r>
        <w:rPr>
          <w:b/>
        </w:rPr>
        <w:t>Insert value</w:t>
      </w:r>
      <w:r>
        <w:rPr/>
        <w:t>&gt; according to ASTM D1335.</w:t>
      </w:r>
    </w:p>
    <w:p>
      <w:pPr>
        <w:pStyle w:val="CMT"/>
        <w:rPr/>
      </w:pPr>
      <w:r>
        <w:rPr/>
        <w:t>Retain "Delamination" Subparagraph below if carpet has secondary backing. First option is HUD-recommended minimum for carpet according to its "Use of Materials Bulletin No. 44d." Second option is recommended by the Carpet and Rug Institute for carpet with primary and secondary backing installed in schools. Third option is required by GSA according to its "Technical Requirements Booklet for Carpet, Carpet Tiles and Carpet Cushion FSC Group 72, Part I, Section A."</w:t>
      </w:r>
    </w:p>
    <w:p>
      <w:pPr>
        <w:pStyle w:val="PR2"/>
        <w:numPr>
          <w:ilvl w:val="5"/>
          <w:numId w:val="1"/>
        </w:numPr>
        <w:rPr/>
      </w:pPr>
      <w:r>
        <w:rPr/>
        <w:t>Delamination: Not less than [</w:t>
      </w:r>
      <w:r>
        <w:rPr>
          <w:rStyle w:val="IP"/>
          <w:b/>
        </w:rPr>
        <w:t>2.5 lbf/in.</w:t>
      </w:r>
      <w:r>
        <w:rPr>
          <w:rStyle w:val="SI"/>
          <w:b/>
        </w:rPr>
        <w:t xml:space="preserve"> (0.4 N/mm)</w:t>
      </w:r>
      <w:r>
        <w:rPr/>
        <w:t>] [</w:t>
      </w:r>
      <w:r>
        <w:rPr>
          <w:rStyle w:val="IP"/>
          <w:b/>
        </w:rPr>
        <w:t>3.5 lbf/in.</w:t>
      </w:r>
      <w:r>
        <w:rPr>
          <w:rStyle w:val="SI"/>
          <w:b/>
        </w:rPr>
        <w:t xml:space="preserve"> (0.6 N/mm)</w:t>
      </w:r>
      <w:r>
        <w:rPr/>
        <w:t>] [</w:t>
      </w:r>
      <w:r>
        <w:rPr>
          <w:rStyle w:val="IP"/>
          <w:b/>
        </w:rPr>
        <w:t>4 lbf/in.</w:t>
      </w:r>
      <w:r>
        <w:rPr>
          <w:rStyle w:val="SI"/>
          <w:b/>
        </w:rPr>
        <w:t xml:space="preserve"> (.07 N/mm)</w:t>
      </w:r>
      <w:r>
        <w:rPr/>
        <w:t>] &lt;</w:t>
      </w:r>
      <w:r>
        <w:rPr>
          <w:b/>
        </w:rPr>
        <w:t>Insert value</w:t>
      </w:r>
      <w:r>
        <w:rPr/>
        <w:t>&gt; according to ASTM D3936.</w:t>
      </w:r>
    </w:p>
    <w:p>
      <w:pPr>
        <w:pStyle w:val="CMT"/>
        <w:rPr/>
      </w:pPr>
      <w:r>
        <w:rPr/>
        <w:t>Retain "Noise Reduction Coefficient (NRC)" Subparagraph below if required. Revise if Impact Insulation Class is available and is required to suit Project.</w:t>
      </w:r>
    </w:p>
    <w:p>
      <w:pPr>
        <w:pStyle w:val="PR2"/>
        <w:numPr>
          <w:ilvl w:val="5"/>
          <w:numId w:val="1"/>
        </w:numPr>
        <w:rPr/>
      </w:pPr>
      <w:r>
        <w:rPr/>
        <w:t>Noise Reduction Coefficient (NRC): &lt;</w:t>
      </w:r>
      <w:r>
        <w:rPr>
          <w:b/>
        </w:rPr>
        <w:t>Insert NRC</w:t>
      </w:r>
      <w:r>
        <w:rPr/>
        <w:t>&gt; according to ASTM C423.</w:t>
      </w:r>
    </w:p>
    <w:p>
      <w:pPr>
        <w:pStyle w:val="PR2"/>
        <w:numPr>
          <w:ilvl w:val="5"/>
          <w:numId w:val="1"/>
        </w:numPr>
        <w:rPr/>
      </w:pPr>
      <w:r>
        <w:rPr/>
        <w:t>Colorfastness to Crocking: Not less than 4, wet and dry, according to AATCC 165.</w:t>
      </w:r>
    </w:p>
    <w:p>
      <w:pPr>
        <w:pStyle w:val="CMT"/>
        <w:rPr/>
      </w:pPr>
      <w:r>
        <w:rPr/>
        <w:t>First option in "Colorfastness to Light" Subparagraph below is minimum recommended by the Carpet and Rug Institute for carpet for general use; second option is for carpet installed in schools.</w:t>
      </w:r>
    </w:p>
    <w:p>
      <w:pPr>
        <w:pStyle w:val="PR2"/>
        <w:numPr>
          <w:ilvl w:val="5"/>
          <w:numId w:val="1"/>
        </w:numPr>
        <w:rPr/>
      </w:pPr>
      <w:r>
        <w:rPr/>
        <w:t>Colorfastness to Light: Not less than 4 after [</w:t>
      </w:r>
      <w:r>
        <w:rPr>
          <w:b/>
        </w:rPr>
        <w:t>40</w:t>
      </w:r>
      <w:r>
        <w:rPr/>
        <w:t>] [</w:t>
      </w:r>
      <w:r>
        <w:rPr>
          <w:b/>
        </w:rPr>
        <w:t>60</w:t>
      </w:r>
      <w:r>
        <w:rPr/>
        <w:t>] &lt;</w:t>
      </w:r>
      <w:r>
        <w:rPr>
          <w:b/>
        </w:rPr>
        <w:t>Insert number</w:t>
      </w:r>
      <w:r>
        <w:rPr/>
        <w:t>&gt; AFU (AATCC fading units) according to AATCC 16, Option E.</w:t>
      </w:r>
    </w:p>
    <w:p>
      <w:pPr>
        <w:pStyle w:val="CMT"/>
        <w:rPr/>
      </w:pPr>
      <w:r>
        <w:rPr/>
        <w:t>First option in "Electrostatic Propensity" Subparagraph below is typical for commercial carpet for general use; second option may be available for greater static control.</w:t>
      </w:r>
    </w:p>
    <w:p>
      <w:pPr>
        <w:pStyle w:val="PR2"/>
        <w:numPr>
          <w:ilvl w:val="5"/>
          <w:numId w:val="1"/>
        </w:numPr>
        <w:rPr/>
      </w:pPr>
      <w:r>
        <w:rPr/>
        <w:t>Electrostatic Propensity: Less than [</w:t>
      </w:r>
      <w:r>
        <w:rPr>
          <w:b/>
        </w:rPr>
        <w:t>3.5</w:t>
      </w:r>
      <w:r>
        <w:rPr/>
        <w:t>] [</w:t>
      </w:r>
      <w:r>
        <w:rPr>
          <w:b/>
        </w:rPr>
        <w:t>2</w:t>
      </w:r>
      <w:r>
        <w:rPr/>
        <w:t>] &lt;</w:t>
      </w:r>
      <w:r>
        <w:rPr>
          <w:b/>
        </w:rPr>
        <w:t>Insert number</w:t>
      </w:r>
      <w:r>
        <w:rPr/>
        <w:t>&gt; kV according to AATCC 134.</w:t>
      </w:r>
    </w:p>
    <w:p>
      <w:pPr>
        <w:pStyle w:val="CMT"/>
        <w:rPr/>
      </w:pPr>
      <w:r>
        <w:rPr/>
        <w:t>Insert other performance characteristics to suit Project, such as smoke density, texture retention, or additional colorfastness characteristics.</w:t>
      </w:r>
    </w:p>
    <w:p>
      <w:pPr>
        <w:pStyle w:val="ART"/>
        <w:numPr>
          <w:ilvl w:val="3"/>
          <w:numId w:val="1"/>
        </w:numPr>
        <w:ind w:hanging="0" w:left="0"/>
        <w:rPr/>
      </w:pPr>
      <w:r>
        <w:rPr/>
        <w:t>WOVEN CARPET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Generally retain "Color" and "Pattern" paragraphs below unless they are described by product designation inserted above.</w:t>
      </w:r>
    </w:p>
    <w:p>
      <w:pPr>
        <w:pStyle w:val="PR1"/>
        <w:numPr>
          <w:ilvl w:val="4"/>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1"/>
        <w:numPr>
          <w:ilvl w:val="4"/>
          <w:numId w:val="1"/>
        </w:numPr>
        <w:rPr/>
      </w:pPr>
      <w:r>
        <w:rPr/>
        <w:t>Pattern: [</w:t>
      </w:r>
      <w:r>
        <w:rPr>
          <w:b/>
        </w:rPr>
        <w:t>Match Architect's samples</w:t>
      </w:r>
      <w:r>
        <w:rPr/>
        <w:t>] &lt;</w:t>
      </w:r>
      <w:r>
        <w:rPr>
          <w:b/>
        </w:rPr>
        <w:t>Insert pattern</w:t>
      </w:r>
      <w:r>
        <w:rPr/>
        <w:t>&gt;.</w:t>
      </w:r>
    </w:p>
    <w:p>
      <w:pPr>
        <w:pStyle w:val="PR1"/>
        <w:numPr>
          <w:ilvl w:val="4"/>
          <w:numId w:val="1"/>
        </w:numPr>
        <w:rPr/>
      </w:pPr>
      <w:r>
        <w:rPr/>
        <w:t>Fiber Content: [</w:t>
      </w:r>
      <w:r>
        <w:rPr>
          <w:b/>
        </w:rPr>
        <w:t>100 percent wool</w:t>
      </w:r>
      <w:r>
        <w:rPr/>
        <w:t>] [</w:t>
      </w:r>
      <w:r>
        <w:rPr>
          <w:b/>
        </w:rPr>
        <w:t>80 percent wool; 20 percent nylon 6, 6</w:t>
      </w:r>
      <w:r>
        <w:rPr/>
        <w:t>] [</w:t>
      </w:r>
      <w:r>
        <w:rPr>
          <w:b/>
        </w:rPr>
        <w:t>80 percent wool; 20 percent nylon 6</w:t>
      </w:r>
      <w:r>
        <w:rPr/>
        <w:t>] &lt;</w:t>
      </w:r>
      <w:r>
        <w:rPr>
          <w:b/>
        </w:rPr>
        <w:t>Insert fiber and content by percentage</w:t>
      </w:r>
      <w:r>
        <w:rPr/>
        <w:t>&gt;.</w:t>
      </w:r>
    </w:p>
    <w:p>
      <w:pPr>
        <w:pStyle w:val="PR1"/>
        <w:numPr>
          <w:ilvl w:val="4"/>
          <w:numId w:val="1"/>
        </w:numPr>
        <w:rPr/>
      </w:pPr>
      <w:r>
        <w:rPr/>
        <w:t>Face Construction: [</w:t>
      </w:r>
      <w:r>
        <w:rPr>
          <w:b/>
        </w:rPr>
        <w:t>Axminster</w:t>
      </w:r>
      <w:r>
        <w:rPr/>
        <w:t>] [</w:t>
      </w:r>
      <w:r>
        <w:rPr>
          <w:b/>
        </w:rPr>
        <w:t>Wilton</w:t>
      </w:r>
      <w:r>
        <w:rPr/>
        <w:t>] [</w:t>
      </w:r>
      <w:r>
        <w:rPr>
          <w:b/>
        </w:rPr>
        <w:t>Velvet</w:t>
      </w:r>
      <w:r>
        <w:rPr/>
        <w:t>] &lt;</w:t>
      </w:r>
      <w:r>
        <w:rPr>
          <w:b/>
        </w:rPr>
        <w:t>Insert construction</w:t>
      </w:r>
      <w:r>
        <w:rPr/>
        <w:t>&gt;.</w:t>
      </w:r>
    </w:p>
    <w:p>
      <w:pPr>
        <w:pStyle w:val="PR1"/>
        <w:numPr>
          <w:ilvl w:val="4"/>
          <w:numId w:val="1"/>
        </w:numPr>
        <w:rPr/>
      </w:pPr>
      <w:r>
        <w:rPr/>
        <w:t>Pile Characteristic: [</w:t>
      </w:r>
      <w:r>
        <w:rPr>
          <w:b/>
        </w:rPr>
        <w:t>Level-loop</w:t>
      </w:r>
      <w:r>
        <w:rPr/>
        <w:t>] [</w:t>
      </w:r>
      <w:r>
        <w:rPr>
          <w:b/>
        </w:rPr>
        <w:t>Cut</w:t>
      </w:r>
      <w:r>
        <w:rPr/>
        <w:t>] [</w:t>
      </w:r>
      <w:r>
        <w:rPr>
          <w:b/>
        </w:rPr>
        <w:t>Cut-and-loop</w:t>
      </w:r>
      <w:r>
        <w:rPr/>
        <w:t>] pile.</w:t>
      </w:r>
    </w:p>
    <w:p>
      <w:pPr>
        <w:pStyle w:val="PR1"/>
        <w:numPr>
          <w:ilvl w:val="4"/>
          <w:numId w:val="1"/>
        </w:numPr>
        <w:rPr/>
      </w:pPr>
      <w:r>
        <w:rPr/>
        <w:t>Yarn Twist: &lt;</w:t>
      </w:r>
      <w:r>
        <w:rPr>
          <w:b/>
        </w:rPr>
        <w:t xml:space="preserve">Insert twist in </w:t>
      </w:r>
      <w:r>
        <w:rPr>
          <w:rStyle w:val="IP"/>
          <w:b/>
        </w:rPr>
        <w:t>TPI</w:t>
      </w:r>
      <w:r>
        <w:rPr>
          <w:rStyle w:val="SI"/>
          <w:b/>
        </w:rPr>
        <w:t xml:space="preserve"> (TPCM)</w:t>
      </w:r>
      <w:r>
        <w:rPr/>
        <w:t>&gt;.</w:t>
      </w:r>
    </w:p>
    <w:p>
      <w:pPr>
        <w:pStyle w:val="PR1"/>
        <w:numPr>
          <w:ilvl w:val="4"/>
          <w:numId w:val="1"/>
        </w:numPr>
        <w:rPr/>
      </w:pPr>
      <w:r>
        <w:rPr/>
        <w:t>Yarn Count: &lt;</w:t>
      </w:r>
      <w:r>
        <w:rPr>
          <w:b/>
        </w:rPr>
        <w:t>Insert yarn count</w:t>
      </w:r>
      <w:r>
        <w:rPr/>
        <w:t>&gt;.</w:t>
      </w:r>
    </w:p>
    <w:p>
      <w:pPr>
        <w:pStyle w:val="PR1"/>
        <w:numPr>
          <w:ilvl w:val="4"/>
          <w:numId w:val="1"/>
        </w:numPr>
        <w:rPr/>
      </w:pPr>
      <w:r>
        <w:rPr/>
        <w:t>Density: &lt;</w:t>
      </w:r>
      <w:r>
        <w:rPr>
          <w:b/>
        </w:rPr>
        <w:t xml:space="preserve">Insert </w:t>
      </w:r>
      <w:r>
        <w:rPr>
          <w:rStyle w:val="IP"/>
          <w:b/>
        </w:rPr>
        <w:t>oz./cu. yd.</w:t>
      </w:r>
      <w:r>
        <w:rPr>
          <w:rStyle w:val="SI"/>
          <w:b/>
        </w:rPr>
        <w:t xml:space="preserve"> (g/cu. cm)</w:t>
      </w:r>
      <w:r>
        <w:rPr/>
        <w:t>&gt;.</w:t>
      </w:r>
    </w:p>
    <w:p>
      <w:pPr>
        <w:pStyle w:val="CMT"/>
        <w:rPr/>
      </w:pPr>
      <w:r>
        <w:rPr/>
        <w:t>Test method in "Pile Thickness" Paragraph below is applicable only to finished level-loop and cut-pile constructions with tuft heights less than 0.25 inch (6 mm). See the Evaluations for an explanation of pile thickness, pile height, and tuft height.</w:t>
      </w:r>
    </w:p>
    <w:p>
      <w:pPr>
        <w:pStyle w:val="PR1"/>
        <w:numPr>
          <w:ilvl w:val="4"/>
          <w:numId w:val="1"/>
        </w:numPr>
        <w:rPr/>
      </w:pPr>
      <w:r>
        <w:rPr/>
        <w:t>Pile Thickness: &lt;</w:t>
      </w:r>
      <w:r>
        <w:rPr>
          <w:b/>
        </w:rPr>
        <w:t xml:space="preserve">Insert </w:t>
      </w:r>
      <w:r>
        <w:rPr>
          <w:rStyle w:val="IP"/>
          <w:b/>
        </w:rPr>
        <w:t>inches</w:t>
      </w:r>
      <w:r>
        <w:rPr>
          <w:rStyle w:val="SI"/>
          <w:b/>
        </w:rPr>
        <w:t xml:space="preserve"> (mm)</w:t>
      </w:r>
      <w:r>
        <w:rPr/>
        <w:t>&gt; for finished carpet[</w:t>
      </w:r>
      <w:r>
        <w:rPr>
          <w:b/>
        </w:rPr>
        <w:t> according to ASTM D6859</w:t>
      </w:r>
      <w:r>
        <w:rPr/>
        <w:t>].</w:t>
      </w:r>
    </w:p>
    <w:p>
      <w:pPr>
        <w:pStyle w:val="PR1"/>
        <w:numPr>
          <w:ilvl w:val="4"/>
          <w:numId w:val="1"/>
        </w:numPr>
        <w:rPr/>
      </w:pPr>
      <w:r>
        <w:rPr/>
        <w:t>Rows: &lt;</w:t>
      </w:r>
      <w:r>
        <w:rPr>
          <w:b/>
        </w:rPr>
        <w:t xml:space="preserve">Insert number of lengthwise tufts per </w:t>
      </w:r>
      <w:r>
        <w:rPr>
          <w:rStyle w:val="IP"/>
          <w:b/>
        </w:rPr>
        <w:t>inch</w:t>
      </w:r>
      <w:r>
        <w:rPr>
          <w:rStyle w:val="SI"/>
          <w:b/>
        </w:rPr>
        <w:t xml:space="preserve"> (mm)</w:t>
      </w:r>
      <w:r>
        <w:rPr/>
        <w:t>&gt;.</w:t>
      </w:r>
    </w:p>
    <w:p>
      <w:pPr>
        <w:pStyle w:val="PR1"/>
        <w:numPr>
          <w:ilvl w:val="4"/>
          <w:numId w:val="1"/>
        </w:numPr>
        <w:rPr/>
      </w:pPr>
      <w:r>
        <w:rPr/>
        <w:t>Pitch: &lt;</w:t>
      </w:r>
      <w:r>
        <w:rPr>
          <w:b/>
        </w:rPr>
        <w:t xml:space="preserve">Insert number of rows in </w:t>
      </w:r>
      <w:r>
        <w:rPr>
          <w:rStyle w:val="IP"/>
          <w:b/>
        </w:rPr>
        <w:t>27 inches</w:t>
      </w:r>
      <w:r>
        <w:rPr>
          <w:rStyle w:val="SI"/>
          <w:b/>
        </w:rPr>
        <w:t xml:space="preserve"> (686 mm)</w:t>
      </w:r>
      <w:r>
        <w:rPr/>
        <w:t>&gt;.</w:t>
      </w:r>
    </w:p>
    <w:p>
      <w:pPr>
        <w:pStyle w:val="CMT"/>
        <w:rPr/>
      </w:pPr>
      <w:r>
        <w:rPr/>
        <w:t>Do not include weight of backings in "Face Weight" Paragraph below.</w:t>
      </w:r>
    </w:p>
    <w:p>
      <w:pPr>
        <w:pStyle w:val="PR1"/>
        <w:numPr>
          <w:ilvl w:val="4"/>
          <w:numId w:val="1"/>
        </w:numPr>
        <w:rPr/>
      </w:pPr>
      <w:r>
        <w:rPr/>
        <w:t>Face Weight: &lt;</w:t>
      </w:r>
      <w:r>
        <w:rPr>
          <w:b/>
        </w:rPr>
        <w:t xml:space="preserve">Insert </w:t>
      </w:r>
      <w:r>
        <w:rPr>
          <w:rStyle w:val="IP"/>
          <w:b/>
        </w:rPr>
        <w:t>oz./sq. yd.</w:t>
      </w:r>
      <w:r>
        <w:rPr>
          <w:rStyle w:val="SI"/>
          <w:b/>
        </w:rPr>
        <w:t xml:space="preserve"> (g/sq. m)</w:t>
      </w:r>
      <w:r>
        <w:rPr/>
        <w:t>&gt;.</w:t>
      </w:r>
    </w:p>
    <w:p>
      <w:pPr>
        <w:pStyle w:val="PR1"/>
        <w:numPr>
          <w:ilvl w:val="4"/>
          <w:numId w:val="1"/>
        </w:numPr>
        <w:rPr/>
      </w:pPr>
      <w:r>
        <w:rPr/>
        <w:t>Total Weight: &lt;</w:t>
      </w:r>
      <w:r>
        <w:rPr>
          <w:b/>
        </w:rPr>
        <w:t xml:space="preserve">Insert </w:t>
      </w:r>
      <w:r>
        <w:rPr>
          <w:rStyle w:val="IP"/>
          <w:b/>
        </w:rPr>
        <w:t>oz./sq. yd.</w:t>
      </w:r>
      <w:r>
        <w:rPr>
          <w:rStyle w:val="SI"/>
          <w:b/>
        </w:rPr>
        <w:t xml:space="preserve"> (g/sq. m)</w:t>
      </w:r>
      <w:r>
        <w:rPr/>
        <w:t>&gt; for finished carpet.</w:t>
      </w:r>
    </w:p>
    <w:p>
      <w:pPr>
        <w:pStyle w:val="PR1"/>
        <w:numPr>
          <w:ilvl w:val="4"/>
          <w:numId w:val="1"/>
        </w:numPr>
        <w:rPr/>
      </w:pPr>
      <w:r>
        <w:rPr/>
        <w:t>Backing: [</w:t>
      </w:r>
      <w:r>
        <w:rPr>
          <w:b/>
        </w:rPr>
        <w:t>Manufacturer's standard.</w:t>
      </w:r>
      <w:r>
        <w:rPr/>
        <w:t>] [</w:t>
      </w:r>
      <w:r>
        <w:rPr>
          <w:b/>
        </w:rPr>
        <w:t>As follows:</w:t>
      </w:r>
      <w:r>
        <w:rPr/>
        <w:t>]</w:t>
      </w:r>
    </w:p>
    <w:p>
      <w:pPr>
        <w:pStyle w:val="CMT"/>
        <w:rPr/>
      </w:pPr>
      <w:r>
        <w:rPr/>
        <w:t>Retain "Chain Warp," "Stuffer Warp," "Shot or Fill Weft," and "Backcoating" subparagraphs below if retaining second option in "Backing" Paragraph above; consult manufacturer.</w:t>
      </w:r>
    </w:p>
    <w:p>
      <w:pPr>
        <w:pStyle w:val="PR2"/>
        <w:numPr>
          <w:ilvl w:val="5"/>
          <w:numId w:val="1"/>
        </w:numPr>
        <w:spacing w:before="240" w:after="0"/>
        <w:rPr/>
      </w:pPr>
      <w:r>
        <w:rPr/>
        <w:t>Chain Warp: &lt;</w:t>
      </w:r>
      <w:r>
        <w:rPr>
          <w:b/>
        </w:rPr>
        <w:t>Insert material</w:t>
      </w:r>
      <w:r>
        <w:rPr/>
        <w:t>&gt;.</w:t>
      </w:r>
    </w:p>
    <w:p>
      <w:pPr>
        <w:pStyle w:val="PR2"/>
        <w:numPr>
          <w:ilvl w:val="5"/>
          <w:numId w:val="1"/>
        </w:numPr>
        <w:rPr/>
      </w:pPr>
      <w:r>
        <w:rPr/>
        <w:t>Stuffer Warp: &lt;</w:t>
      </w:r>
      <w:r>
        <w:rPr>
          <w:b/>
        </w:rPr>
        <w:t>Insert material</w:t>
      </w:r>
      <w:r>
        <w:rPr/>
        <w:t>&gt;.</w:t>
      </w:r>
    </w:p>
    <w:p>
      <w:pPr>
        <w:pStyle w:val="PR2"/>
        <w:numPr>
          <w:ilvl w:val="5"/>
          <w:numId w:val="1"/>
        </w:numPr>
        <w:rPr/>
      </w:pPr>
      <w:r>
        <w:rPr/>
        <w:t>Shot or Fill Weft: &lt;</w:t>
      </w:r>
      <w:r>
        <w:rPr>
          <w:b/>
        </w:rPr>
        <w:t>Insert material</w:t>
      </w:r>
      <w:r>
        <w:rPr/>
        <w:t>&gt;.</w:t>
      </w:r>
    </w:p>
    <w:p>
      <w:pPr>
        <w:pStyle w:val="PR2"/>
        <w:numPr>
          <w:ilvl w:val="5"/>
          <w:numId w:val="1"/>
        </w:numPr>
        <w:rPr/>
      </w:pPr>
      <w:r>
        <w:rPr/>
        <w:t>Backcoating: &lt;</w:t>
      </w:r>
      <w:r>
        <w:rPr>
          <w:b/>
        </w:rPr>
        <w:t>Insert backcoating</w:t>
      </w:r>
      <w:r>
        <w:rPr/>
        <w:t>&gt;.</w:t>
      </w:r>
    </w:p>
    <w:p>
      <w:pPr>
        <w:pStyle w:val="PR1"/>
        <w:numPr>
          <w:ilvl w:val="4"/>
          <w:numId w:val="1"/>
        </w:numPr>
        <w:rPr/>
      </w:pPr>
      <w:r>
        <w:rPr/>
        <w:t>Applied Treatments:</w:t>
      </w:r>
    </w:p>
    <w:p>
      <w:pPr>
        <w:pStyle w:val="CMT"/>
        <w:rPr/>
      </w:pPr>
      <w:r>
        <w:rPr/>
        <w:t>Retain "Applied Soil-Resistance Treatment" Subparagraph below unless soil resistance is integral to carpet fiber or if soil resistance is not needed for Project; consult manufacturer.</w:t>
      </w:r>
    </w:p>
    <w:p>
      <w:pPr>
        <w:pStyle w:val="PR2"/>
        <w:numPr>
          <w:ilvl w:val="5"/>
          <w:numId w:val="1"/>
        </w:numPr>
        <w:spacing w:before="240" w:after="0"/>
        <w:rPr/>
      </w:pPr>
      <w:r>
        <w:rPr/>
        <w:t>Applied Soil-Resistance Treatment: [</w:t>
      </w:r>
      <w:r>
        <w:rPr>
          <w:b/>
        </w:rPr>
        <w:t>Manufacturer's standard material</w:t>
      </w:r>
      <w:r>
        <w:rPr/>
        <w:t>] &lt;</w:t>
      </w:r>
      <w:r>
        <w:rPr>
          <w:b/>
        </w:rPr>
        <w:t>Insert treatment</w:t>
      </w:r>
      <w:r>
        <w:rPr/>
        <w:t>&gt;.</w:t>
      </w:r>
    </w:p>
    <w:p>
      <w:pPr>
        <w:pStyle w:val="CMT"/>
        <w:rPr/>
      </w:pPr>
      <w:r>
        <w:rPr/>
        <w:t>Retain "Antimicrobial Treatment" Subparagraph below unless antimicrobial treatment is integral to carpet or if antimicrobial treatment is not needed for Project; consult manufacturer.</w:t>
      </w:r>
    </w:p>
    <w:p>
      <w:pPr>
        <w:pStyle w:val="PR2"/>
        <w:numPr>
          <w:ilvl w:val="5"/>
          <w:numId w:val="1"/>
        </w:numPr>
        <w:rPr/>
      </w:pPr>
      <w:r>
        <w:rPr/>
        <w:t>Antimicrobial Treatment: [</w:t>
      </w:r>
      <w:r>
        <w:rPr>
          <w:b/>
        </w:rPr>
        <w:t>Manufacturer's standard material</w:t>
      </w:r>
      <w:r>
        <w:rPr/>
        <w:t>] &lt;</w:t>
      </w:r>
      <w:r>
        <w:rPr>
          <w:b/>
        </w:rPr>
        <w:t>Insert treatment</w:t>
      </w:r>
      <w:r>
        <w:rPr/>
        <w:t>&gt;.</w:t>
      </w:r>
    </w:p>
    <w:p>
      <w:pPr>
        <w:pStyle w:val="PR3"/>
        <w:numPr>
          <w:ilvl w:val="6"/>
          <w:numId w:val="1"/>
        </w:numPr>
        <w:spacing w:before="240" w:after="0"/>
        <w:rPr/>
      </w:pPr>
      <w:r>
        <w:rPr/>
        <w:t>Antimicrobial Activity: Not less than 2-mm halo of inhibition for gram-positive bacteria, not less than 1-mm halo of inhibition for gram-negative bacteria, and no fungal growth, according to AATCC 174.</w:t>
      </w:r>
    </w:p>
    <w:p>
      <w:pPr>
        <w:pStyle w:val="PR1"/>
        <w:numPr>
          <w:ilvl w:val="4"/>
          <w:numId w:val="1"/>
        </w:numPr>
        <w:rPr/>
      </w:pPr>
      <w:r>
        <w:rPr/>
        <w:t>Sustainable Design Requirements:</w:t>
      </w:r>
    </w:p>
    <w:p>
      <w:pPr>
        <w:pStyle w:val="CMT"/>
        <w:rPr/>
      </w:pPr>
      <w:r>
        <w:rPr/>
        <w:t>Retain "Sustainable Product Certification" Subparagraph below if compliance with ANSI/NSF 140 is required. Verify availability of certification with manufacturers.</w:t>
      </w:r>
    </w:p>
    <w:p>
      <w:pPr>
        <w:pStyle w:val="PR2"/>
        <w:numPr>
          <w:ilvl w:val="5"/>
          <w:numId w:val="1"/>
        </w:numPr>
        <w:spacing w:before="240" w:after="0"/>
        <w:rPr/>
      </w:pPr>
      <w:r>
        <w:rPr/>
        <w:t>Sustainable Product Certification: [</w:t>
      </w:r>
      <w:r>
        <w:rPr>
          <w:b/>
        </w:rPr>
        <w:t>Silver</w:t>
      </w:r>
      <w:r>
        <w:rPr/>
        <w:t>] [</w:t>
      </w:r>
      <w:r>
        <w:rPr>
          <w:b/>
        </w:rPr>
        <w:t>Gold</w:t>
      </w:r>
      <w:r>
        <w:rPr/>
        <w:t>] [</w:t>
      </w:r>
      <w:r>
        <w:rPr>
          <w:b/>
        </w:rPr>
        <w:t>Platinum</w:t>
      </w:r>
      <w:r>
        <w:rPr/>
        <w:t>] level certification according to ANSI/NSF 140.</w:t>
      </w:r>
    </w:p>
    <w:p>
      <w:pPr>
        <w:pStyle w:val="PR2"/>
        <w:numPr>
          <w:ilvl w:val="5"/>
          <w:numId w:val="1"/>
        </w:numPr>
        <w:rPr/>
      </w:pPr>
      <w:hyperlink r:id="rId10">
        <w:r>
          <w:rPr>
            <w:rStyle w:val="Hyperlink"/>
          </w:rPr>
          <w:t>&lt;Double click to insert sustainable design text for carpet and cushion.&gt;</w:t>
        </w:r>
      </w:hyperlink>
    </w:p>
    <w:p>
      <w:pPr>
        <w:pStyle w:val="PR1"/>
        <w:numPr>
          <w:ilvl w:val="4"/>
          <w:numId w:val="1"/>
        </w:numPr>
        <w:rPr/>
      </w:pPr>
      <w:r>
        <w:rPr/>
        <w:t>Performance Characteristics:</w:t>
      </w:r>
    </w:p>
    <w:p>
      <w:pPr>
        <w:pStyle w:val="PR2"/>
        <w:numPr>
          <w:ilvl w:val="5"/>
          <w:numId w:val="1"/>
        </w:numPr>
        <w:spacing w:before="240" w:after="0"/>
        <w:rPr/>
      </w:pPr>
      <w:r>
        <w:rPr/>
        <w:t>Appearance Retention Rating: [</w:t>
      </w:r>
      <w:r>
        <w:rPr>
          <w:b/>
        </w:rPr>
        <w:t>Moderate traffic, 2.5</w:t>
      </w:r>
      <w:r>
        <w:rPr/>
        <w:t>] [</w:t>
      </w:r>
      <w:r>
        <w:rPr>
          <w:b/>
        </w:rPr>
        <w:t>Heavy traffic, 3.0</w:t>
      </w:r>
      <w:r>
        <w:rPr/>
        <w:t>] [</w:t>
      </w:r>
      <w:r>
        <w:rPr>
          <w:b/>
        </w:rPr>
        <w:t>Severe traffic, 3.5</w:t>
      </w:r>
      <w:r>
        <w:rPr/>
        <w:t>] &lt;</w:t>
      </w:r>
      <w:r>
        <w:rPr>
          <w:b/>
        </w:rPr>
        <w:t>Insert number</w:t>
      </w:r>
      <w:r>
        <w:rPr/>
        <w:t>&gt; minimum according to ASTM D7330.</w:t>
      </w:r>
    </w:p>
    <w:p>
      <w:pPr>
        <w:pStyle w:val="CMT"/>
        <w:rPr/>
      </w:pPr>
      <w:r>
        <w:rPr/>
        <w:t>Retain or revise "Critical Radiant Flux Classification" Subparagraph below after verifying requirements of authorities having jurisdiction.</w:t>
      </w:r>
    </w:p>
    <w:p>
      <w:pPr>
        <w:pStyle w:val="PR2"/>
        <w:numPr>
          <w:ilvl w:val="5"/>
          <w:numId w:val="1"/>
        </w:numPr>
        <w:rPr/>
      </w:pPr>
      <w:r>
        <w:rPr/>
        <w:t>Critical Radiant Flux Classification: Not less than [</w:t>
      </w:r>
      <w:r>
        <w:rPr>
          <w:b/>
        </w:rPr>
        <w:t>0.45 W/sq. cm</w:t>
      </w:r>
      <w:r>
        <w:rPr/>
        <w:t>] [</w:t>
      </w:r>
      <w:r>
        <w:rPr>
          <w:b/>
        </w:rPr>
        <w:t>0.22 W/sq. cm</w:t>
      </w:r>
      <w:r>
        <w:rPr/>
        <w:t>] according to NFPA 253.</w:t>
      </w:r>
    </w:p>
    <w:p>
      <w:pPr>
        <w:pStyle w:val="PR2"/>
        <w:numPr>
          <w:ilvl w:val="5"/>
          <w:numId w:val="1"/>
        </w:numPr>
        <w:rPr/>
      </w:pPr>
      <w:r>
        <w:rPr/>
        <w:t xml:space="preserve">Dry Breaking Strength: Not less than </w:t>
      </w:r>
      <w:r>
        <w:rPr>
          <w:rStyle w:val="IP"/>
        </w:rPr>
        <w:t>100 lbf</w:t>
      </w:r>
      <w:r>
        <w:rPr>
          <w:rStyle w:val="SI"/>
        </w:rPr>
        <w:t xml:space="preserve"> (445 N)</w:t>
      </w:r>
      <w:r>
        <w:rPr/>
        <w:t xml:space="preserve"> according to ASTM D2646.</w:t>
      </w:r>
    </w:p>
    <w:p>
      <w:pPr>
        <w:pStyle w:val="CMT"/>
        <w:rPr/>
      </w:pPr>
      <w:r>
        <w:rPr/>
        <w:t>Retain "Noise Reduction Coefficient (NRC)" Subparagraph below if required. Revise if Impact Insulation Class is available and is required to suit Project.</w:t>
      </w:r>
    </w:p>
    <w:p>
      <w:pPr>
        <w:pStyle w:val="PR2"/>
        <w:numPr>
          <w:ilvl w:val="5"/>
          <w:numId w:val="1"/>
        </w:numPr>
        <w:rPr/>
      </w:pPr>
      <w:r>
        <w:rPr/>
        <w:t>Noise Reduction Coefficient (NRC): &lt;</w:t>
      </w:r>
      <w:r>
        <w:rPr>
          <w:b/>
        </w:rPr>
        <w:t>Insert NRC</w:t>
      </w:r>
      <w:r>
        <w:rPr/>
        <w:t>&gt; according to ASTM C423.</w:t>
      </w:r>
    </w:p>
    <w:p>
      <w:pPr>
        <w:pStyle w:val="PR2"/>
        <w:numPr>
          <w:ilvl w:val="5"/>
          <w:numId w:val="1"/>
        </w:numPr>
        <w:rPr/>
      </w:pPr>
      <w:r>
        <w:rPr/>
        <w:t>Colorfastness to Crocking: Not less than 4, wet and dry, according to AATCC 165.</w:t>
      </w:r>
    </w:p>
    <w:p>
      <w:pPr>
        <w:pStyle w:val="CMT"/>
        <w:rPr/>
      </w:pPr>
      <w:r>
        <w:rPr/>
        <w:t>First option in "Colorfastness to Light" Subparagraph below is minimum recommended by the Carpet and Rug Institute for carpet for general use; second option is for carpet installed in schools.</w:t>
      </w:r>
    </w:p>
    <w:p>
      <w:pPr>
        <w:pStyle w:val="PR2"/>
        <w:numPr>
          <w:ilvl w:val="5"/>
          <w:numId w:val="1"/>
        </w:numPr>
        <w:rPr/>
      </w:pPr>
      <w:r>
        <w:rPr/>
        <w:t>Colorfastness to Light: Not less than 4 after [</w:t>
      </w:r>
      <w:r>
        <w:rPr>
          <w:b/>
        </w:rPr>
        <w:t>40</w:t>
      </w:r>
      <w:r>
        <w:rPr/>
        <w:t>] [</w:t>
      </w:r>
      <w:r>
        <w:rPr>
          <w:b/>
        </w:rPr>
        <w:t>60</w:t>
      </w:r>
      <w:r>
        <w:rPr/>
        <w:t>] &lt;</w:t>
      </w:r>
      <w:r>
        <w:rPr>
          <w:b/>
        </w:rPr>
        <w:t>Insert number</w:t>
      </w:r>
      <w:r>
        <w:rPr/>
        <w:t>&gt; AFU (AATCC fading units) according to AATCC 16, Option E.</w:t>
      </w:r>
    </w:p>
    <w:p>
      <w:pPr>
        <w:pStyle w:val="CMT"/>
        <w:rPr/>
      </w:pPr>
      <w:r>
        <w:rPr/>
        <w:t>First option in "Electrostatic Propensity" Subparagraph below is typical for commercial carpet for general use; second option may be available for greater static control.</w:t>
      </w:r>
    </w:p>
    <w:p>
      <w:pPr>
        <w:pStyle w:val="PR2"/>
        <w:numPr>
          <w:ilvl w:val="5"/>
          <w:numId w:val="1"/>
        </w:numPr>
        <w:rPr/>
      </w:pPr>
      <w:r>
        <w:rPr/>
        <w:t>Electrostatic Propensity: Less than [</w:t>
      </w:r>
      <w:r>
        <w:rPr>
          <w:b/>
        </w:rPr>
        <w:t>3.5</w:t>
      </w:r>
      <w:r>
        <w:rPr/>
        <w:t>] [</w:t>
      </w:r>
      <w:r>
        <w:rPr>
          <w:b/>
        </w:rPr>
        <w:t>2</w:t>
      </w:r>
      <w:r>
        <w:rPr/>
        <w:t>] &lt;</w:t>
      </w:r>
      <w:r>
        <w:rPr>
          <w:b/>
        </w:rPr>
        <w:t>Insert number</w:t>
      </w:r>
      <w:r>
        <w:rPr/>
        <w:t>&gt; kV according to AATCC 134.</w:t>
      </w:r>
    </w:p>
    <w:p>
      <w:pPr>
        <w:pStyle w:val="CMT"/>
        <w:rPr/>
      </w:pPr>
      <w:r>
        <w:rPr/>
        <w:t>Insert other performance characteristics to suit Project, such as smoke density, texture retention, or additional colorfastness characteristics.</w:t>
      </w:r>
    </w:p>
    <w:p>
      <w:pPr>
        <w:pStyle w:val="ART"/>
        <w:numPr>
          <w:ilvl w:val="3"/>
          <w:numId w:val="1"/>
        </w:numPr>
        <w:ind w:hanging="0" w:left="0"/>
        <w:rPr/>
      </w:pPr>
      <w:r>
        <w:rPr/>
        <w:t>CARPET CUSHION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Traffic Classification: CCC [</w:t>
      </w:r>
      <w:r>
        <w:rPr>
          <w:b/>
        </w:rPr>
        <w:t>Class I, moderate</w:t>
      </w:r>
      <w:r>
        <w:rPr/>
        <w:t>] [</w:t>
      </w:r>
      <w:r>
        <w:rPr>
          <w:b/>
        </w:rPr>
        <w:t>Class II, heavy</w:t>
      </w:r>
      <w:r>
        <w:rPr/>
        <w:t>] [</w:t>
      </w:r>
      <w:r>
        <w:rPr>
          <w:b/>
        </w:rPr>
        <w:t>Class III, extra-heavy</w:t>
      </w:r>
      <w:r>
        <w:rPr/>
        <w:t>] traffic.</w:t>
      </w:r>
    </w:p>
    <w:p>
      <w:pPr>
        <w:pStyle w:val="CMT"/>
        <w:rPr/>
      </w:pPr>
      <w:r>
        <w:rPr/>
        <w:t>Retain "Fiber Cushion" Paragraph below for fiber carpet cushion.</w:t>
      </w:r>
    </w:p>
    <w:p>
      <w:pPr>
        <w:pStyle w:val="PR1"/>
        <w:numPr>
          <w:ilvl w:val="4"/>
          <w:numId w:val="1"/>
        </w:numPr>
        <w:rPr/>
      </w:pPr>
      <w:r>
        <w:rPr/>
        <w:t>Fiber Cushion: [</w:t>
      </w:r>
      <w:r>
        <w:rPr>
          <w:b/>
        </w:rPr>
        <w:t>Rubberized hair, mothproofed and sterilized</w:t>
      </w:r>
      <w:r>
        <w:rPr/>
        <w:t>] [</w:t>
      </w:r>
      <w:r>
        <w:rPr>
          <w:b/>
        </w:rPr>
        <w:t>Rubberized jute, mothproofed and sterilized</w:t>
      </w:r>
      <w:r>
        <w:rPr/>
        <w:t>] [</w:t>
      </w:r>
      <w:r>
        <w:rPr>
          <w:b/>
        </w:rPr>
        <w:t>Synthetic</w:t>
      </w:r>
      <w:r>
        <w:rPr/>
        <w:t>] [</w:t>
      </w:r>
      <w:r>
        <w:rPr>
          <w:b/>
        </w:rPr>
        <w:t>Resinated, recycled textile</w:t>
      </w:r>
      <w:r>
        <w:rPr/>
        <w:t>].</w:t>
      </w:r>
    </w:p>
    <w:p>
      <w:pPr>
        <w:pStyle w:val="PR2"/>
        <w:numPr>
          <w:ilvl w:val="5"/>
          <w:numId w:val="1"/>
        </w:numPr>
        <w:spacing w:before="240" w:after="0"/>
        <w:rPr/>
      </w:pPr>
      <w:r>
        <w:rPr/>
        <w:t>Weight: &lt;</w:t>
      </w:r>
      <w:r>
        <w:rPr>
          <w:b/>
        </w:rPr>
        <w:t xml:space="preserve">Insert </w:t>
      </w:r>
      <w:r>
        <w:rPr>
          <w:rStyle w:val="IP"/>
          <w:b/>
        </w:rPr>
        <w:t>oz./sq. yd.</w:t>
      </w:r>
      <w:r>
        <w:rPr>
          <w:rStyle w:val="SI"/>
          <w:b/>
        </w:rPr>
        <w:t xml:space="preserve"> (g/sq. m)</w:t>
      </w:r>
      <w:r>
        <w:rPr/>
        <w:t>&gt;.</w:t>
      </w:r>
    </w:p>
    <w:p>
      <w:pPr>
        <w:pStyle w:val="PR2"/>
        <w:numPr>
          <w:ilvl w:val="5"/>
          <w:numId w:val="1"/>
        </w:numPr>
        <w:rPr/>
      </w:pPr>
      <w:r>
        <w:rPr/>
        <w:t>Thickness: &lt;</w:t>
      </w:r>
      <w:r>
        <w:rPr>
          <w:b/>
        </w:rPr>
        <w:t xml:space="preserve">Insert </w:t>
      </w:r>
      <w:r>
        <w:rPr>
          <w:rStyle w:val="IP"/>
          <w:b/>
        </w:rPr>
        <w:t>inches</w:t>
      </w:r>
      <w:r>
        <w:rPr>
          <w:rStyle w:val="SI"/>
          <w:b/>
        </w:rPr>
        <w:t xml:space="preserve"> (mm)</w:t>
      </w:r>
      <w:r>
        <w:rPr/>
        <w:t>&gt; plus 5 percent maximum.</w:t>
      </w:r>
    </w:p>
    <w:p>
      <w:pPr>
        <w:pStyle w:val="PR2"/>
        <w:numPr>
          <w:ilvl w:val="5"/>
          <w:numId w:val="1"/>
        </w:numPr>
        <w:rPr/>
      </w:pPr>
      <w:r>
        <w:rPr/>
        <w:t>Density: &lt;</w:t>
      </w:r>
      <w:r>
        <w:rPr>
          <w:b/>
        </w:rPr>
        <w:t xml:space="preserve">Insert </w:t>
      </w:r>
      <w:r>
        <w:rPr>
          <w:rStyle w:val="IP"/>
          <w:b/>
        </w:rPr>
        <w:t>lb/cu. ft.</w:t>
      </w:r>
      <w:r>
        <w:rPr>
          <w:rStyle w:val="SI"/>
          <w:b/>
        </w:rPr>
        <w:t xml:space="preserve"> (kg/cu. m)</w:t>
      </w:r>
      <w:r>
        <w:rPr/>
        <w:t>&gt;.</w:t>
      </w:r>
    </w:p>
    <w:p>
      <w:pPr>
        <w:pStyle w:val="CMT"/>
        <w:rPr/>
      </w:pPr>
      <w:r>
        <w:rPr/>
        <w:t>Retain "Rubber Cushion" Paragraph below for rubber carpet cushion.</w:t>
      </w:r>
    </w:p>
    <w:p>
      <w:pPr>
        <w:pStyle w:val="PR1"/>
        <w:numPr>
          <w:ilvl w:val="4"/>
          <w:numId w:val="1"/>
        </w:numPr>
        <w:rPr/>
      </w:pPr>
      <w:r>
        <w:rPr/>
        <w:t>Rubber Cushion: [</w:t>
      </w:r>
      <w:r>
        <w:rPr>
          <w:b/>
        </w:rPr>
        <w:t>Flat</w:t>
      </w:r>
      <w:r>
        <w:rPr/>
        <w:t>] [</w:t>
      </w:r>
      <w:r>
        <w:rPr>
          <w:b/>
        </w:rPr>
        <w:t>Rippled waffle</w:t>
      </w:r>
      <w:r>
        <w:rPr/>
        <w:t>] [</w:t>
      </w:r>
      <w:r>
        <w:rPr>
          <w:b/>
        </w:rPr>
        <w:t>Textured flat</w:t>
      </w:r>
      <w:r>
        <w:rPr/>
        <w:t>] [</w:t>
      </w:r>
      <w:r>
        <w:rPr>
          <w:b/>
        </w:rPr>
        <w:t>Reinforced</w:t>
      </w:r>
      <w:r>
        <w:rPr/>
        <w:t>].</w:t>
      </w:r>
    </w:p>
    <w:p>
      <w:pPr>
        <w:pStyle w:val="PR2"/>
        <w:numPr>
          <w:ilvl w:val="5"/>
          <w:numId w:val="1"/>
        </w:numPr>
        <w:spacing w:before="240" w:after="0"/>
        <w:rPr/>
      </w:pPr>
      <w:r>
        <w:rPr/>
        <w:t>Weight: &lt;</w:t>
      </w:r>
      <w:r>
        <w:rPr>
          <w:b/>
        </w:rPr>
        <w:t xml:space="preserve">Insert </w:t>
      </w:r>
      <w:r>
        <w:rPr>
          <w:rStyle w:val="IP"/>
          <w:b/>
        </w:rPr>
        <w:t>oz./sq. yd.</w:t>
      </w:r>
      <w:r>
        <w:rPr>
          <w:rStyle w:val="SI"/>
          <w:b/>
        </w:rPr>
        <w:t xml:space="preserve"> (g/sq. m)</w:t>
      </w:r>
      <w:r>
        <w:rPr/>
        <w:t>&gt;.</w:t>
      </w:r>
    </w:p>
    <w:p>
      <w:pPr>
        <w:pStyle w:val="PR2"/>
        <w:numPr>
          <w:ilvl w:val="5"/>
          <w:numId w:val="1"/>
        </w:numPr>
        <w:rPr/>
      </w:pPr>
      <w:r>
        <w:rPr/>
        <w:t>Thickness: &lt;</w:t>
      </w:r>
      <w:r>
        <w:rPr>
          <w:b/>
        </w:rPr>
        <w:t xml:space="preserve">Insert </w:t>
      </w:r>
      <w:r>
        <w:rPr>
          <w:rStyle w:val="IP"/>
          <w:b/>
        </w:rPr>
        <w:t>inches</w:t>
      </w:r>
      <w:r>
        <w:rPr>
          <w:rStyle w:val="SI"/>
          <w:b/>
        </w:rPr>
        <w:t xml:space="preserve"> (mm)</w:t>
      </w:r>
      <w:r>
        <w:rPr/>
        <w:t>&gt; plus 5 percent maximum.</w:t>
      </w:r>
    </w:p>
    <w:p>
      <w:pPr>
        <w:pStyle w:val="PR2"/>
        <w:numPr>
          <w:ilvl w:val="5"/>
          <w:numId w:val="1"/>
        </w:numPr>
        <w:rPr/>
      </w:pPr>
      <w:r>
        <w:rPr/>
        <w:t>Compression Resistance: &lt;</w:t>
      </w:r>
      <w:r>
        <w:rPr>
          <w:b/>
        </w:rPr>
        <w:t xml:space="preserve">Insert </w:t>
      </w:r>
      <w:r>
        <w:rPr>
          <w:rStyle w:val="IP"/>
          <w:b/>
        </w:rPr>
        <w:t>lb/sq. in.</w:t>
      </w:r>
      <w:r>
        <w:rPr>
          <w:rStyle w:val="SI"/>
          <w:b/>
        </w:rPr>
        <w:t xml:space="preserve"> (kg/sq. mm)</w:t>
      </w:r>
      <w:r>
        <w:rPr/>
        <w:t>&gt; at [</w:t>
      </w:r>
      <w:r>
        <w:rPr>
          <w:b/>
        </w:rPr>
        <w:t>25</w:t>
      </w:r>
      <w:r>
        <w:rPr/>
        <w:t>] [</w:t>
      </w:r>
      <w:r>
        <w:rPr>
          <w:b/>
        </w:rPr>
        <w:t>65</w:t>
      </w:r>
      <w:r>
        <w:rPr/>
        <w:t>] percent according to ASTM D3676.</w:t>
      </w:r>
    </w:p>
    <w:p>
      <w:pPr>
        <w:pStyle w:val="PR2"/>
        <w:numPr>
          <w:ilvl w:val="5"/>
          <w:numId w:val="1"/>
        </w:numPr>
        <w:rPr/>
      </w:pPr>
      <w:r>
        <w:rPr/>
        <w:t>Density: &lt;</w:t>
      </w:r>
      <w:r>
        <w:rPr>
          <w:b/>
        </w:rPr>
        <w:t xml:space="preserve">Insert </w:t>
      </w:r>
      <w:r>
        <w:rPr>
          <w:rStyle w:val="IP"/>
          <w:b/>
        </w:rPr>
        <w:t>lb/cu. ft.</w:t>
      </w:r>
      <w:r>
        <w:rPr>
          <w:rStyle w:val="SI"/>
          <w:b/>
        </w:rPr>
        <w:t xml:space="preserve"> (kg/cu. m)</w:t>
      </w:r>
      <w:r>
        <w:rPr/>
        <w:t>&gt;.</w:t>
      </w:r>
    </w:p>
    <w:p>
      <w:pPr>
        <w:pStyle w:val="CMT"/>
        <w:rPr/>
      </w:pPr>
      <w:r>
        <w:rPr/>
        <w:t>Retain "Polyurethane-Foam Cushion" Paragraph below for polyurethane-foam carpet cushion.</w:t>
      </w:r>
    </w:p>
    <w:p>
      <w:pPr>
        <w:pStyle w:val="PR1"/>
        <w:numPr>
          <w:ilvl w:val="4"/>
          <w:numId w:val="1"/>
        </w:numPr>
        <w:rPr/>
      </w:pPr>
      <w:r>
        <w:rPr/>
        <w:t>Polyurethane-Foam Cushion: [</w:t>
      </w:r>
      <w:r>
        <w:rPr>
          <w:b/>
        </w:rPr>
        <w:t>Grafted prime</w:t>
      </w:r>
      <w:r>
        <w:rPr/>
        <w:t>] [</w:t>
      </w:r>
      <w:r>
        <w:rPr>
          <w:b/>
        </w:rPr>
        <w:t>Densified</w:t>
      </w:r>
      <w:r>
        <w:rPr/>
        <w:t>] [</w:t>
      </w:r>
      <w:r>
        <w:rPr>
          <w:b/>
        </w:rPr>
        <w:t>Bonded</w:t>
      </w:r>
      <w:r>
        <w:rPr/>
        <w:t>] [</w:t>
      </w:r>
      <w:r>
        <w:rPr>
          <w:b/>
        </w:rPr>
        <w:t>Mechanically frothed</w:t>
      </w:r>
      <w:r>
        <w:rPr/>
        <w:t>].</w:t>
      </w:r>
    </w:p>
    <w:p>
      <w:pPr>
        <w:pStyle w:val="PR2"/>
        <w:numPr>
          <w:ilvl w:val="5"/>
          <w:numId w:val="1"/>
        </w:numPr>
        <w:spacing w:before="240" w:after="0"/>
        <w:rPr/>
      </w:pPr>
      <w:r>
        <w:rPr/>
        <w:t>Compression Force Deflection at 65 Percent: &lt;</w:t>
      </w:r>
      <w:r>
        <w:rPr>
          <w:b/>
        </w:rPr>
        <w:t xml:space="preserve">Insert </w:t>
      </w:r>
      <w:r>
        <w:rPr>
          <w:rStyle w:val="IP"/>
          <w:b/>
        </w:rPr>
        <w:t>lb/sq. in.</w:t>
      </w:r>
      <w:r>
        <w:rPr>
          <w:rStyle w:val="SI"/>
          <w:b/>
        </w:rPr>
        <w:t xml:space="preserve"> (kg/sq. mm)</w:t>
      </w:r>
      <w:r>
        <w:rPr>
          <w:b/>
        </w:rPr>
        <w:t xml:space="preserve"> of polymer density</w:t>
      </w:r>
      <w:r>
        <w:rPr/>
        <w:t>&gt; according to ASTM D3574.</w:t>
      </w:r>
    </w:p>
    <w:p>
      <w:pPr>
        <w:pStyle w:val="PR2"/>
        <w:numPr>
          <w:ilvl w:val="5"/>
          <w:numId w:val="1"/>
        </w:numPr>
        <w:rPr/>
      </w:pPr>
      <w:r>
        <w:rPr/>
        <w:t>Thickness: &lt;</w:t>
      </w:r>
      <w:r>
        <w:rPr>
          <w:b/>
        </w:rPr>
        <w:t xml:space="preserve">Insert </w:t>
      </w:r>
      <w:r>
        <w:rPr>
          <w:rStyle w:val="IP"/>
          <w:b/>
        </w:rPr>
        <w:t>inches</w:t>
      </w:r>
      <w:r>
        <w:rPr>
          <w:rStyle w:val="SI"/>
          <w:b/>
        </w:rPr>
        <w:t xml:space="preserve"> (mm)</w:t>
      </w:r>
      <w:r>
        <w:rPr/>
        <w:t>&gt;.</w:t>
      </w:r>
    </w:p>
    <w:p>
      <w:pPr>
        <w:pStyle w:val="PR2"/>
        <w:numPr>
          <w:ilvl w:val="5"/>
          <w:numId w:val="1"/>
        </w:numPr>
        <w:rPr/>
      </w:pPr>
      <w:r>
        <w:rPr/>
        <w:t>Density: &lt;</w:t>
      </w:r>
      <w:r>
        <w:rPr>
          <w:b/>
        </w:rPr>
        <w:t xml:space="preserve">Insert </w:t>
      </w:r>
      <w:r>
        <w:rPr>
          <w:rStyle w:val="IP"/>
          <w:b/>
        </w:rPr>
        <w:t>lb/cu. ft.</w:t>
      </w:r>
      <w:r>
        <w:rPr>
          <w:rStyle w:val="SI"/>
          <w:b/>
        </w:rPr>
        <w:t xml:space="preserve"> (kg/cu. m)</w:t>
      </w:r>
      <w:r>
        <w:rPr/>
        <w:t>&gt;.</w:t>
      </w:r>
    </w:p>
    <w:p>
      <w:pPr>
        <w:pStyle w:val="PR1"/>
        <w:numPr>
          <w:ilvl w:val="4"/>
          <w:numId w:val="1"/>
        </w:numPr>
        <w:rPr/>
      </w:pPr>
      <w:r>
        <w:rPr/>
        <w:t>Performance Characteristics:</w:t>
      </w:r>
    </w:p>
    <w:p>
      <w:pPr>
        <w:pStyle w:val="CMT"/>
        <w:rPr/>
      </w:pPr>
      <w:r>
        <w:rPr/>
        <w:t>Retain or revise "Critical Radiant Flux Classification" Subparagraph below after verifying requirements of authorities having jurisdiction.</w:t>
      </w:r>
    </w:p>
    <w:p>
      <w:pPr>
        <w:pStyle w:val="PR2"/>
        <w:numPr>
          <w:ilvl w:val="5"/>
          <w:numId w:val="1"/>
        </w:numPr>
        <w:spacing w:before="240" w:after="0"/>
        <w:rPr/>
      </w:pPr>
      <w:r>
        <w:rPr/>
        <w:t>Critical Radiant Flux Classification: Not less than [</w:t>
      </w:r>
      <w:r>
        <w:rPr>
          <w:b/>
        </w:rPr>
        <w:t>0.45 W/sq. cm</w:t>
      </w:r>
      <w:r>
        <w:rPr/>
        <w:t>] [</w:t>
      </w:r>
      <w:r>
        <w:rPr>
          <w:b/>
        </w:rPr>
        <w:t>0.22 W/sq. cm</w:t>
      </w:r>
      <w:r>
        <w:rPr/>
        <w:t>] according to NFPA 253.</w:t>
      </w:r>
    </w:p>
    <w:p>
      <w:pPr>
        <w:pStyle w:val="CMT"/>
        <w:rPr/>
      </w:pPr>
      <w:r>
        <w:rPr/>
        <w:t>Retain "Noise Reduction Coefficient (NRC)" Subparagraph below if required. Revise if Impact Insulation Class is available and is required to suit Project.</w:t>
      </w:r>
    </w:p>
    <w:p>
      <w:pPr>
        <w:pStyle w:val="PR2"/>
        <w:numPr>
          <w:ilvl w:val="5"/>
          <w:numId w:val="1"/>
        </w:numPr>
        <w:rPr/>
      </w:pPr>
      <w:r>
        <w:rPr/>
        <w:t>Noise Reduction Coefficient (NRC): &lt;</w:t>
      </w:r>
      <w:r>
        <w:rPr>
          <w:b/>
        </w:rPr>
        <w:t>Insert NRC</w:t>
      </w:r>
      <w:r>
        <w:rPr/>
        <w:t>&gt; according to ASTM C423.</w:t>
      </w:r>
    </w:p>
    <w:p>
      <w:pPr>
        <w:pStyle w:val="PR2"/>
        <w:numPr>
          <w:ilvl w:val="5"/>
          <w:numId w:val="1"/>
        </w:numPr>
        <w:rPr/>
      </w:pPr>
      <w:hyperlink r:id="rId12">
        <w:r>
          <w:rPr>
            <w:rStyle w:val="Hyperlink"/>
          </w:rPr>
          <w:t>&lt;Double click to insert sustainable design text for carpet and cushion.&gt;</w:t>
        </w:r>
      </w:hyperlink>
    </w:p>
    <w:p>
      <w:pPr>
        <w:pStyle w:val="ART"/>
        <w:numPr>
          <w:ilvl w:val="3"/>
          <w:numId w:val="1"/>
        </w:numPr>
        <w:ind w:hanging="0" w:left="0"/>
        <w:rPr/>
      </w:pPr>
      <w:r>
        <w:rPr/>
        <w:t>INSTALLATION ACCESSORIES</w:t>
      </w:r>
    </w:p>
    <w:p>
      <w:pPr>
        <w:pStyle w:val="CMT"/>
        <w:rPr/>
      </w:pPr>
      <w:r>
        <w:rPr/>
        <w:t>Revise "Trowelable Leveling and Patching Compounds" Paragraph below to suit Project.</w:t>
      </w:r>
    </w:p>
    <w:p>
      <w:pPr>
        <w:pStyle w:val="PR1"/>
        <w:numPr>
          <w:ilvl w:val="4"/>
          <w:numId w:val="1"/>
        </w:numPr>
        <w:rPr/>
      </w:pPr>
      <w:r>
        <w:rPr/>
        <w:t>Trowelable Leveling and Patching Compounds: Latex-modified, hydraulic-cement-based formulation provided or recommended by [</w:t>
      </w:r>
      <w:r>
        <w:rPr>
          <w:b/>
        </w:rPr>
        <w:t>carpet</w:t>
      </w:r>
      <w:r>
        <w:rPr/>
        <w:t>] [</w:t>
      </w:r>
      <w:r>
        <w:rPr>
          <w:b/>
        </w:rPr>
        <w:t>carpet cushion</w:t>
      </w:r>
      <w:r>
        <w:rPr/>
        <w:t>] manufacturer.</w:t>
      </w:r>
    </w:p>
    <w:p>
      <w:pPr>
        <w:pStyle w:val="CMT"/>
        <w:rPr/>
      </w:pPr>
      <w:r>
        <w:rPr/>
        <w:t>Revise "Adhesives" Paragraph below to suit product(s) and Project. Retain second option for double-glue-down installations. Pressure-sensitive adhesives are commonly used for carpet tiles but can be used in carpet applications.</w:t>
      </w:r>
    </w:p>
    <w:p>
      <w:pPr>
        <w:pStyle w:val="PR1"/>
        <w:numPr>
          <w:ilvl w:val="4"/>
          <w:numId w:val="1"/>
        </w:numPr>
        <w:rPr/>
      </w:pPr>
      <w:r>
        <w:rPr/>
        <w:t>Adhesives: Water-resistant, mildew-resistant, nonstaining type to suit products and subfloor conditions indicated, that complies with flammability requirements for installed carpet and is recommended or provided by [</w:t>
      </w:r>
      <w:r>
        <w:rPr>
          <w:b/>
        </w:rPr>
        <w:t>carpet manufacturer</w:t>
      </w:r>
      <w:r>
        <w:rPr/>
        <w:t>] [</w:t>
      </w:r>
      <w:r>
        <w:rPr>
          <w:b/>
        </w:rPr>
        <w:t>carpet and carpet cushion manufacturers</w:t>
      </w:r>
      <w:r>
        <w:rPr/>
        <w:t>].</w:t>
      </w:r>
    </w:p>
    <w:p>
      <w:pPr>
        <w:pStyle w:val="PR2"/>
        <w:numPr>
          <w:ilvl w:val="5"/>
          <w:numId w:val="1"/>
        </w:numPr>
        <w:spacing w:before="240" w:after="0"/>
        <w:rPr/>
      </w:pPr>
      <w:hyperlink r:id="rId13">
        <w:r>
          <w:rPr>
            <w:rStyle w:val="Hyperlink"/>
          </w:rPr>
          <w:t>&lt;Double click to insert sustainable design text for VOC content of adhesive.&gt;</w:t>
        </w:r>
      </w:hyperlink>
    </w:p>
    <w:p>
      <w:pPr>
        <w:pStyle w:val="PR2"/>
        <w:numPr>
          <w:ilvl w:val="5"/>
          <w:numId w:val="1"/>
        </w:numPr>
        <w:rPr/>
      </w:pPr>
      <w:hyperlink r:id="rId14">
        <w:r>
          <w:rPr>
            <w:rStyle w:val="Hyperlink"/>
          </w:rPr>
          <w:t>&lt;Double click to insert sustainable design text for adhesives.&gt;</w:t>
        </w:r>
      </w:hyperlink>
    </w:p>
    <w:p>
      <w:pPr>
        <w:pStyle w:val="CMT"/>
        <w:rPr/>
      </w:pPr>
      <w:r>
        <w:rPr/>
        <w:t>Retain "Tackless Carpet Stripping" Paragraph below for stretch-in installations.</w:t>
      </w:r>
    </w:p>
    <w:p>
      <w:pPr>
        <w:pStyle w:val="PR1"/>
        <w:numPr>
          <w:ilvl w:val="4"/>
          <w:numId w:val="1"/>
        </w:numPr>
        <w:rPr/>
      </w:pPr>
      <w:r>
        <w:rPr/>
        <w:t>Tackless Carpet Stripping: Water-resistant plywood, in strips as required to match cushion thickness and that comply with the Carpet and Rug Institute's CRI 104.</w:t>
      </w:r>
    </w:p>
    <w:p>
      <w:pPr>
        <w:pStyle w:val="PR1"/>
        <w:numPr>
          <w:ilvl w:val="4"/>
          <w:numId w:val="1"/>
        </w:numPr>
        <w:rPr/>
      </w:pPr>
      <w:r>
        <w:rPr/>
        <w:t>Seam Adhesive: Hot-melt adhesive tape or similar product recommended by carpet manufacturer for sealing and taping seams and butting cut edges at backing to form secure seams and to prevent pile loss at seams.</w:t>
      </w:r>
    </w:p>
    <w:p>
      <w:pPr>
        <w:pStyle w:val="CMT"/>
        <w:rPr/>
      </w:pPr>
      <w:r>
        <w:rPr/>
        <w:t>Retain "Metal Edge/Transition Strips" Paragraph below unless resilient edge strips for carpet tile are specified in Section 096513 "Resilient Base and Accessories." If retaining, revise to suit Project and indicate width requirements on Drawings.</w:t>
      </w:r>
    </w:p>
    <w:p>
      <w:pPr>
        <w:pStyle w:val="PR1"/>
        <w:numPr>
          <w:ilvl w:val="4"/>
          <w:numId w:val="1"/>
        </w:numPr>
        <w:rPr/>
      </w:pPr>
      <w:r>
        <w:rPr/>
        <w:t>Metal Edge/Transition Strips: Extruded aluminum with [</w:t>
      </w:r>
      <w:r>
        <w:rPr>
          <w:b/>
        </w:rPr>
        <w:t>mill</w:t>
      </w:r>
      <w:r>
        <w:rPr/>
        <w:t>] &lt;</w:t>
      </w:r>
      <w:r>
        <w:rPr>
          <w:b/>
        </w:rPr>
        <w:t>Insert finish</w:t>
      </w:r>
      <w:r>
        <w:rPr/>
        <w:t>&gt; finish of profile and width shown, of height required to protect exposed edge of carpet, and of maximum lengths to minimize running joints.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maximum moisture content, alkalinity range, installation tolerances, and other conditions affecting carpet performance.</w:t>
      </w:r>
    </w:p>
    <w:p>
      <w:pPr>
        <w:pStyle w:val="PR1"/>
        <w:numPr>
          <w:ilvl w:val="4"/>
          <w:numId w:val="1"/>
        </w:numPr>
        <w:rPr/>
      </w:pPr>
      <w:r>
        <w:rPr/>
        <w:t>Examine carpet for type, color, pattern, and potential defects.</w:t>
      </w:r>
    </w:p>
    <w:p>
      <w:pPr>
        <w:pStyle w:val="PR1"/>
        <w:numPr>
          <w:ilvl w:val="4"/>
          <w:numId w:val="1"/>
        </w:numPr>
        <w:rPr/>
      </w:pPr>
      <w:r>
        <w:rPr/>
        <w:t>Concrete Slabs: Verify that finishes comply with requirements specified in Section 033000 "Cast-in-Place Concrete" and that surfaces are free of cracks, ridges, depressions, scale, and foreign deposits.</w:t>
      </w:r>
    </w:p>
    <w:p>
      <w:pPr>
        <w:pStyle w:val="CMT"/>
        <w:rPr/>
      </w:pPr>
      <w:r>
        <w:rPr/>
        <w:t>Retain "Moisture Testing" Subparagraph below if products are adhesively applied to concrete slabs. Excessive moisture vapor can cause failure of systems installed on slabs-on-grade. ASTM F1869 (anhydrous calcium chloride test) and ASTM F2170 (relative humidity test) both recommend one test per 1000 sq. ft. (304.8 sq. m), but no fewer than three tests per test area.</w:t>
      </w:r>
    </w:p>
    <w:p>
      <w:pPr>
        <w:pStyle w:val="PR2"/>
        <w:numPr>
          <w:ilvl w:val="5"/>
          <w:numId w:val="1"/>
        </w:numPr>
        <w:spacing w:before="240" w:after="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Option in "Anhydrous Calcium Chloride Test" Subparagraph below is based on the Carpet and Rug Institute's CRI 104 and on floor-covering industry practices for adhered floor coverings to avoid adhesive failures.</w:t>
      </w:r>
    </w:p>
    <w:p>
      <w:pPr>
        <w:pStyle w:val="PR3"/>
        <w:numPr>
          <w:ilvl w:val="6"/>
          <w:numId w:val="1"/>
        </w:numPr>
        <w:spacing w:before="240" w:after="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emission</w:t>
      </w:r>
      <w:r>
        <w:rPr/>
        <w:t>&gt; in 24 hours.</w:t>
      </w:r>
    </w:p>
    <w:p>
      <w:pPr>
        <w:pStyle w:val="CMT"/>
        <w:rPr/>
      </w:pPr>
      <w:r>
        <w:rPr/>
        <w:t>The Carpet and Rug Institute's CRI 104 recommends a maximum 75 percent relative humidity, which is the maximum relative humidity generally recommended for adhered systems.</w:t>
      </w:r>
    </w:p>
    <w:p>
      <w:pPr>
        <w:pStyle w:val="PR3"/>
        <w:numPr>
          <w:ilvl w:val="6"/>
          <w:numId w:val="1"/>
        </w:numPr>
        <w:rPr/>
      </w:pPr>
      <w:r>
        <w:rPr/>
        <w:t>Relative Humidity Test: Using in situ probes, ASTM F2170. Proceed with installation only after substrates have a maximum [</w:t>
      </w:r>
      <w:r>
        <w:rPr>
          <w:b/>
        </w:rPr>
        <w:t>75</w:t>
      </w:r>
      <w:r>
        <w:rPr/>
        <w:t>] &lt;</w:t>
      </w:r>
      <w:r>
        <w:rPr>
          <w:b/>
        </w:rPr>
        <w:t>Insert number</w:t>
      </w:r>
      <w:r>
        <w:rPr/>
        <w:t>&gt; percent relative humidity level measurement.</w:t>
      </w:r>
    </w:p>
    <w:p>
      <w:pPr>
        <w:pStyle w:val="PR3"/>
        <w:numPr>
          <w:ilvl w:val="6"/>
          <w:numId w:val="1"/>
        </w:numPr>
        <w:rPr/>
      </w:pPr>
      <w:r>
        <w:rPr/>
        <w:t>Perform additional moisture tests recommended in writing by [</w:t>
      </w:r>
      <w:r>
        <w:rPr>
          <w:b/>
        </w:rPr>
        <w:t>adhesive and carpet</w:t>
      </w:r>
      <w:r>
        <w:rPr/>
        <w:t>] [</w:t>
      </w:r>
      <w:r>
        <w:rPr>
          <w:b/>
        </w:rPr>
        <w:t>adhesive, carpet cushion, and carpet</w:t>
      </w:r>
      <w:r>
        <w:rPr/>
        <w:t>] manufacturers. Proceed with installation only after substrates pass testing.</w:t>
      </w:r>
    </w:p>
    <w:p>
      <w:pPr>
        <w:pStyle w:val="PR1"/>
        <w:numPr>
          <w:ilvl w:val="4"/>
          <w:numId w:val="1"/>
        </w:numPr>
        <w:rPr/>
      </w:pPr>
      <w:r>
        <w:rPr/>
        <w:t>Wood Subfloors: Verify the following:</w:t>
      </w:r>
    </w:p>
    <w:p>
      <w:pPr>
        <w:pStyle w:val="PR2"/>
        <w:numPr>
          <w:ilvl w:val="5"/>
          <w:numId w:val="1"/>
        </w:numPr>
        <w:spacing w:before="240" w:after="0"/>
        <w:rPr/>
      </w:pPr>
      <w:r>
        <w:rPr/>
        <w:t>Underlayment over subfloor complies with requirements specified in Section 061600 "Sheathing."</w:t>
      </w:r>
    </w:p>
    <w:p>
      <w:pPr>
        <w:pStyle w:val="PR2"/>
        <w:numPr>
          <w:ilvl w:val="5"/>
          <w:numId w:val="1"/>
        </w:numPr>
        <w:rPr/>
      </w:pPr>
      <w:r>
        <w:rPr/>
        <w:t>Underlayment surface is free of irregularities and substances that may interfere with adhesive bond or show through surface.</w:t>
      </w:r>
    </w:p>
    <w:p>
      <w:pPr>
        <w:pStyle w:val="CMT"/>
        <w:rPr/>
      </w:pPr>
      <w:r>
        <w:rPr/>
        <w:t>Sheet carpeting is typically not installed over access flooring. If installation over access flooring is required, insert examination requirements here.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General: Comply with the Carpet and Rug Institute's CRI 104 and with carpet manufacturer's written installation instructions for preparing substrates.</w:t>
      </w:r>
    </w:p>
    <w:p>
      <w:pPr>
        <w:pStyle w:val="CMT"/>
        <w:rPr/>
      </w:pPr>
      <w:r>
        <w:rPr/>
        <w:t>Retain or revise first paragraph below to suit product and Project. Dimensions below are recommended by the Carpet and Rug Institute.</w:t>
      </w:r>
    </w:p>
    <w:p>
      <w:pPr>
        <w:pStyle w:val="PR1"/>
        <w:numPr>
          <w:ilvl w:val="4"/>
          <w:numId w:val="1"/>
        </w:numPr>
        <w:rPr/>
      </w:pPr>
      <w:r>
        <w:rPr/>
        <w:t xml:space="preserve">Use trowelable leveling and patching compounds, according to manufacturer's written instructions, to fill cracks, holes, depressions, and protrusions in substrates. Fill or level cracks, holes and depressions </w:t>
      </w:r>
      <w:r>
        <w:rPr>
          <w:rStyle w:val="IP"/>
        </w:rPr>
        <w:t>1/8 inch</w:t>
      </w:r>
      <w:r>
        <w:rPr>
          <w:rStyle w:val="SI"/>
        </w:rPr>
        <w:t xml:space="preserve"> (3 mm)</w:t>
      </w:r>
      <w:r>
        <w:rPr/>
        <w:t xml:space="preserve"> wide or wider, and protrusions more than </w:t>
      </w:r>
      <w:r>
        <w:rPr>
          <w:rStyle w:val="IP"/>
        </w:rPr>
        <w:t>1/32 inch</w:t>
      </w:r>
      <w:r>
        <w:rPr>
          <w:rStyle w:val="SI"/>
        </w:rPr>
        <w:t xml:space="preserve"> (0.8 mm)</w:t>
      </w:r>
      <w:r>
        <w:rPr/>
        <w:t>, unless more stringent requirements are required by manufacturer's written instructions.</w:t>
      </w:r>
    </w:p>
    <w:p>
      <w:pPr>
        <w:pStyle w:val="PR1"/>
        <w:numPr>
          <w:ilvl w:val="4"/>
          <w:numId w:val="1"/>
        </w:numPr>
        <w:rPr/>
      </w:pPr>
      <w:r>
        <w:rPr/>
        <w:t>Concrete Substrates: Remove coatings, including curing compounds, and other substances that are incompatible with adhesives and that contain soap, wax, oil, or silicone, without using solvents. Use mechanical methods recommended in writing by [</w:t>
      </w:r>
      <w:r>
        <w:rPr>
          <w:b/>
        </w:rPr>
        <w:t>adhesive and carpet</w:t>
      </w:r>
      <w:r>
        <w:rPr/>
        <w:t>] [</w:t>
      </w:r>
      <w:r>
        <w:rPr>
          <w:b/>
        </w:rPr>
        <w:t>adhesive, carpet, and carpet cushion</w:t>
      </w:r>
      <w:r>
        <w:rPr/>
        <w:t>] manufacturers.</w:t>
      </w:r>
    </w:p>
    <w:p>
      <w:pPr>
        <w:pStyle w:val="CMT"/>
        <w:rPr/>
      </w:pPr>
      <w:r>
        <w:rPr/>
        <w:t>Sheet carpeting is typically not installed over access flooring. If installation over access flooring is required, insert preparation requirements here.</w:t>
      </w:r>
    </w:p>
    <w:p>
      <w:pPr>
        <w:pStyle w:val="PR1"/>
        <w:numPr>
          <w:ilvl w:val="4"/>
          <w:numId w:val="1"/>
        </w:numPr>
        <w:rPr/>
      </w:pPr>
      <w:r>
        <w:rPr/>
        <w:t>Broom and vacuum clean substrates to be covered immediately before installing carpet.</w:t>
      </w:r>
    </w:p>
    <w:p>
      <w:pPr>
        <w:pStyle w:val="ART"/>
        <w:numPr>
          <w:ilvl w:val="3"/>
          <w:numId w:val="1"/>
        </w:numPr>
        <w:ind w:hanging="0" w:left="0"/>
        <w:rPr/>
      </w:pPr>
      <w:r>
        <w:rPr/>
        <w:t>INSTALLATION</w:t>
      </w:r>
    </w:p>
    <w:p>
      <w:pPr>
        <w:pStyle w:val="PR1"/>
        <w:numPr>
          <w:ilvl w:val="4"/>
          <w:numId w:val="1"/>
        </w:numPr>
        <w:rPr/>
      </w:pPr>
      <w:r>
        <w:rPr/>
        <w:t>Comply with the Carpet and Rug Institute's CRI 104 and [</w:t>
      </w:r>
      <w:r>
        <w:rPr>
          <w:b/>
        </w:rPr>
        <w:t>carpet manufacturer's</w:t>
      </w:r>
      <w:r>
        <w:rPr/>
        <w:t>] [</w:t>
      </w:r>
      <w:r>
        <w:rPr>
          <w:b/>
        </w:rPr>
        <w:t>carpet and carpet cushion manufacturers'</w:t>
      </w:r>
      <w:r>
        <w:rPr/>
        <w:t>] written installation instructions for the following:</w:t>
      </w:r>
    </w:p>
    <w:p>
      <w:pPr>
        <w:pStyle w:val="CMT"/>
        <w:rPr/>
      </w:pPr>
      <w:r>
        <w:rPr/>
        <w:t>If retaining more than one subparagraph below, indicate locations of each method on Drawings or in schedules.</w:t>
      </w:r>
    </w:p>
    <w:p>
      <w:pPr>
        <w:pStyle w:val="PR2"/>
        <w:numPr>
          <w:ilvl w:val="5"/>
          <w:numId w:val="1"/>
        </w:numPr>
        <w:spacing w:before="240" w:after="0"/>
        <w:rPr/>
      </w:pPr>
      <w:r>
        <w:rPr/>
        <w:t>Direct-glue-down installation.</w:t>
      </w:r>
    </w:p>
    <w:p>
      <w:pPr>
        <w:pStyle w:val="PR2"/>
        <w:numPr>
          <w:ilvl w:val="5"/>
          <w:numId w:val="1"/>
        </w:numPr>
        <w:rPr/>
      </w:pPr>
      <w:r>
        <w:rPr/>
        <w:t>Double-glue-down installation.</w:t>
      </w:r>
    </w:p>
    <w:p>
      <w:pPr>
        <w:pStyle w:val="PR2"/>
        <w:numPr>
          <w:ilvl w:val="5"/>
          <w:numId w:val="1"/>
        </w:numPr>
        <w:rPr/>
      </w:pPr>
      <w:r>
        <w:rPr/>
        <w:t>Carpet with attached-cushion installation.</w:t>
      </w:r>
    </w:p>
    <w:p>
      <w:pPr>
        <w:pStyle w:val="PR2"/>
        <w:numPr>
          <w:ilvl w:val="5"/>
          <w:numId w:val="1"/>
        </w:numPr>
        <w:rPr/>
      </w:pPr>
      <w:r>
        <w:rPr/>
        <w:t>Preapplied adhesive installation.</w:t>
      </w:r>
    </w:p>
    <w:p>
      <w:pPr>
        <w:pStyle w:val="PR2"/>
        <w:numPr>
          <w:ilvl w:val="5"/>
          <w:numId w:val="1"/>
        </w:numPr>
        <w:rPr/>
      </w:pPr>
      <w:r>
        <w:rPr/>
        <w:t>Hook-and-loop installation.</w:t>
      </w:r>
    </w:p>
    <w:p>
      <w:pPr>
        <w:pStyle w:val="PR2"/>
        <w:numPr>
          <w:ilvl w:val="5"/>
          <w:numId w:val="1"/>
        </w:numPr>
        <w:rPr/>
      </w:pPr>
      <w:r>
        <w:rPr/>
        <w:t>Stretch-in installation.</w:t>
      </w:r>
    </w:p>
    <w:p>
      <w:pPr>
        <w:pStyle w:val="PR2"/>
        <w:numPr>
          <w:ilvl w:val="5"/>
          <w:numId w:val="1"/>
        </w:numPr>
        <w:rPr/>
      </w:pPr>
      <w:r>
        <w:rPr/>
        <w:t>Stair installation.</w:t>
      </w:r>
    </w:p>
    <w:p>
      <w:pPr>
        <w:pStyle w:val="PR1"/>
        <w:numPr>
          <w:ilvl w:val="4"/>
          <w:numId w:val="1"/>
        </w:numPr>
        <w:rPr/>
      </w:pPr>
      <w:r>
        <w:rPr/>
        <w:t>Comply with carpet manufacturer's written instructions and Shop Drawings for seam locations and direction of carpet; maintain uniformity of carpet direction and lay of pile. At doorways, center seams under the door in closed position.</w:t>
      </w:r>
    </w:p>
    <w:p>
      <w:pPr>
        <w:pStyle w:val="CMT"/>
        <w:rPr/>
      </w:pPr>
      <w:r>
        <w:rPr/>
        <w:t>Retain "Stretch-in Carpet Installation" Subparagraph below if applicable.</w:t>
      </w:r>
    </w:p>
    <w:p>
      <w:pPr>
        <w:pStyle w:val="PR2"/>
        <w:numPr>
          <w:ilvl w:val="5"/>
          <w:numId w:val="1"/>
        </w:numPr>
        <w:spacing w:before="240" w:after="0"/>
        <w:rPr/>
      </w:pPr>
      <w:r>
        <w:rPr/>
        <w:t>Stretch-in Carpet Installation: Install carpet cushion seams at 90-degree angle with carpet seams.</w:t>
      </w:r>
    </w:p>
    <w:p>
      <w:pPr>
        <w:pStyle w:val="CMT"/>
        <w:rPr/>
      </w:pPr>
      <w:r>
        <w:rPr/>
        <w:t>Retain first paragraph below if carpet has pattern.</w:t>
      </w:r>
    </w:p>
    <w:p>
      <w:pPr>
        <w:pStyle w:val="PR1"/>
        <w:numPr>
          <w:ilvl w:val="4"/>
          <w:numId w:val="1"/>
        </w:numPr>
        <w:rPr/>
      </w:pPr>
      <w:r>
        <w:rPr/>
        <w:t>Install [</w:t>
      </w:r>
      <w:r>
        <w:rPr>
          <w:b/>
        </w:rPr>
        <w:t>pattern parallel to walls and borders</w:t>
      </w:r>
      <w:r>
        <w:rPr/>
        <w:t>] [</w:t>
      </w:r>
      <w:r>
        <w:rPr>
          <w:b/>
        </w:rPr>
        <w:t>as indicated on Drawings</w:t>
      </w:r>
      <w:r>
        <w:rPr/>
        <w:t>] &lt;</w:t>
      </w:r>
      <w:r>
        <w:rPr>
          <w:b/>
        </w:rPr>
        <w:t>Insert requirements</w:t>
      </w:r>
      <w:r>
        <w:rPr/>
        <w:t>&gt;.</w:t>
      </w:r>
    </w:p>
    <w:p>
      <w:pPr>
        <w:pStyle w:val="PR1"/>
        <w:numPr>
          <w:ilvl w:val="4"/>
          <w:numId w:val="1"/>
        </w:numPr>
        <w:rPr/>
      </w:pPr>
      <w:r>
        <w:rPr/>
        <w:t>Install borders with mitered corner seams.</w:t>
      </w:r>
    </w:p>
    <w:p>
      <w:pPr>
        <w:pStyle w:val="PR1"/>
        <w:numPr>
          <w:ilvl w:val="4"/>
          <w:numId w:val="1"/>
        </w:numPr>
        <w:rPr/>
      </w:pPr>
      <w:r>
        <w:rPr/>
        <w:t>Do not bridge building expansion joints with carpet.</w:t>
      </w:r>
    </w:p>
    <w:p>
      <w:pPr>
        <w:pStyle w:val="PR1"/>
        <w:numPr>
          <w:ilvl w:val="4"/>
          <w:numId w:val="1"/>
        </w:numPr>
        <w:rPr/>
      </w:pPr>
      <w:r>
        <w:rPr/>
        <w:t>Cut and fit carpet to butt tightly to vertical surfaces, permanent fixtures, and built-in furniture including cabinets, pipes, outlets, edgings, thresholds, and nosings. Bind or seal cut edges as recommended by carpet manufacturer.</w:t>
      </w:r>
    </w:p>
    <w:p>
      <w:pPr>
        <w:pStyle w:val="PR1"/>
        <w:numPr>
          <w:ilvl w:val="4"/>
          <w:numId w:val="1"/>
        </w:numPr>
        <w:rPr/>
      </w:pPr>
      <w:r>
        <w:rPr/>
        <w:t>Extend carpet into toe spaces, door reveals, closets, open-bottomed obstructions, removable flanges, alcoves, and similar openings.</w:t>
      </w:r>
    </w:p>
    <w:p>
      <w:pPr>
        <w:pStyle w:val="PR1"/>
        <w:numPr>
          <w:ilvl w:val="4"/>
          <w:numId w:val="1"/>
        </w:numPr>
        <w:rPr/>
      </w:pPr>
      <w:r>
        <w:rPr/>
        <w:t>Maintain reference markers, holes, and openings that are in place or marked for future cutting by repeating on carpet as marked on subfloor. Use nonpermanent, nonstaining marking device.</w:t>
      </w:r>
    </w:p>
    <w:p>
      <w:pPr>
        <w:pStyle w:val="ART"/>
        <w:numPr>
          <w:ilvl w:val="3"/>
          <w:numId w:val="1"/>
        </w:numPr>
        <w:ind w:hanging="0" w:left="0"/>
        <w:rPr/>
      </w:pPr>
      <w:r>
        <w:rPr/>
        <w:t>CLEANING AND PROTECTION</w:t>
      </w:r>
    </w:p>
    <w:p>
      <w:pPr>
        <w:pStyle w:val="PR1"/>
        <w:numPr>
          <w:ilvl w:val="4"/>
          <w:numId w:val="1"/>
        </w:numPr>
        <w:rPr/>
      </w:pPr>
      <w:r>
        <w:rPr/>
        <w:t>Perform the following operations immediately after installing carpet:</w:t>
      </w:r>
    </w:p>
    <w:p>
      <w:pPr>
        <w:pStyle w:val="PR2"/>
        <w:numPr>
          <w:ilvl w:val="5"/>
          <w:numId w:val="1"/>
        </w:numPr>
        <w:spacing w:before="240" w:after="0"/>
        <w:rPr/>
      </w:pPr>
      <w:r>
        <w:rPr/>
        <w:t>Remove excess adhesive, seam sealer, and other surface blemishes using cleaner recommended by carpet manufacturer.</w:t>
      </w:r>
    </w:p>
    <w:p>
      <w:pPr>
        <w:pStyle w:val="PR2"/>
        <w:numPr>
          <w:ilvl w:val="5"/>
          <w:numId w:val="1"/>
        </w:numPr>
        <w:rPr/>
      </w:pPr>
      <w:r>
        <w:rPr/>
        <w:t>Remove yarns that protrude from carpet surface.</w:t>
      </w:r>
    </w:p>
    <w:p>
      <w:pPr>
        <w:pStyle w:val="PR2"/>
        <w:numPr>
          <w:ilvl w:val="5"/>
          <w:numId w:val="1"/>
        </w:numPr>
        <w:rPr/>
      </w:pPr>
      <w:r>
        <w:rPr/>
        <w:t>Vacuum carpet using commercial machine with face-beater element.</w:t>
      </w:r>
    </w:p>
    <w:p>
      <w:pPr>
        <w:pStyle w:val="PR1"/>
        <w:numPr>
          <w:ilvl w:val="4"/>
          <w:numId w:val="1"/>
        </w:numPr>
        <w:rPr/>
      </w:pPr>
      <w:r>
        <w:rPr/>
        <w:t>Protect installed carpet to comply with the Carpet and Rug Institute's CRI 104.</w:t>
      </w:r>
    </w:p>
    <w:p>
      <w:pPr>
        <w:pStyle w:val="CMT"/>
        <w:rPr/>
      </w:pPr>
      <w:r>
        <w:rPr/>
        <w:t>Retain first option in paragraph below if carpet cushion is required for stretch-in applications. Retain second option for glue-down applications and third for double-glue-down applications.</w:t>
      </w:r>
    </w:p>
    <w:p>
      <w:pPr>
        <w:pStyle w:val="PR1"/>
        <w:numPr>
          <w:ilvl w:val="4"/>
          <w:numId w:val="1"/>
        </w:numPr>
        <w:rPr/>
      </w:pPr>
      <w:r>
        <w:rPr/>
        <w:t>Protect carpet against damage from construction operations and placement of equipment and fixtures during the remainder of construction period. Use protection methods recommended in writing by carpet manufacturer [</w:t>
      </w:r>
      <w:r>
        <w:rPr>
          <w:b/>
        </w:rPr>
        <w:t>and carpet cushion manufacturer</w:t>
      </w:r>
      <w:r>
        <w:rPr/>
        <w:t>] [</w:t>
      </w:r>
      <w:r>
        <w:rPr>
          <w:b/>
        </w:rPr>
        <w:t>and carpet adhesive manufacturer</w:t>
      </w:r>
      <w:r>
        <w:rPr/>
        <w:t>] [</w:t>
      </w:r>
      <w:r>
        <w:rPr>
          <w:b/>
        </w:rPr>
        <w:t>and carpet cushion and adhesive manufacturers</w:t>
      </w:r>
      <w:r>
        <w:rPr/>
        <w:t>].</w:t>
      </w:r>
    </w:p>
    <w:p>
      <w:pPr>
        <w:pStyle w:val="EOS"/>
        <w:rPr/>
      </w:pPr>
      <w:r>
        <w:rPr/>
        <w:t>END OF SECTION 096816</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SHEET CARPETING</w:t>
          </w:r>
        </w:p>
      </w:tc>
      <w:tc>
        <w:tcPr>
          <w:tcW w:w="1872" w:type="dxa"/>
          <w:tcBorders/>
        </w:tcPr>
        <w:p>
          <w:pPr>
            <w:pStyle w:val="RJUST"/>
            <w:rPr/>
          </w:pPr>
          <w:r>
            <w:rPr>
              <w:rStyle w:val="NUM"/>
            </w:rPr>
            <w:t>096816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096816"/>
    <w:docVar w:name="MF95" w:val="09680"/>
    <w:docVar w:name="MFOrigin" w:val="MF04"/>
    <w:docVar w:name="SectionID" w:val="293"/>
    <w:docVar w:name="SpecType" w:val="MasterSpec"/>
    <w:docVar w:name="Version" w:val="1409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816&amp;ver=06-01-18&amp;format=FL&amp;sid=14097&amp;utm_source=MasterSpec&amp;utm_medium=Word" TargetMode="External"/><Relationship Id="rId3" Type="http://schemas.openxmlformats.org/officeDocument/2006/relationships/hyperlink" Target="http://www.productmasterspec.com/construction_specifications?mf04=096816&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66" TargetMode="External"/><Relationship Id="rId6" Type="http://schemas.openxmlformats.org/officeDocument/2006/relationships/hyperlink" Target="http://www.arcomnet.com/sustainable_design.aspx?topic=16" TargetMode="External"/><Relationship Id="rId7" Type="http://schemas.openxmlformats.org/officeDocument/2006/relationships/hyperlink" Target="http://www.specagent.com/LookUp/?ulid=9641&amp;mf=04&amp;src=wd" TargetMode="External"/><Relationship Id="rId8" Type="http://schemas.openxmlformats.org/officeDocument/2006/relationships/hyperlink" Target="http://www.arcomnet.com/sustainable_design.aspx?topic=207" TargetMode="External"/><Relationship Id="rId9" Type="http://schemas.openxmlformats.org/officeDocument/2006/relationships/hyperlink" Target="http://www.specagent.com/LookUp/?ulid=9642&amp;mf=04&amp;src=wd" TargetMode="External"/><Relationship Id="rId10" Type="http://schemas.openxmlformats.org/officeDocument/2006/relationships/hyperlink" Target="http://www.arcomnet.com/sustainable_design.aspx?topic=207" TargetMode="External"/><Relationship Id="rId11" Type="http://schemas.openxmlformats.org/officeDocument/2006/relationships/hyperlink" Target="http://www.specagent.com/LookUp/?ulid=9643&amp;mf=04&amp;src=wd" TargetMode="External"/><Relationship Id="rId12" Type="http://schemas.openxmlformats.org/officeDocument/2006/relationships/hyperlink" Target="http://www.arcomnet.com/sustainable_design.aspx?topic=207" TargetMode="External"/><Relationship Id="rId13" Type="http://schemas.openxmlformats.org/officeDocument/2006/relationships/hyperlink" Target="http://www.arcomnet.com/sustainable_design.aspx?topic=168" TargetMode="External"/><Relationship Id="rId14" Type="http://schemas.openxmlformats.org/officeDocument/2006/relationships/hyperlink" Target="http://www.arcomnet.com/sustainable_design.aspx?topic=43"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2022-09-26T02:17:00Z</dcterms:created>
  <dc:creator>Deltek, Inc.</dc:creator>
  <dc:description/>
  <cp:keywords>BAS-12345-MS80</cp:keywords>
  <dc:language>zh-CN</dc:language>
  <cp:lastModifiedBy>Janice Nacional</cp:lastModifiedBy>
  <dcterms:modified xsi:type="dcterms:W3CDTF">2022-09-26T02:17:00Z</dcterms:modified>
  <cp:revision>2</cp:revision>
  <dc:subject>SHEET CARPETING</dc:subject>
  <dc:title>SECTION 096816 - SHEET CARPETING</dc:title>
</cp:coreProperties>
</file>