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099419</w:t>
      </w:r>
      <w:r>
        <w:rPr/>
        <w:t xml:space="preserve"> - </w:t>
      </w:r>
      <w:r>
        <w:rPr>
          <w:rStyle w:val="NAM"/>
        </w:rPr>
        <w:t>MULTICOLOR INTERIOR FINISHING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surface preparation and field application of multicolor interior finishing systems[</w:t>
      </w:r>
      <w:r>
        <w:rPr>
          <w:b/>
        </w:rPr>
        <w:t>.</w:t>
      </w:r>
      <w:r>
        <w:rPr/>
        <w:t>] [</w:t>
      </w:r>
      <w:r>
        <w:rPr>
          <w:b/>
        </w:rPr>
        <w:t>applied on the following substrates:</w:t>
      </w:r>
      <w:r>
        <w:rPr/>
        <w:t>]</w:t>
      </w:r>
    </w:p>
    <w:p>
      <w:pPr>
        <w:pStyle w:val="PR2"/>
        <w:numPr>
          <w:ilvl w:val="5"/>
          <w:numId w:val="1"/>
        </w:numPr>
        <w:spacing w:before="240" w:after="0"/>
        <w:ind w:hanging="0" w:left="0"/>
        <w:rPr/>
      </w:pPr>
      <w:r>
        <w:rPr/>
        <w:t>Vertical concrete.</w:t>
      </w:r>
    </w:p>
    <w:p>
      <w:pPr>
        <w:pStyle w:val="PR2"/>
        <w:numPr>
          <w:ilvl w:val="5"/>
          <w:numId w:val="1"/>
        </w:numPr>
        <w:ind w:hanging="0" w:left="0"/>
        <w:rPr/>
      </w:pPr>
      <w:r>
        <w:rPr/>
        <w:t>Cementitious composition board.</w:t>
      </w:r>
    </w:p>
    <w:p>
      <w:pPr>
        <w:pStyle w:val="PR2"/>
        <w:numPr>
          <w:ilvl w:val="5"/>
          <w:numId w:val="1"/>
        </w:numPr>
        <w:ind w:hanging="0" w:left="0"/>
        <w:rPr/>
      </w:pPr>
      <w:r>
        <w:rPr/>
        <w:t>Clay masonry units.</w:t>
      </w:r>
    </w:p>
    <w:p>
      <w:pPr>
        <w:pStyle w:val="PR2"/>
        <w:numPr>
          <w:ilvl w:val="5"/>
          <w:numId w:val="1"/>
        </w:numPr>
        <w:ind w:hanging="0" w:left="0"/>
        <w:rPr/>
      </w:pPr>
      <w:r>
        <w:rPr/>
        <w:t>Concrete masonry units (CMU).</w:t>
      </w:r>
    </w:p>
    <w:p>
      <w:pPr>
        <w:pStyle w:val="PR2"/>
        <w:numPr>
          <w:ilvl w:val="5"/>
          <w:numId w:val="1"/>
        </w:numPr>
        <w:ind w:hanging="0" w:left="0"/>
        <w:rPr/>
      </w:pPr>
      <w:r>
        <w:rPr/>
        <w:t>Wood.</w:t>
      </w:r>
    </w:p>
    <w:p>
      <w:pPr>
        <w:pStyle w:val="PR2"/>
        <w:numPr>
          <w:ilvl w:val="5"/>
          <w:numId w:val="1"/>
        </w:numPr>
        <w:ind w:hanging="0" w:left="0"/>
        <w:rPr/>
      </w:pPr>
      <w:r>
        <w:rPr/>
        <w:t>Fiberglass moldings and trim.</w:t>
      </w:r>
    </w:p>
    <w:p>
      <w:pPr>
        <w:pStyle w:val="PR2"/>
        <w:numPr>
          <w:ilvl w:val="5"/>
          <w:numId w:val="1"/>
        </w:numPr>
        <w:ind w:hanging="0" w:left="0"/>
        <w:rPr/>
      </w:pPr>
      <w:r>
        <w:rPr/>
        <w:t>Plastic moldings and trim.</w:t>
      </w:r>
    </w:p>
    <w:p>
      <w:pPr>
        <w:pStyle w:val="PR2"/>
        <w:numPr>
          <w:ilvl w:val="5"/>
          <w:numId w:val="1"/>
        </w:numPr>
        <w:ind w:hanging="0" w:left="0"/>
        <w:rPr/>
      </w:pPr>
      <w:r>
        <w:rPr/>
        <w:t>Plaster.</w:t>
      </w:r>
    </w:p>
    <w:p>
      <w:pPr>
        <w:pStyle w:val="PR2"/>
        <w:numPr>
          <w:ilvl w:val="5"/>
          <w:numId w:val="1"/>
        </w:numPr>
        <w:ind w:hanging="0" w:left="0"/>
        <w:rPr/>
      </w:pPr>
      <w:r>
        <w:rPr/>
        <w:t>Gypsum veneer plaster.</w:t>
      </w:r>
    </w:p>
    <w:p>
      <w:pPr>
        <w:pStyle w:val="PR2"/>
        <w:numPr>
          <w:ilvl w:val="5"/>
          <w:numId w:val="1"/>
        </w:numPr>
        <w:ind w:hanging="0" w:left="0"/>
        <w:rPr/>
      </w:pPr>
      <w:r>
        <w:rPr/>
        <w:t>Gypsum board.</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099123 "Interior Painting" for special-use coatings and general field painting.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coatings.&gt;</w:t>
        </w:r>
      </w:hyperlink>
    </w:p>
    <w:p>
      <w:pPr>
        <w:pStyle w:val="CMT"/>
        <w:rPr/>
      </w:pPr>
      <w:r>
        <w:rPr/>
        <w:t>Retain "Samples" Paragraph below for single-stage Samples. Retain "Samples for Initial Selection" and "Samples for Verification" paragraphs for two-stage Samples.</w:t>
      </w:r>
    </w:p>
    <w:p>
      <w:pPr>
        <w:pStyle w:val="PR1"/>
        <w:numPr>
          <w:ilvl w:val="4"/>
          <w:numId w:val="1"/>
        </w:numPr>
        <w:ind w:hanging="0" w:left="0"/>
        <w:rPr/>
      </w:pPr>
      <w:r>
        <w:rPr/>
        <w:t xml:space="preserve">Samples: For each exposed product and for each color and texture specified, </w:t>
      </w:r>
      <w:r>
        <w:rPr>
          <w:rStyle w:val="IP"/>
        </w:rPr>
        <w:t>8 inches</w:t>
      </w:r>
      <w:r>
        <w:rPr>
          <w:rStyle w:val="SI"/>
        </w:rPr>
        <w:t xml:space="preserve"> (200 mm)</w:t>
      </w:r>
      <w:r>
        <w:rPr/>
        <w:t xml:space="preserve"> square in size.</w:t>
      </w:r>
    </w:p>
    <w:p>
      <w:pPr>
        <w:pStyle w:val="PR1"/>
        <w:numPr>
          <w:ilvl w:val="4"/>
          <w:numId w:val="1"/>
        </w:numPr>
        <w:ind w:hanging="0" w:left="0"/>
        <w:rPr/>
      </w:pPr>
      <w:r>
        <w:rPr/>
        <w:t>Samples for Initial Selection: For each multicolor finishing system indicated.</w:t>
      </w:r>
    </w:p>
    <w:p>
      <w:pPr>
        <w:pStyle w:val="PR1"/>
        <w:numPr>
          <w:ilvl w:val="4"/>
          <w:numId w:val="1"/>
        </w:numPr>
        <w:ind w:hanging="0" w:left="0"/>
        <w:rPr/>
      </w:pPr>
      <w:r>
        <w:rPr/>
        <w:t>Samples for Verification: For each multicolor finishing system and in each color, pattern, and pigment density indicated.</w:t>
      </w:r>
    </w:p>
    <w:p>
      <w:pPr>
        <w:pStyle w:val="PR2"/>
        <w:numPr>
          <w:ilvl w:val="5"/>
          <w:numId w:val="1"/>
        </w:numPr>
        <w:spacing w:before="240" w:after="0"/>
        <w:ind w:hanging="0" w:left="0"/>
        <w:rPr/>
      </w:pPr>
      <w:r>
        <w:rPr/>
        <w:t xml:space="preserve">Submit Samples on rigid backing, </w:t>
      </w:r>
      <w:r>
        <w:rPr>
          <w:rStyle w:val="IP"/>
        </w:rPr>
        <w:t>8 inches</w:t>
      </w:r>
      <w:r>
        <w:rPr>
          <w:rStyle w:val="SI"/>
        </w:rPr>
        <w:t xml:space="preserve"> (200 mm)</w:t>
      </w:r>
      <w:r>
        <w:rPr/>
        <w:t xml:space="preserve"> square.</w:t>
      </w:r>
    </w:p>
    <w:p>
      <w:pPr>
        <w:pStyle w:val="PR2"/>
        <w:numPr>
          <w:ilvl w:val="5"/>
          <w:numId w:val="1"/>
        </w:numPr>
        <w:ind w:hanging="0" w:left="0"/>
        <w:rPr/>
      </w:pPr>
      <w:r>
        <w:rPr/>
        <w:t>Label each Sample for location and application area.</w:t>
      </w:r>
    </w:p>
    <w:p>
      <w:pPr>
        <w:pStyle w:val="PR1"/>
        <w:numPr>
          <w:ilvl w:val="4"/>
          <w:numId w:val="1"/>
        </w:numPr>
        <w:ind w:hanging="0" w:left="0"/>
        <w:rPr/>
      </w:pPr>
      <w:r>
        <w:rPr/>
        <w:t>Product Schedule: For multicolor finishing systems.[</w:t>
      </w:r>
      <w:r>
        <w:rPr>
          <w:b/>
        </w:rPr>
        <w:t> Use same designations indicated on Drawings.</w:t>
      </w:r>
      <w:r>
        <w:rPr/>
        <w:t>]</w:t>
      </w:r>
    </w:p>
    <w:p>
      <w:pPr>
        <w:pStyle w:val="ART"/>
        <w:numPr>
          <w:ilvl w:val="3"/>
          <w:numId w:val="1"/>
        </w:numPr>
        <w:ind w:hanging="0" w:left="0"/>
        <w:rPr/>
      </w:pPr>
      <w:r>
        <w:rPr/>
        <w:t>QUALITY ASSURANCE</w:t>
      </w:r>
    </w:p>
    <w:p>
      <w:pPr>
        <w:pStyle w:val="PR1"/>
        <w:numPr>
          <w:ilvl w:val="4"/>
          <w:numId w:val="1"/>
        </w:numPr>
        <w:ind w:hanging="0" w:left="0"/>
        <w:rPr/>
      </w:pPr>
      <w:r>
        <w:rPr/>
        <w:t>Mockups: Apply mockup of each coating system indicated to verify preliminary selections made under Sample submittals, to demonstrate aesthetic effects, and to set quality standards for materials and execution.</w:t>
      </w:r>
    </w:p>
    <w:p>
      <w:pPr>
        <w:pStyle w:val="PR2"/>
        <w:numPr>
          <w:ilvl w:val="5"/>
          <w:numId w:val="1"/>
        </w:numPr>
        <w:spacing w:before="240" w:after="0"/>
        <w:ind w:hanging="0" w:left="0"/>
        <w:rPr/>
      </w:pPr>
      <w:r>
        <w:rPr/>
        <w:t>Architect will select one surface to represent surfaces and conditions for application of each coating system and type of substrate.</w:t>
      </w:r>
    </w:p>
    <w:p>
      <w:pPr>
        <w:pStyle w:val="PR3"/>
        <w:numPr>
          <w:ilvl w:val="6"/>
          <w:numId w:val="1"/>
        </w:numPr>
        <w:spacing w:before="240" w:after="0"/>
        <w:ind w:hanging="0" w:left="0"/>
        <w:rPr/>
      </w:pPr>
      <w:r>
        <w:rPr/>
        <w:t xml:space="preserve">Wall Surfaces: Provide mockups of at least </w:t>
      </w:r>
      <w:r>
        <w:rPr>
          <w:rStyle w:val="IP"/>
        </w:rPr>
        <w:t>100 sq. ft.</w:t>
      </w:r>
      <w:r>
        <w:rPr>
          <w:rStyle w:val="SI"/>
        </w:rPr>
        <w:t xml:space="preserve"> (9 sq. m)</w:t>
      </w:r>
      <w:r>
        <w:rPr/>
        <w:t>.</w:t>
      </w:r>
    </w:p>
    <w:p>
      <w:pPr>
        <w:pStyle w:val="PR3"/>
        <w:numPr>
          <w:ilvl w:val="6"/>
          <w:numId w:val="1"/>
        </w:numPr>
        <w:ind w:hanging="0" w:left="0"/>
        <w:rPr/>
      </w:pPr>
      <w:r>
        <w:rPr/>
        <w:t>Other Items: Architect will designate items or areas required.</w:t>
      </w:r>
    </w:p>
    <w:p>
      <w:pPr>
        <w:pStyle w:val="PR2"/>
        <w:numPr>
          <w:ilvl w:val="5"/>
          <w:numId w:val="1"/>
        </w:numPr>
        <w:spacing w:before="240" w:after="0"/>
        <w:ind w:hanging="0" w:left="0"/>
        <w:rPr/>
      </w:pPr>
      <w:r>
        <w:rPr/>
        <w:t>Apply mockup after permanent lighting and other environmental services have been activated.</w:t>
      </w:r>
    </w:p>
    <w:p>
      <w:pPr>
        <w:pStyle w:val="PR2"/>
        <w:numPr>
          <w:ilvl w:val="5"/>
          <w:numId w:val="1"/>
        </w:numPr>
        <w:ind w:hanging="0" w:left="0"/>
        <w:rPr/>
      </w:pPr>
      <w:r>
        <w:rPr/>
        <w:t>Final approval of color and pattern selections will be based on mockup.</w:t>
      </w:r>
    </w:p>
    <w:p>
      <w:pPr>
        <w:pStyle w:val="PR3"/>
        <w:numPr>
          <w:ilvl w:val="6"/>
          <w:numId w:val="1"/>
        </w:numPr>
        <w:spacing w:before="240" w:after="0"/>
        <w:ind w:hanging="0" w:left="0"/>
        <w:rPr/>
      </w:pPr>
      <w:r>
        <w:rPr/>
        <w:t>If preliminary color and pattern selections are not approved, apply additional mockups of colors and patterns selected by Architect at no added cost to Owner.</w:t>
      </w:r>
    </w:p>
    <w:p>
      <w:pPr>
        <w:pStyle w:val="PR2"/>
        <w:numPr>
          <w:ilvl w:val="5"/>
          <w:numId w:val="1"/>
        </w:numPr>
        <w:spacing w:before="240" w:after="0"/>
        <w:ind w:hanging="0" w:left="0"/>
        <w:rPr/>
      </w:pPr>
      <w:r>
        <w:rPr/>
        <w:t xml:space="preserve">Repair Mockup: After approval of color and pattern selections, apply representative repairs to </w:t>
      </w:r>
      <w:r>
        <w:rPr>
          <w:rStyle w:val="IP"/>
        </w:rPr>
        <w:t>100 sq. in.</w:t>
      </w:r>
      <w:r>
        <w:rPr>
          <w:rStyle w:val="SI"/>
        </w:rPr>
        <w:t xml:space="preserve"> (645 sq. cm)</w:t>
      </w:r>
      <w:r>
        <w:rPr/>
        <w:t xml:space="preserve"> of mockup to establish quality standards for coating system repairs.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materials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ind w:hanging="0" w:left="0"/>
        <w:rPr/>
      </w:pPr>
      <w:r>
        <w:rPr/>
        <w:t>Maintain containers in clean condition, free of foreign materials and residue.</w:t>
      </w:r>
    </w:p>
    <w:p>
      <w:pPr>
        <w:pStyle w:val="PR2"/>
        <w:numPr>
          <w:ilvl w:val="5"/>
          <w:numId w:val="1"/>
        </w:numPr>
        <w:ind w:hanging="0" w:left="0"/>
        <w:rPr/>
      </w:pPr>
      <w:r>
        <w:rPr/>
        <w:t>Remove rags and waste from storage areas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PR1"/>
        <w:numPr>
          <w:ilvl w:val="4"/>
          <w:numId w:val="1"/>
        </w:numPr>
        <w:ind w:hanging="0" w:left="0"/>
        <w:rPr/>
      </w:pPr>
      <w:r>
        <w:rPr/>
        <w:t>Environmental Limitations: Do not apply coatings until spaces are enclosed and weatherproof, work above ceilings is complete, and ambient temperature and humidity conditions are maintained at the levels indicated for Project when occupied for its intended use.</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To efficiently edit Part 2, first edit "Multicolor Interior Finishing Schedule" Article at the end of Part 3. Then retain, delete, and insert appropriate products in Part 2 to coordinate with coating systems retained in Part 3.</w:t>
      </w:r>
    </w:p>
    <w:p>
      <w:pPr>
        <w:pStyle w:val="ART"/>
        <w:numPr>
          <w:ilvl w:val="3"/>
          <w:numId w:val="1"/>
        </w:numPr>
        <w:ind w:hanging="0" w:left="0"/>
        <w:rPr/>
      </w:pPr>
      <w:r>
        <w:rPr/>
        <w:t>MULTICOLOR FINISHING SYSTEMS</w:t>
      </w:r>
    </w:p>
    <w:p>
      <w:pPr>
        <w:pStyle w:val="CMT"/>
        <w:rPr/>
      </w:pPr>
      <w:r>
        <w:rPr/>
        <w:t>For renovation projects, consult "MPI Maintenance Repainting Manual" and revise "Master Painters Institute (MPI) Standards" Paragraph below and systems specified in "Multicolor Interior Finishing Schedule" Article.</w:t>
      </w:r>
    </w:p>
    <w:p>
      <w:pPr>
        <w:pStyle w:val="PR1"/>
        <w:numPr>
          <w:ilvl w:val="4"/>
          <w:numId w:val="1"/>
        </w:numPr>
        <w:ind w:hanging="0" w:left="0"/>
        <w:rPr/>
      </w:pPr>
      <w:r>
        <w:rPr/>
        <w:t>Master Painters Institute (MPI) Standards: Comply with recommendations in "MPI Architectural Painting Specification Manual" applicable to products and coating systems indicated.</w:t>
      </w:r>
    </w:p>
    <w:p>
      <w:pPr>
        <w:pStyle w:val="CMT"/>
        <w:rPr/>
      </w:pPr>
      <w:r>
        <w:rPr/>
        <w:t>Usually retain "Material Compatibility" Paragraph below. Systems could fail if coats are incompatible.</w:t>
      </w:r>
    </w:p>
    <w:p>
      <w:pPr>
        <w:pStyle w:val="PR1"/>
        <w:numPr>
          <w:ilvl w:val="4"/>
          <w:numId w:val="1"/>
        </w:numPr>
        <w:ind w:hanging="0" w:left="0"/>
        <w:rPr/>
      </w:pPr>
      <w:r>
        <w:rPr/>
        <w:t>Material Compatibility: Provide materials for use within each coating system that are compatible with one another and substrates indicated under conditions of service and application, as demonstrated by manufacturer based on testing and field experience.</w:t>
      </w:r>
    </w:p>
    <w:p>
      <w:pPr>
        <w:pStyle w:val="PR1"/>
        <w:numPr>
          <w:ilvl w:val="4"/>
          <w:numId w:val="1"/>
        </w:numPr>
        <w:ind w:hanging="0" w:left="0"/>
        <w:rPr/>
      </w:pPr>
      <w:hyperlink r:id="rId4">
        <w:r>
          <w:rPr>
            <w:rStyle w:val="Hyperlink"/>
          </w:rPr>
          <w:t>&lt;Double click to insert sustainable design text for paints.&gt;</w:t>
        </w:r>
      </w:hyperlink>
    </w:p>
    <w:p>
      <w:pPr>
        <w:pStyle w:val="PR1"/>
        <w:numPr>
          <w:ilvl w:val="4"/>
          <w:numId w:val="1"/>
        </w:numPr>
        <w:ind w:hanging="0" w:left="0"/>
        <w:rPr/>
      </w:pPr>
      <w:r>
        <w:rPr/>
        <w:t>Colors and Patterns: [</w:t>
      </w:r>
      <w:r>
        <w:rPr>
          <w:b/>
        </w:rPr>
        <w:t>Match Architect's samples</w:t>
      </w:r>
      <w:r>
        <w:rPr/>
        <w:t>] [</w:t>
      </w:r>
      <w:r>
        <w:rPr>
          <w:b/>
        </w:rPr>
        <w:t>As selected by Architect from manufacturer's full range</w:t>
      </w:r>
      <w:r>
        <w:rPr/>
        <w:t>] [</w:t>
      </w:r>
      <w:r>
        <w:rPr>
          <w:b/>
        </w:rPr>
        <w:t>As indicated in finish schedule</w:t>
      </w:r>
      <w:r>
        <w:rPr/>
        <w:t>] &lt;</w:t>
      </w:r>
      <w:r>
        <w:rPr>
          <w:b/>
        </w:rPr>
        <w:t>Insert requirements</w:t>
      </w:r>
      <w:r>
        <w:rPr/>
        <w:t>&gt;.</w:t>
      </w:r>
    </w:p>
    <w:p>
      <w:pPr>
        <w:pStyle w:val="ART"/>
        <w:numPr>
          <w:ilvl w:val="3"/>
          <w:numId w:val="1"/>
        </w:numPr>
        <w:ind w:hanging="0" w:left="0"/>
        <w:rPr/>
      </w:pPr>
      <w:r>
        <w:rPr/>
        <w:t>MULTICOLOR COATINGS</w:t>
      </w:r>
    </w:p>
    <w:p>
      <w:pPr>
        <w:pStyle w:val="PR1"/>
        <w:numPr>
          <w:ilvl w:val="4"/>
          <w:numId w:val="1"/>
        </w:numPr>
        <w:ind w:hanging="0" w:left="0"/>
        <w:rPr/>
      </w:pPr>
      <w:r>
        <w:rPr/>
        <w:t>Multicolor Coating: Water- or solvent-based coat that provides a decorative polychromatic finish.</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If retaining "Clear Topcoat" Paragraph below, coordinate with multicolor coating products.</w:t>
      </w:r>
    </w:p>
    <w:p>
      <w:pPr>
        <w:pStyle w:val="PR1"/>
        <w:numPr>
          <w:ilvl w:val="4"/>
          <w:numId w:val="1"/>
        </w:numPr>
        <w:ind w:hanging="0" w:left="0"/>
        <w:rPr/>
      </w:pPr>
      <w:r>
        <w:rPr/>
        <w:t>Clear Topcoat: Water-based, clear acrylic co-polymer emulsion or solvent-based, clear acrylic solution binder product recommended by multicolor coating manufacturer for use in multicolor coating system indicated to add surface abrasion and detergent resistance.</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FILLERS AND PRIMERS</w:t>
      </w:r>
    </w:p>
    <w:p>
      <w:pPr>
        <w:pStyle w:val="CMT"/>
        <w:rPr/>
      </w:pPr>
      <w:r>
        <w:rPr/>
        <w:t>Coordinate products retained in this article with substrates and coating systems retained in "Multicolor Interior Finishing Schedule" Article at end of Part 3.</w:t>
      </w:r>
    </w:p>
    <w:p>
      <w:pPr>
        <w:pStyle w:val="PR1"/>
        <w:numPr>
          <w:ilvl w:val="4"/>
          <w:numId w:val="1"/>
        </w:numPr>
        <w:ind w:hanging="0" w:left="0"/>
        <w:rPr/>
      </w:pPr>
      <w:r>
        <w:rPr/>
        <w:t>Fillers, sealers, and primers recommended in writing for use in coating systems by manufacturer of multicolor interior coating on substrates and under conditions indicated.</w:t>
      </w:r>
    </w:p>
    <w:p>
      <w:pPr>
        <w:pStyle w:val="PR1"/>
        <w:numPr>
          <w:ilvl w:val="4"/>
          <w:numId w:val="1"/>
        </w:numPr>
        <w:ind w:hanging="0" w:left="0"/>
        <w:rPr/>
      </w:pPr>
      <w:r>
        <w:rPr/>
        <w:t>Latex Block Filler: Waterborne, high-solids, emulsion-type, pigmented coating product recommended in writing for use in coating system indicated by manufacturer of multicolor interior coating, with bridging and filling properties, and formulated for filling surfaces of CMU for subsequent applications of finish coatings.</w:t>
      </w:r>
    </w:p>
    <w:p>
      <w:pPr>
        <w:pStyle w:val="PR1"/>
        <w:numPr>
          <w:ilvl w:val="4"/>
          <w:numId w:val="1"/>
        </w:numPr>
        <w:ind w:hanging="0" w:left="0"/>
        <w:rPr/>
      </w:pPr>
      <w:r>
        <w:rPr/>
        <w:t>Wood Filler Paste: Solvent-based, high-solids, clear paste product recommended in writing for use in coating system indicated by manufacturer of multicolor interior coating, for use on open-grained or damaged woods. The paste fills hardwood pores with minimal surface residues and without showing cracking or shrinkage. Sanding dried filler produces a smooth surface without clogging or gumming sandpaper.</w:t>
      </w:r>
    </w:p>
    <w:p>
      <w:pPr>
        <w:pStyle w:val="PR1"/>
        <w:numPr>
          <w:ilvl w:val="4"/>
          <w:numId w:val="1"/>
        </w:numPr>
        <w:ind w:hanging="0" w:left="0"/>
        <w:rPr/>
      </w:pPr>
      <w:r>
        <w:rPr/>
        <w:t>Wood-Knot Sealer: White shellac or other sealer recommended in writing for this purpose by manufacturer of multicolor interior coating.</w:t>
      </w:r>
    </w:p>
    <w:p>
      <w:pPr>
        <w:pStyle w:val="PR1"/>
        <w:numPr>
          <w:ilvl w:val="4"/>
          <w:numId w:val="1"/>
        </w:numPr>
        <w:ind w:hanging="0" w:left="0"/>
        <w:rPr/>
      </w:pPr>
      <w:r>
        <w:rPr/>
        <w:t>Primer/Sealer for Multicolor Systems: Acrylic or acrylic/polyvinyl acetate (PVA) co-polymer emulsion-type, pigmented primer/sealer product recommended in writing for use in coating system indicated by manufacturer of multicolor interior coating.</w:t>
      </w:r>
    </w:p>
    <w:p>
      <w:pPr>
        <w:pStyle w:val="PR1"/>
        <w:numPr>
          <w:ilvl w:val="4"/>
          <w:numId w:val="1"/>
        </w:numPr>
        <w:ind w:hanging="0" w:left="0"/>
        <w:rPr/>
      </w:pPr>
      <w:r>
        <w:rPr/>
        <w:t>Interior Alkyd Primer/Sealer: Solvent-based, pigmented primer/sealer.</w:t>
      </w:r>
    </w:p>
    <w:p>
      <w:pPr>
        <w:pStyle w:val="PR1"/>
        <w:numPr>
          <w:ilvl w:val="4"/>
          <w:numId w:val="1"/>
        </w:numPr>
        <w:ind w:hanging="0" w:left="0"/>
        <w:rPr/>
      </w:pPr>
      <w:r>
        <w:rPr/>
        <w:t>Water-Based Bonding Primer: Water-based, emulsion-type, pigmented primer product recommended in writing for use in coating system indicated by manufacturer of multicolor interior coating, and formulated to promote adhesion of subsequent coatings.</w:t>
      </w:r>
    </w:p>
    <w:p>
      <w:pPr>
        <w:pStyle w:val="PR1"/>
        <w:numPr>
          <w:ilvl w:val="4"/>
          <w:numId w:val="1"/>
        </w:numPr>
        <w:ind w:hanging="0" w:left="0"/>
        <w:rPr/>
      </w:pPr>
      <w:r>
        <w:rPr/>
        <w:t>Solvent-Based Bonding Primer: Solvent-based, pigmented product recommended in writing for use in coating system indicated by manufacturer of multicolor interior coating, and formulated to promote adhesion of subsequent coatings to substrate.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Applicator present, for compliance with requirements and conditions affecting performance of coatings.</w:t>
      </w:r>
    </w:p>
    <w:p>
      <w:pPr>
        <w:pStyle w:val="CMT"/>
        <w:rPr/>
      </w:pPr>
      <w:r>
        <w:rPr/>
        <w:t>Percentage listed in "Maximum Moisture Content of Substrates" Subparagraph below is based on "MPI Architectural Painting Specification Manual."</w:t>
      </w:r>
    </w:p>
    <w:p>
      <w:pPr>
        <w:pStyle w:val="PR2"/>
        <w:numPr>
          <w:ilvl w:val="5"/>
          <w:numId w:val="1"/>
        </w:numPr>
        <w:spacing w:before="240" w:after="0"/>
        <w:ind w:hanging="0" w:left="0"/>
        <w:rPr/>
      </w:pPr>
      <w:r>
        <w:rPr/>
        <w:t>Maximum Moisture Content of Substrates: 12 percent, measured with an electronic moisture meter.</w:t>
      </w:r>
    </w:p>
    <w:p>
      <w:pPr>
        <w:pStyle w:val="PR2"/>
        <w:numPr>
          <w:ilvl w:val="5"/>
          <w:numId w:val="1"/>
        </w:numPr>
        <w:ind w:hanging="0" w:left="0"/>
        <w:rPr/>
      </w:pPr>
      <w:r>
        <w:rPr/>
        <w:t>Gypsum Board Substrates: Verify that finishing compound is sanded smooth.</w:t>
      </w:r>
    </w:p>
    <w:p>
      <w:pPr>
        <w:pStyle w:val="PR2"/>
        <w:numPr>
          <w:ilvl w:val="5"/>
          <w:numId w:val="1"/>
        </w:numPr>
        <w:ind w:hanging="0" w:left="0"/>
        <w:rPr/>
      </w:pPr>
      <w:r>
        <w:rPr/>
        <w:t>Plaster Substrates: Verify that plaster is fully cured.</w:t>
      </w:r>
    </w:p>
    <w:p>
      <w:pPr>
        <w:pStyle w:val="PR2"/>
        <w:numPr>
          <w:ilvl w:val="5"/>
          <w:numId w:val="1"/>
        </w:numPr>
        <w:ind w:hanging="0" w:left="0"/>
        <w:rPr/>
      </w:pPr>
      <w:r>
        <w:rPr/>
        <w:t>Verify compatibility with and suitability of substrates, including compatibility with existing finishes or primers.</w:t>
      </w:r>
    </w:p>
    <w:p>
      <w:pPr>
        <w:pStyle w:val="PR2"/>
        <w:numPr>
          <w:ilvl w:val="5"/>
          <w:numId w:val="1"/>
        </w:numPr>
        <w:ind w:hanging="0" w:left="0"/>
        <w:rPr/>
      </w:pPr>
      <w:r>
        <w:rPr/>
        <w:t>Begin coating application only after unsatisfactory conditions have been corrected.</w:t>
      </w:r>
    </w:p>
    <w:p>
      <w:pPr>
        <w:pStyle w:val="PR2"/>
        <w:numPr>
          <w:ilvl w:val="5"/>
          <w:numId w:val="1"/>
        </w:numPr>
        <w:ind w:hanging="0" w:left="0"/>
        <w:rPr/>
      </w:pPr>
      <w:r>
        <w:rPr/>
        <w:t>Beginning coating application indicates acceptance of surfaces and conditions.</w:t>
      </w:r>
    </w:p>
    <w:p>
      <w:pPr>
        <w:pStyle w:val="ART"/>
        <w:numPr>
          <w:ilvl w:val="3"/>
          <w:numId w:val="1"/>
        </w:numPr>
        <w:ind w:hanging="0" w:left="0"/>
        <w:rPr/>
      </w:pPr>
      <w:r>
        <w:rPr/>
        <w:t>PREPARATION</w:t>
      </w:r>
    </w:p>
    <w:p>
      <w:pPr>
        <w:pStyle w:val="PR1"/>
        <w:numPr>
          <w:ilvl w:val="4"/>
          <w:numId w:val="1"/>
        </w:numPr>
        <w:ind w:hanging="0" w:left="0"/>
        <w:rPr/>
      </w:pPr>
      <w:r>
        <w:rPr/>
        <w:t>Comply with manufacturer's written instructions and recommendations in "MPI Architectural Painting Specification Manual" applicable to substrates indicated.</w:t>
      </w:r>
    </w:p>
    <w:p>
      <w:pPr>
        <w:pStyle w:val="PR1"/>
        <w:numPr>
          <w:ilvl w:val="4"/>
          <w:numId w:val="1"/>
        </w:numPr>
        <w:ind w:hanging="0" w:left="0"/>
        <w:rPr/>
      </w:pPr>
      <w:r>
        <w:rPr/>
        <w:t>Remove hardware, covers, plates, and similar items already in place that are removable and are not to be coated. If removal is impractical or impossible because of size or weight of item, provide surface-applied protection before surface preparation and coating.</w:t>
      </w:r>
    </w:p>
    <w:p>
      <w:pPr>
        <w:pStyle w:val="PR2"/>
        <w:numPr>
          <w:ilvl w:val="5"/>
          <w:numId w:val="1"/>
        </w:numPr>
        <w:spacing w:before="240" w:after="0"/>
        <w:ind w:hanging="0" w:left="0"/>
        <w:rPr/>
      </w:pPr>
      <w:r>
        <w:rPr/>
        <w:t>After completing coating operations, reinstall items that were removed; use workers skilled in the trades involved.</w:t>
      </w:r>
    </w:p>
    <w:p>
      <w:pPr>
        <w:pStyle w:val="PR1"/>
        <w:numPr>
          <w:ilvl w:val="4"/>
          <w:numId w:val="1"/>
        </w:numPr>
        <w:ind w:hanging="0" w:left="0"/>
        <w:rPr/>
      </w:pPr>
      <w:r>
        <w:rPr/>
        <w:t>Clean substrates of substances that could impair bond of coatings, including dust, dirt, oil, grease, and incompatible primers, paints, and encapsulants.</w:t>
      </w:r>
    </w:p>
    <w:p>
      <w:pPr>
        <w:pStyle w:val="PR1"/>
        <w:numPr>
          <w:ilvl w:val="4"/>
          <w:numId w:val="1"/>
        </w:numPr>
        <w:ind w:hanging="0" w:left="0"/>
        <w:rPr/>
      </w:pPr>
      <w:r>
        <w:rPr/>
        <w:t>Concrete Substrates: Remove release agents, curing compounds, efflorescence, and chalk. Do not coat surfaces if moisture content or alkalinity of surfaces to be coated exceeds that permitted in manufacturer's written instructions.</w:t>
      </w:r>
    </w:p>
    <w:p>
      <w:pPr>
        <w:pStyle w:val="PR1"/>
        <w:numPr>
          <w:ilvl w:val="4"/>
          <w:numId w:val="1"/>
        </w:numPr>
        <w:ind w:hanging="0" w:left="0"/>
        <w:rPr/>
      </w:pPr>
      <w:r>
        <w:rPr/>
        <w:t>Masonry Substrates: Remove efflorescence and chalk. Do not coat surfaces if moisture content of surfaces or if alkalinity of surfaces or mortar joints exceeds that permitted in manufacturer's written instructions.</w:t>
      </w:r>
    </w:p>
    <w:p>
      <w:pPr>
        <w:pStyle w:val="PR1"/>
        <w:numPr>
          <w:ilvl w:val="4"/>
          <w:numId w:val="1"/>
        </w:numPr>
        <w:ind w:hanging="0" w:left="0"/>
        <w:rPr/>
      </w:pPr>
      <w:r>
        <w:rPr/>
        <w:t>Wood Substrates:</w:t>
      </w:r>
    </w:p>
    <w:p>
      <w:pPr>
        <w:pStyle w:val="PR2"/>
        <w:numPr>
          <w:ilvl w:val="5"/>
          <w:numId w:val="1"/>
        </w:numPr>
        <w:spacing w:before="240" w:after="0"/>
        <w:ind w:hanging="0" w:left="0"/>
        <w:rPr/>
      </w:pPr>
      <w:r>
        <w:rPr/>
        <w:t>Scrape and clean small, dry, seasoned knots, and apply a thin coat of knot sealer before applying primer.</w:t>
      </w:r>
    </w:p>
    <w:p>
      <w:pPr>
        <w:pStyle w:val="PR2"/>
        <w:numPr>
          <w:ilvl w:val="5"/>
          <w:numId w:val="1"/>
        </w:numPr>
        <w:ind w:hanging="0" w:left="0"/>
        <w:rPr/>
      </w:pPr>
      <w:r>
        <w:rPr/>
        <w:t>Sand surfaces that will be exposed to view; remove sanding dust from surfaces to be coated.</w:t>
      </w:r>
    </w:p>
    <w:p>
      <w:pPr>
        <w:pStyle w:val="PR2"/>
        <w:numPr>
          <w:ilvl w:val="5"/>
          <w:numId w:val="1"/>
        </w:numPr>
        <w:ind w:hanging="0" w:left="0"/>
        <w:rPr/>
      </w:pPr>
      <w:r>
        <w:rPr/>
        <w:t>Prime edges, ends, faces, undersides, and backsides of wood.</w:t>
      </w:r>
    </w:p>
    <w:p>
      <w:pPr>
        <w:pStyle w:val="PR2"/>
        <w:numPr>
          <w:ilvl w:val="5"/>
          <w:numId w:val="1"/>
        </w:numPr>
        <w:ind w:hanging="0" w:left="0"/>
        <w:rPr/>
      </w:pPr>
      <w:r>
        <w:rPr/>
        <w:t>After priming, fill holes and imperfections in the finish surfaces with putty or plastic wood filler. Sand smooth when dried and remove sanding dust.</w:t>
      </w:r>
    </w:p>
    <w:p>
      <w:pPr>
        <w:pStyle w:val="ART"/>
        <w:numPr>
          <w:ilvl w:val="3"/>
          <w:numId w:val="1"/>
        </w:numPr>
        <w:ind w:hanging="0" w:left="0"/>
        <w:rPr/>
      </w:pPr>
      <w:r>
        <w:rPr/>
        <w:t>APPLICATION</w:t>
      </w:r>
    </w:p>
    <w:p>
      <w:pPr>
        <w:pStyle w:val="PR1"/>
        <w:numPr>
          <w:ilvl w:val="4"/>
          <w:numId w:val="1"/>
        </w:numPr>
        <w:ind w:hanging="0" w:left="0"/>
        <w:rPr/>
      </w:pPr>
      <w:r>
        <w:rPr/>
        <w:t>Apply coatings according to manufacturer's written instructions using applicators and techniques suited for coating and substrate indicated.</w:t>
      </w:r>
    </w:p>
    <w:p>
      <w:pPr>
        <w:pStyle w:val="PR1"/>
        <w:numPr>
          <w:ilvl w:val="4"/>
          <w:numId w:val="1"/>
        </w:numPr>
        <w:ind w:hanging="0" w:left="0"/>
        <w:rPr/>
      </w:pPr>
      <w:r>
        <w:rPr/>
        <w:t>Coat surfaces behind movable equipment and furniture the same as similar exposed surfaces. Before final installation, coat surfaces behind permanently fixed equipment or furniture with prime coat only.</w:t>
      </w:r>
    </w:p>
    <w:p>
      <w:pPr>
        <w:pStyle w:val="PR1"/>
        <w:numPr>
          <w:ilvl w:val="4"/>
          <w:numId w:val="1"/>
        </w:numPr>
        <w:ind w:hanging="0" w:left="0"/>
        <w:rPr/>
      </w:pPr>
      <w:r>
        <w:rPr/>
        <w:t>Coat backsides of access panels, removable or hinged covers, and similar hinged items to match exposed surfaces.</w:t>
      </w:r>
    </w:p>
    <w:p>
      <w:pPr>
        <w:pStyle w:val="PR1"/>
        <w:numPr>
          <w:ilvl w:val="4"/>
          <w:numId w:val="1"/>
        </w:numPr>
        <w:ind w:hanging="0" w:left="0"/>
        <w:rPr/>
      </w:pPr>
      <w:r>
        <w:rPr/>
        <w:t>Apply coating systems to produce uniformly textured, colored, and patterned finished-surface films without substrates, undercoats, marks, or stains showing through. Produce sharp, even glass lines and color breaks.</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After completing coating application, clean spattered surfaces. Remove spattered coatings by washing, scraping, or other methods. Do not scratch or damage adjacent finished surfaces.</w:t>
      </w:r>
    </w:p>
    <w:p>
      <w:pPr>
        <w:pStyle w:val="PR1"/>
        <w:numPr>
          <w:ilvl w:val="4"/>
          <w:numId w:val="1"/>
        </w:numPr>
        <w:ind w:hanging="0" w:left="0"/>
        <w:rPr/>
      </w:pPr>
      <w:r>
        <w:rPr/>
        <w:t>Protect work of other trades against damage from coating operation. Correct damage by cleaning, repairing, replacing, and recoating, as approved by Architect, and leave in an undamaged condition.</w:t>
      </w:r>
    </w:p>
    <w:p>
      <w:pPr>
        <w:pStyle w:val="PR1"/>
        <w:numPr>
          <w:ilvl w:val="4"/>
          <w:numId w:val="1"/>
        </w:numPr>
        <w:ind w:hanging="0" w:left="0"/>
        <w:rPr/>
      </w:pPr>
      <w:r>
        <w:rPr/>
        <w:t>At completion of construction activities of other trades, touch up and restore damaged or defaced coated surfaces.</w:t>
      </w:r>
    </w:p>
    <w:p>
      <w:pPr>
        <w:pStyle w:val="ART"/>
        <w:numPr>
          <w:ilvl w:val="3"/>
          <w:numId w:val="1"/>
        </w:numPr>
        <w:ind w:hanging="0" w:left="0"/>
        <w:rPr/>
      </w:pPr>
      <w:r>
        <w:rPr/>
        <w:t>DEMONSTRATION</w:t>
      </w:r>
    </w:p>
    <w:p>
      <w:pPr>
        <w:pStyle w:val="CMT"/>
        <w:rPr/>
      </w:pPr>
      <w:r>
        <w:rPr/>
        <w:t>Retain this article if Owner employs personnel to maintain interior finishes.</w:t>
      </w:r>
    </w:p>
    <w:p>
      <w:pPr>
        <w:pStyle w:val="PR1"/>
        <w:numPr>
          <w:ilvl w:val="4"/>
          <w:numId w:val="1"/>
        </w:numPr>
        <w:ind w:hanging="0" w:left="0"/>
        <w:rPr/>
      </w:pPr>
      <w:r>
        <w:rPr/>
        <w:t>Train Owner's maintenance personnel in proper applicators and techniques for repairing multicolored interior coating systems on substrates indicated.</w:t>
      </w:r>
    </w:p>
    <w:p>
      <w:pPr>
        <w:pStyle w:val="ART"/>
        <w:numPr>
          <w:ilvl w:val="3"/>
          <w:numId w:val="1"/>
        </w:numPr>
        <w:ind w:hanging="0" w:left="0"/>
        <w:rPr/>
      </w:pPr>
      <w:r>
        <w:rPr/>
        <w:t>MULTICOLOR INTERIOR FINISHING SCHEDULE</w:t>
      </w:r>
    </w:p>
    <w:p>
      <w:pPr>
        <w:pStyle w:val="CMT"/>
        <w:rPr/>
      </w:pPr>
      <w:r>
        <w:rPr/>
        <w:t>Coating system designations referenced in editor's notes in this article refer to coating systems listed in the "MPI Architectural Painting Specification Manual." For renovation projects, consult "MPI Maintenance Repainting Manual" and revise coating system requirements accordingly.</w:t>
      </w:r>
    </w:p>
    <w:p>
      <w:pPr>
        <w:pStyle w:val="CMT"/>
        <w:rPr/>
      </w:pPr>
      <w:r>
        <w:rPr/>
        <w:t>Coordinate substrates and coating systems retained in this article with products retained in Part 2.</w:t>
      </w:r>
    </w:p>
    <w:p>
      <w:pPr>
        <w:pStyle w:val="PR1"/>
        <w:numPr>
          <w:ilvl w:val="4"/>
          <w:numId w:val="1"/>
        </w:numPr>
        <w:ind w:hanging="0" w:left="0"/>
        <w:rPr/>
      </w:pPr>
      <w:r>
        <w:rPr/>
        <w:t>Vertical Concrete Substrates:</w:t>
      </w:r>
    </w:p>
    <w:p>
      <w:pPr>
        <w:pStyle w:val="CMT"/>
        <w:rPr/>
      </w:pPr>
      <w:r>
        <w:rPr/>
        <w:t>System below corresponds to MPI INT 3.1H,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Primer/sealer for multicolor systems.</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Cementitious Composition Board Substrates:</w:t>
      </w:r>
    </w:p>
    <w:p>
      <w:pPr>
        <w:pStyle w:val="CMT"/>
        <w:rPr/>
      </w:pPr>
      <w:r>
        <w:rPr/>
        <w:t>System below corresponds to MPI INT 3.3F,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Primer/sealer for multicolor systems.</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Clay Masonry Unit Substrates:</w:t>
      </w:r>
    </w:p>
    <w:p>
      <w:pPr>
        <w:pStyle w:val="CMT"/>
        <w:rPr/>
      </w:pPr>
      <w:r>
        <w:rPr/>
        <w:t>System below corresponds to MPI INT 4.1H,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Primer/sealer for multicolor systems tinted to match multicolor basecoat.</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CMU Substrates:</w:t>
      </w:r>
    </w:p>
    <w:p>
      <w:pPr>
        <w:pStyle w:val="CMT"/>
        <w:rPr/>
      </w:pPr>
      <w:r>
        <w:rPr/>
        <w:t>System below corresponds to MPI INT 4.2H,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Block Filler: Latex block filler.</w:t>
      </w:r>
    </w:p>
    <w:p>
      <w:pPr>
        <w:pStyle w:val="PR2"/>
        <w:numPr>
          <w:ilvl w:val="5"/>
          <w:numId w:val="1"/>
        </w:numPr>
        <w:ind w:hanging="0" w:left="0"/>
        <w:rPr/>
      </w:pPr>
      <w:r>
        <w:rPr/>
        <w:t>Prime Coat: Primer/sealer for multicolor systems.</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Wood Substrates:</w:t>
      </w:r>
    </w:p>
    <w:p>
      <w:pPr>
        <w:pStyle w:val="CMT"/>
        <w:rPr/>
      </w:pPr>
      <w:r>
        <w:rPr/>
        <w:t>System below corresponds to MPI INT 6.2E, MPI INT 6.3N, and MPI INT 6.4L, which require clear topcoat for a Premium Grade system and omit topcoat for a Custom Grade system. Premium Grade is not available from every manufacturer.</w:t>
      </w:r>
    </w:p>
    <w:p>
      <w:pPr>
        <w:pStyle w:val="CMT"/>
        <w:rPr/>
      </w:pPr>
      <w:r>
        <w:rPr/>
        <w:t>"Fill Coat" Subparagraph below is an optional component and is for use on open-grained woods where a smooth, glasslike finish is required.</w:t>
      </w:r>
    </w:p>
    <w:p>
      <w:pPr>
        <w:pStyle w:val="PR2"/>
        <w:numPr>
          <w:ilvl w:val="5"/>
          <w:numId w:val="1"/>
        </w:numPr>
        <w:spacing w:before="240" w:after="0"/>
        <w:ind w:hanging="0" w:left="0"/>
        <w:rPr/>
      </w:pPr>
      <w:r>
        <w:rPr/>
        <w:t>Fill Coat: Wood filler paste.</w:t>
      </w:r>
    </w:p>
    <w:p>
      <w:pPr>
        <w:pStyle w:val="CMT"/>
        <w:rPr/>
      </w:pPr>
      <w:r>
        <w:rPr/>
        <w:t>Prime coat must be tinted to comply with MPI INT 6.3N for dressed lumber (finished carpentry).</w:t>
      </w:r>
    </w:p>
    <w:p>
      <w:pPr>
        <w:pStyle w:val="PR2"/>
        <w:numPr>
          <w:ilvl w:val="5"/>
          <w:numId w:val="1"/>
        </w:numPr>
        <w:ind w:hanging="0" w:left="0"/>
        <w:rPr/>
      </w:pPr>
      <w:r>
        <w:rPr/>
        <w:t>Prime Coat: Interior alkyd primer/sealer[</w:t>
      </w:r>
      <w:r>
        <w:rPr>
          <w:b/>
        </w:rPr>
        <w:t> tinted to match multicolor base coat</w:t>
      </w:r>
      <w:r>
        <w:rPr/>
        <w:t>].</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Fiberglass Molding and Trim Substrates:</w:t>
      </w:r>
    </w:p>
    <w:p>
      <w:pPr>
        <w:pStyle w:val="CMT"/>
        <w:rPr/>
      </w:pPr>
      <w:r>
        <w:rPr/>
        <w:t>System below corresponds to MPI INT 6.7G, which requires clear topcoat for a Premium Grade system and omits clear topcoat for a Custom Grade system. Premium Grade is not available from every manufacturer.</w:t>
      </w:r>
    </w:p>
    <w:p>
      <w:pPr>
        <w:pStyle w:val="PR2"/>
        <w:numPr>
          <w:ilvl w:val="5"/>
          <w:numId w:val="1"/>
        </w:numPr>
        <w:spacing w:before="240" w:after="0"/>
        <w:ind w:hanging="0" w:left="0"/>
        <w:rPr/>
      </w:pPr>
      <w:r>
        <w:rPr/>
        <w:t>Prime Coat: [</w:t>
      </w:r>
      <w:r>
        <w:rPr>
          <w:b/>
        </w:rPr>
        <w:t>Water</w:t>
      </w:r>
      <w:r>
        <w:rPr/>
        <w:t>] [</w:t>
      </w:r>
      <w:r>
        <w:rPr>
          <w:b/>
        </w:rPr>
        <w:t>Solvent</w:t>
      </w:r>
      <w:r>
        <w:rPr/>
        <w:t>]-based bonding primer.</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Plastic Molding and Trim Substrates:</w:t>
      </w:r>
    </w:p>
    <w:p>
      <w:pPr>
        <w:pStyle w:val="CMT"/>
        <w:rPr/>
      </w:pPr>
      <w:r>
        <w:rPr/>
        <w:t>System below corresponds to MPI INT 6.8D,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Solvent-based bonding primer.</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Gypsum Board Substrates:</w:t>
      </w:r>
    </w:p>
    <w:p>
      <w:pPr>
        <w:pStyle w:val="CMT"/>
        <w:rPr/>
      </w:pPr>
      <w:r>
        <w:rPr/>
        <w:t>System below corresponds to MPI INT 9.2G,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Primer/sealer for multicolor systems.</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Plaster Substrates:</w:t>
      </w:r>
    </w:p>
    <w:p>
      <w:pPr>
        <w:pStyle w:val="CMT"/>
        <w:rPr/>
      </w:pPr>
      <w:r>
        <w:rPr/>
        <w:t>System below corresponds to MPI INT 9.2G,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Primer/sealer for multicolor systems.</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PR1"/>
        <w:numPr>
          <w:ilvl w:val="4"/>
          <w:numId w:val="1"/>
        </w:numPr>
        <w:ind w:hanging="0" w:left="0"/>
        <w:rPr/>
      </w:pPr>
      <w:r>
        <w:rPr/>
        <w:t>Gypsum Veneer Plaster Substrates:</w:t>
      </w:r>
    </w:p>
    <w:p>
      <w:pPr>
        <w:pStyle w:val="CMT"/>
        <w:rPr/>
      </w:pPr>
      <w:r>
        <w:rPr/>
        <w:t>System below corresponds to MPI INT 9.2G, which requires clear topcoat for a Premium Grade system and omits topcoat for a Custom Grade system. Premium Grade is not available from every manufacturer.</w:t>
      </w:r>
    </w:p>
    <w:p>
      <w:pPr>
        <w:pStyle w:val="PR2"/>
        <w:numPr>
          <w:ilvl w:val="5"/>
          <w:numId w:val="1"/>
        </w:numPr>
        <w:spacing w:before="240" w:after="0"/>
        <w:ind w:hanging="0" w:left="0"/>
        <w:rPr/>
      </w:pPr>
      <w:r>
        <w:rPr/>
        <w:t>Prime Coat: Primer/sealer for multicolor systems.</w:t>
      </w:r>
    </w:p>
    <w:p>
      <w:pPr>
        <w:pStyle w:val="PR2"/>
        <w:numPr>
          <w:ilvl w:val="5"/>
          <w:numId w:val="1"/>
        </w:numPr>
        <w:ind w:hanging="0" w:left="0"/>
        <w:rPr/>
      </w:pPr>
      <w:r>
        <w:rPr/>
        <w:t>Multicolor Base Coat: Multicolor coating.</w:t>
      </w:r>
    </w:p>
    <w:p>
      <w:pPr>
        <w:pStyle w:val="PR2"/>
        <w:numPr>
          <w:ilvl w:val="5"/>
          <w:numId w:val="1"/>
        </w:numPr>
        <w:ind w:hanging="0" w:left="0"/>
        <w:rPr/>
      </w:pPr>
      <w:r>
        <w:rPr/>
        <w:t>Multicolor Pattern Coat: Multicolor coating.</w:t>
      </w:r>
    </w:p>
    <w:p>
      <w:pPr>
        <w:pStyle w:val="PR2"/>
        <w:numPr>
          <w:ilvl w:val="5"/>
          <w:numId w:val="1"/>
        </w:numPr>
        <w:ind w:hanging="0" w:left="0"/>
        <w:rPr/>
      </w:pPr>
      <w:r>
        <w:rPr/>
        <w:t>Topcoat: Clear topcoat.</w:t>
      </w:r>
    </w:p>
    <w:p>
      <w:pPr>
        <w:pStyle w:val="EOS"/>
        <w:rPr/>
      </w:pPr>
      <w:r>
        <w:rPr/>
        <w:t>END OF SECTION 099419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MULTICOLOR INTERIOR FINISHING</w:t>
          </w:r>
        </w:p>
      </w:tc>
      <w:tc>
        <w:tcPr>
          <w:tcW w:w="1872" w:type="dxa"/>
          <w:tcBorders/>
        </w:tcPr>
        <w:p>
          <w:pPr>
            <w:pStyle w:val="RJUST"/>
            <w:rPr/>
          </w:pPr>
          <w:r>
            <w:rPr>
              <w:rStyle w:val="NUM"/>
            </w:rPr>
            <w:t>099419</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099419"/>
    <w:docVar w:name="MF95" w:val="09945"/>
    <w:docVar w:name="MFOrigin" w:val="MF04"/>
    <w:docVar w:name="SectionID" w:val="305"/>
    <w:docVar w:name="SpecType" w:val="MasterSpec"/>
    <w:docVar w:name="Version" w:val="989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419&amp;ver=09-01-14&amp;format=FL&amp;sid=9896&amp;utm_source=MasterSpec&amp;utm_medium=Word" TargetMode="External"/><Relationship Id="rId3" Type="http://schemas.openxmlformats.org/officeDocument/2006/relationships/hyperlink" Target="http://www.arcomnet.com/sustainable_design.aspx?topic=125" TargetMode="External"/><Relationship Id="rId4" Type="http://schemas.openxmlformats.org/officeDocument/2006/relationships/hyperlink" Target="http://www.arcomnet.com/sustainable_design.aspx?topic=213" TargetMode="External"/><Relationship Id="rId5" Type="http://schemas.openxmlformats.org/officeDocument/2006/relationships/hyperlink" Target="http://www.specagent.com/LookUp/?ulid=546&amp;mf=04&amp;src=wd" TargetMode="External"/><Relationship Id="rId6" Type="http://schemas.openxmlformats.org/officeDocument/2006/relationships/hyperlink" Target="http://www.specagent.com/LookUp/?ulid=547&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2022-09-26T02:20:00Z</dcterms:created>
  <dc:creator>Deltek, Inc.</dc:creator>
  <dc:description/>
  <cp:keywords>BAS-12345-MS80</cp:keywords>
  <dc:language>zh-CN</dc:language>
  <cp:lastModifiedBy>Janice Nacional</cp:lastModifiedBy>
  <dcterms:modified xsi:type="dcterms:W3CDTF">2022-09-26T02:20:00Z</dcterms:modified>
  <cp:revision>2</cp:revision>
  <dc:subject>MULTICOLOR INTERIOR FINISHING</dc:subject>
  <dc:title>SECTION 099419 - MULTICOLOR INTERIOR FINISHING</dc:title>
</cp:coreProperties>
</file>