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099633</w:t>
      </w:r>
      <w:r>
        <w:rPr/>
        <w:t xml:space="preserve"> - </w:t>
      </w:r>
      <w:r>
        <w:rPr>
          <w:rStyle w:val="NAM"/>
        </w:rPr>
        <w:t>HIGH-TEMPERATURE-RESISTANT COATINGS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surface preparation and application of high-temperature-resistant coating systems on steel substrates.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MPI Gloss Level 5: 35 to 70 units at 60 degrees, according to ASTM D523.</w:t>
      </w:r>
    </w:p>
    <w:p>
      <w:pPr>
        <w:pStyle w:val="PR1"/>
        <w:numPr>
          <w:ilvl w:val="4"/>
          <w:numId w:val="1"/>
        </w:numPr>
        <w:ind w:hanging="0" w:left="0"/>
        <w:rPr/>
      </w:pPr>
      <w:r>
        <w:rPr/>
        <w:t>MPI Gloss Level 6: 70 to 85 units at 60 degrees, according to ASTM D523.</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preparation requirements and application instructions.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paints.&gt;</w:t>
        </w:r>
      </w:hyperlink>
    </w:p>
    <w:p>
      <w:pPr>
        <w:pStyle w:val="PR1"/>
        <w:numPr>
          <w:ilvl w:val="4"/>
          <w:numId w:val="1"/>
        </w:numPr>
        <w:ind w:hanging="0" w:left="0"/>
        <w:rPr/>
      </w:pPr>
      <w:r>
        <w:rPr/>
        <w:t>Samples for Initial Selection: For each type of topcoat product indicated.</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ind w:hanging="0" w:left="0"/>
        <w:rPr/>
      </w:pPr>
      <w:r>
        <w:rPr/>
        <w:t>Samples for Verification: For each type of coating system and in each color and gloss of topcoat indicated.</w:t>
      </w:r>
    </w:p>
    <w:p>
      <w:pPr>
        <w:pStyle w:val="PR2"/>
        <w:numPr>
          <w:ilvl w:val="5"/>
          <w:numId w:val="1"/>
        </w:numPr>
        <w:spacing w:before="240" w:after="0"/>
        <w:ind w:hanging="0" w:left="0"/>
        <w:rPr/>
      </w:pPr>
      <w:r>
        <w:rPr/>
        <w:t xml:space="preserve">Submit Samples on rigid backing, </w:t>
      </w:r>
      <w:r>
        <w:rPr>
          <w:rStyle w:val="IP"/>
        </w:rPr>
        <w:t>8 inches</w:t>
      </w:r>
      <w:r>
        <w:rPr>
          <w:rStyle w:val="SI"/>
        </w:rPr>
        <w:t xml:space="preserve"> (200 mm)</w:t>
      </w:r>
      <w:r>
        <w:rPr/>
        <w:t xml:space="preserve"> square.</w:t>
      </w:r>
    </w:p>
    <w:p>
      <w:pPr>
        <w:pStyle w:val="PR2"/>
        <w:numPr>
          <w:ilvl w:val="5"/>
          <w:numId w:val="1"/>
        </w:numPr>
        <w:ind w:hanging="0" w:left="0"/>
        <w:rPr/>
      </w:pPr>
      <w:r>
        <w:rPr/>
        <w:t>Apply coats on Samples in steps to show each coat required for system.</w:t>
      </w:r>
    </w:p>
    <w:p>
      <w:pPr>
        <w:pStyle w:val="PR2"/>
        <w:numPr>
          <w:ilvl w:val="5"/>
          <w:numId w:val="1"/>
        </w:numPr>
        <w:ind w:hanging="0" w:left="0"/>
        <w:rPr/>
      </w:pPr>
      <w:r>
        <w:rPr/>
        <w:t>Label each coat of each Sample.</w:t>
      </w:r>
    </w:p>
    <w:p>
      <w:pPr>
        <w:pStyle w:val="PR2"/>
        <w:numPr>
          <w:ilvl w:val="5"/>
          <w:numId w:val="1"/>
        </w:numPr>
        <w:ind w:hanging="0" w:left="0"/>
        <w:rPr/>
      </w:pPr>
      <w:r>
        <w:rPr/>
        <w:t>Label each Sample for location and application area.</w:t>
      </w:r>
    </w:p>
    <w:p>
      <w:pPr>
        <w:pStyle w:val="ART"/>
        <w:numPr>
          <w:ilvl w:val="3"/>
          <w:numId w:val="1"/>
        </w:numPr>
        <w:ind w:hanging="0" w:left="0"/>
        <w:rPr/>
      </w:pPr>
      <w:r>
        <w:rPr/>
        <w:t>QUALITY ASSURANCE</w:t>
      </w:r>
    </w:p>
    <w:p>
      <w:pPr>
        <w:pStyle w:val="PR1"/>
        <w:numPr>
          <w:ilvl w:val="4"/>
          <w:numId w:val="1"/>
        </w:numPr>
        <w:ind w:hanging="0" w:left="0"/>
        <w:rPr/>
      </w:pPr>
      <w:r>
        <w:rPr/>
        <w:t>Mockups: Apply mockups of each coating system indicated to verify preliminary selections made under Sample submittals and to demonstrate aesthetic effects and set quality standards for materials and execution.</w:t>
      </w:r>
    </w:p>
    <w:p>
      <w:pPr>
        <w:pStyle w:val="PR2"/>
        <w:numPr>
          <w:ilvl w:val="5"/>
          <w:numId w:val="1"/>
        </w:numPr>
        <w:spacing w:before="240" w:after="0"/>
        <w:ind w:hanging="0" w:left="0"/>
        <w:rPr/>
      </w:pPr>
      <w:r>
        <w:rPr/>
        <w:t>Architect will select one surface to represent surfaces and conditions for application of each coating system specified in Part 3.</w:t>
      </w:r>
    </w:p>
    <w:p>
      <w:pPr>
        <w:pStyle w:val="PR3"/>
        <w:numPr>
          <w:ilvl w:val="6"/>
          <w:numId w:val="1"/>
        </w:numPr>
        <w:spacing w:before="240" w:after="0"/>
        <w:ind w:hanging="0" w:left="0"/>
        <w:rPr/>
      </w:pPr>
      <w:r>
        <w:rPr/>
        <w:t xml:space="preserve">Surfaces Greater Than </w:t>
      </w:r>
      <w:r>
        <w:rPr>
          <w:rStyle w:val="IP"/>
        </w:rPr>
        <w:t>200 Sq. Ft.</w:t>
      </w:r>
      <w:r>
        <w:rPr>
          <w:rStyle w:val="SI"/>
        </w:rPr>
        <w:t xml:space="preserve"> (18.5 Sq. m.)</w:t>
      </w:r>
      <w:r>
        <w:rPr/>
        <w:t xml:space="preserve">: Provide mockups of at least </w:t>
      </w:r>
      <w:r>
        <w:rPr>
          <w:rStyle w:val="IP"/>
        </w:rPr>
        <w:t>100 sq. ft.</w:t>
      </w:r>
      <w:r>
        <w:rPr>
          <w:rStyle w:val="SI"/>
        </w:rPr>
        <w:t xml:space="preserve"> (9 sq. m)</w:t>
      </w:r>
      <w:r>
        <w:rPr/>
        <w:t>.</w:t>
      </w:r>
    </w:p>
    <w:p>
      <w:pPr>
        <w:pStyle w:val="PR3"/>
        <w:numPr>
          <w:ilvl w:val="6"/>
          <w:numId w:val="1"/>
        </w:numPr>
        <w:ind w:hanging="0" w:left="0"/>
        <w:rPr/>
      </w:pPr>
      <w:r>
        <w:rPr/>
        <w:t>Other Surfaces: Architect will designate items or areas required.</w:t>
      </w:r>
    </w:p>
    <w:p>
      <w:pPr>
        <w:pStyle w:val="PR2"/>
        <w:numPr>
          <w:ilvl w:val="5"/>
          <w:numId w:val="1"/>
        </w:numPr>
        <w:spacing w:before="240" w:after="0"/>
        <w:ind w:hanging="0" w:left="0"/>
        <w:rPr/>
      </w:pPr>
      <w:r>
        <w:rPr/>
        <w:t>Final approval of color selections will be based on mockups.</w:t>
      </w:r>
    </w:p>
    <w:p>
      <w:pPr>
        <w:pStyle w:val="PR3"/>
        <w:numPr>
          <w:ilvl w:val="6"/>
          <w:numId w:val="1"/>
        </w:numPr>
        <w:spacing w:before="240" w:after="0"/>
        <w:ind w:hanging="0" w:left="0"/>
        <w:rPr/>
      </w:pPr>
      <w:r>
        <w:rPr/>
        <w:t>If preliminary color selections are not approved, apply additional mockups of additional colors selected by Architect at no added cost to Owner.</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ind w:hanging="0" w:left="0"/>
        <w:rPr/>
      </w:pPr>
      <w:r>
        <w:rPr/>
        <w:t>Maintain containers in clean condition, free of foreign materials and residue.</w:t>
      </w:r>
    </w:p>
    <w:p>
      <w:pPr>
        <w:pStyle w:val="PR2"/>
        <w:numPr>
          <w:ilvl w:val="5"/>
          <w:numId w:val="1"/>
        </w:numPr>
        <w:ind w:hanging="0" w:left="0"/>
        <w:rPr/>
      </w:pPr>
      <w:r>
        <w:rPr/>
        <w:t>Remove rags and waste from storage areas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CMT"/>
        <w:rPr/>
      </w:pPr>
      <w:r>
        <w:rPr/>
        <w:t>Some manufacturers' products may require higher temperatures for proper curing. Consult manufacturers and revise first paragraph below to suit requirements for specific products if necessary.</w:t>
      </w:r>
    </w:p>
    <w:p>
      <w:pPr>
        <w:pStyle w:val="PR1"/>
        <w:numPr>
          <w:ilvl w:val="4"/>
          <w:numId w:val="1"/>
        </w:numPr>
        <w:ind w:hanging="0" w:left="0"/>
        <w:rPr/>
      </w:pPr>
      <w:r>
        <w:rPr/>
        <w:t xml:space="preserve">Apply coatings only when temperature of surfaces to be coated and surrounding air temperatures are between </w:t>
      </w:r>
      <w:r>
        <w:rPr>
          <w:rStyle w:val="IP"/>
        </w:rPr>
        <w:t>50 and 104 deg F</w:t>
      </w:r>
      <w:r>
        <w:rPr>
          <w:rStyle w:val="SI"/>
        </w:rPr>
        <w:t xml:space="preserve"> (10 and 40 deg C)</w:t>
      </w:r>
      <w:r>
        <w:rPr/>
        <w:t>.</w:t>
      </w:r>
    </w:p>
    <w:p>
      <w:pPr>
        <w:pStyle w:val="PR1"/>
        <w:numPr>
          <w:ilvl w:val="4"/>
          <w:numId w:val="1"/>
        </w:numPr>
        <w:ind w:hanging="0" w:left="0"/>
        <w:rPr/>
      </w:pPr>
      <w:r>
        <w:rPr/>
        <w:t xml:space="preserve">Do not apply coatings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1"/>
        <w:numPr>
          <w:ilvl w:val="4"/>
          <w:numId w:val="1"/>
        </w:numPr>
        <w:ind w:hanging="0" w:left="0"/>
        <w:rPr/>
      </w:pPr>
      <w:r>
        <w:rPr/>
        <w:t>Do not apply exterior coatings in snow, rain, fog, or mist.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Retain "Products" Paragraph below and insert lists of manufacturers and products in High-Temperature-Resistant Coating Schedule to require specific products or a comparable product from other manufacturers.</w:t>
      </w:r>
    </w:p>
    <w:p>
      <w:pPr>
        <w:pStyle w:val="CMT"/>
        <w:rPr/>
      </w:pPr>
      <w:r>
        <w:rPr/>
        <w:t>See lists of products currently approved by MPI in its "MPI Approved Products Lists." See "Writing Guide" Article in the Evaluations for further discussion.</w:t>
      </w:r>
    </w:p>
    <w:p>
      <w:pPr>
        <w:pStyle w:val="PR1"/>
        <w:numPr>
          <w:ilvl w:val="4"/>
          <w:numId w:val="1"/>
        </w:numPr>
        <w:ind w:hanging="0" w:left="0"/>
        <w:rPr/>
      </w:pPr>
      <w:r>
        <w:rPr/>
        <w:t>Products: Subject to compliance with requirements, [</w:t>
      </w:r>
      <w:r>
        <w:rPr>
          <w:b/>
        </w:rPr>
        <w:t>provide product</w:t>
      </w:r>
      <w:r>
        <w:rPr/>
        <w:t>] [</w:t>
      </w:r>
      <w:r>
        <w:rPr>
          <w:b/>
        </w:rPr>
        <w:t>provide one of the products</w:t>
      </w:r>
      <w:r>
        <w:rPr/>
        <w:t>] [</w:t>
      </w:r>
      <w:r>
        <w:rPr>
          <w:b/>
        </w:rPr>
        <w:t>available products that may be incorporated into the Work include, but are not limited to products</w:t>
      </w:r>
      <w:r>
        <w:rPr/>
        <w:t>] listed in High-Temperature-Resistant Coating Schedule for the category indicated.</w:t>
      </w:r>
    </w:p>
    <w:p>
      <w:pPr>
        <w:pStyle w:val="ART"/>
        <w:numPr>
          <w:ilvl w:val="3"/>
          <w:numId w:val="1"/>
        </w:numPr>
        <w:ind w:hanging="0" w:left="0"/>
        <w:rPr/>
      </w:pPr>
      <w:r>
        <w:rPr/>
        <w:t>HIGH-TEMPERATURE-RESISTANT COATINGS, GENERAL</w:t>
      </w:r>
    </w:p>
    <w:p>
      <w:pPr>
        <w:pStyle w:val="PR1"/>
        <w:numPr>
          <w:ilvl w:val="4"/>
          <w:numId w:val="1"/>
        </w:numPr>
        <w:ind w:hanging="0" w:left="0"/>
        <w:rPr/>
      </w:pPr>
      <w:r>
        <w:rPr/>
        <w:t>MPI Standards: Products shall comply with MPI standards indicated and shall be listed in its "MPI Approved Products Lists."</w:t>
      </w:r>
    </w:p>
    <w:p>
      <w:pPr>
        <w:pStyle w:val="PR1"/>
        <w:numPr>
          <w:ilvl w:val="4"/>
          <w:numId w:val="1"/>
        </w:numPr>
        <w:ind w:hanging="0" w:left="0"/>
        <w:rPr/>
      </w:pPr>
      <w:r>
        <w:rPr/>
        <w:t>Material Compatibility:</w:t>
      </w:r>
    </w:p>
    <w:p>
      <w:pPr>
        <w:pStyle w:val="CMT"/>
        <w:rPr/>
      </w:pPr>
      <w:r>
        <w:rPr/>
        <w:t>Systems could fail if coatings are incompatible. MPI's coating systems match primers and topcoats, taking compatibility into consideration.</w:t>
      </w:r>
    </w:p>
    <w:p>
      <w:pPr>
        <w:pStyle w:val="PR2"/>
        <w:numPr>
          <w:ilvl w:val="5"/>
          <w:numId w:val="1"/>
        </w:numPr>
        <w:spacing w:before="240" w:after="0"/>
        <w:ind w:hanging="0" w:left="0"/>
        <w:rPr/>
      </w:pPr>
      <w:r>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ind w:hanging="0" w:left="0"/>
        <w:rPr/>
      </w:pPr>
      <w:r>
        <w:rPr/>
        <w:t>For each coat in a paint system, products shall be recommended in writing by topcoat manufacturers for use in paint system and on substrate indicated.</w:t>
      </w:r>
    </w:p>
    <w:p>
      <w:pPr>
        <w:pStyle w:val="CMT"/>
        <w:rPr/>
      </w:pPr>
      <w:r>
        <w:rPr/>
        <w:t>If retaining subparagraph below, coordinate products retained, if any, in other Part 2 articles, to ensure that one manufacturer can provide products for an entire system.</w:t>
      </w:r>
    </w:p>
    <w:p>
      <w:pPr>
        <w:pStyle w:val="PR2"/>
        <w:numPr>
          <w:ilvl w:val="5"/>
          <w:numId w:val="1"/>
        </w:numPr>
        <w:ind w:hanging="0" w:left="0"/>
        <w:rPr/>
      </w:pPr>
      <w:r>
        <w:rPr/>
        <w:t>Products shall be of same manufacturer for each coat in a coating system.</w:t>
      </w:r>
    </w:p>
    <w:p>
      <w:pPr>
        <w:pStyle w:val="PR1"/>
        <w:numPr>
          <w:ilvl w:val="4"/>
          <w:numId w:val="1"/>
        </w:numPr>
        <w:ind w:hanging="0" w:left="0"/>
        <w:rPr/>
      </w:pPr>
      <w:hyperlink r:id="rId6">
        <w:r>
          <w:rPr>
            <w:rStyle w:val="Hyperlink"/>
          </w:rPr>
          <w:t>&lt;Double click to insert sustainable design text for coatings.&gt;</w:t>
        </w:r>
      </w:hyperlink>
    </w:p>
    <w:p>
      <w:pPr>
        <w:pStyle w:val="CMT"/>
        <w:rPr/>
      </w:pPr>
      <w:r>
        <w:rPr/>
        <w:t>Color selection is often limited because some coating materials yellow or degrade under some environmental conditions.</w:t>
      </w:r>
    </w:p>
    <w:p>
      <w:pPr>
        <w:pStyle w:val="PR1"/>
        <w:numPr>
          <w:ilvl w:val="4"/>
          <w:numId w:val="1"/>
        </w:numPr>
        <w:ind w:hanging="0" w:left="0"/>
        <w:rPr/>
      </w:pPr>
      <w:r>
        <w:rPr/>
        <w:t>Colors: [</w:t>
      </w:r>
      <w:r>
        <w:rPr>
          <w:b/>
        </w:rPr>
        <w:t>As selected by Architect from manufacturer's full range</w:t>
      </w:r>
      <w:r>
        <w:rPr/>
        <w:t>] [</w:t>
      </w:r>
      <w:r>
        <w:rPr>
          <w:b/>
        </w:rPr>
        <w:t>Match Architect's samples</w:t>
      </w:r>
      <w:r>
        <w:rPr/>
        <w:t>] &lt;</w:t>
      </w:r>
      <w:r>
        <w:rPr>
          <w:b/>
        </w:rPr>
        <w:t>Insert requirements</w:t>
      </w:r>
      <w:r>
        <w:rPr/>
        <w:t>&gt;.</w:t>
      </w:r>
    </w:p>
    <w:p>
      <w:pPr>
        <w:pStyle w:val="ART"/>
        <w:numPr>
          <w:ilvl w:val="3"/>
          <w:numId w:val="1"/>
        </w:numPr>
        <w:ind w:hanging="0" w:left="0"/>
        <w:rPr/>
      </w:pPr>
      <w:r>
        <w:rPr/>
        <w:t>SOURCE QUALITY CONTROL</w:t>
      </w:r>
    </w:p>
    <w:p>
      <w:pPr>
        <w:pStyle w:val="CMT"/>
        <w:rPr/>
      </w:pPr>
      <w:r>
        <w:rPr/>
        <w:t>Retain this article for large projects or critical coatings where additional control is desired. Delete if tests are not required.</w:t>
      </w:r>
    </w:p>
    <w:p>
      <w:pPr>
        <w:pStyle w:val="PR1"/>
        <w:numPr>
          <w:ilvl w:val="4"/>
          <w:numId w:val="1"/>
        </w:numPr>
        <w:ind w:hanging="0" w:left="0"/>
        <w:rPr/>
      </w:pPr>
      <w:r>
        <w:rPr/>
        <w:t>Testing of Coating Materials: Owner reserves the right to invoke the following procedure:</w:t>
      </w:r>
    </w:p>
    <w:p>
      <w:pPr>
        <w:pStyle w:val="PR2"/>
        <w:numPr>
          <w:ilvl w:val="5"/>
          <w:numId w:val="1"/>
        </w:numPr>
        <w:spacing w:before="240" w:after="0"/>
        <w:ind w:hanging="0" w:left="0"/>
        <w:rPr/>
      </w:pPr>
      <w:r>
        <w:rPr/>
        <w:t>Owner will engage the services of a qualified testing agency to sample coating materials. Contractor will be notified in advance and may be present when samples are taken. If coating materials have already been delivered to Project site, samples may be taken at Project site. Samples will be identified, sealed, and certified by testing agency.</w:t>
      </w:r>
    </w:p>
    <w:p>
      <w:pPr>
        <w:pStyle w:val="PR2"/>
        <w:numPr>
          <w:ilvl w:val="5"/>
          <w:numId w:val="1"/>
        </w:numPr>
        <w:ind w:hanging="0" w:left="0"/>
        <w:rPr/>
      </w:pPr>
      <w:r>
        <w:rPr/>
        <w:t>Testing agency will perform tests for compliance with product requirements.</w:t>
      </w:r>
    </w:p>
    <w:p>
      <w:pPr>
        <w:pStyle w:val="PR2"/>
        <w:numPr>
          <w:ilvl w:val="5"/>
          <w:numId w:val="1"/>
        </w:numPr>
        <w:ind w:hanging="0" w:left="0"/>
        <w:rPr/>
      </w:pPr>
      <w:r>
        <w:rPr/>
        <w:t>Owner may direct Contractor to stop applying coatings if test results show materials being used do not comply with product requirements. Contractor shall remove noncomplying coating materials from Project site, pay for testing, and recoat surfaces coated with rejected materials. Contractor will be required to remove rejected materials from previously coated surfaces if, on recoating with complying materials, the two coatings are incompatible.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Applicator present, for compliance with requirements and other conditions affecting performance of the Work.</w:t>
      </w:r>
    </w:p>
    <w:p>
      <w:pPr>
        <w:pStyle w:val="PR1"/>
        <w:numPr>
          <w:ilvl w:val="4"/>
          <w:numId w:val="1"/>
        </w:numPr>
        <w:ind w:hanging="0" w:left="0"/>
        <w:rPr/>
      </w:pPr>
      <w:r>
        <w:rPr/>
        <w:t>Verify suitability of substrates, including surface conditions and compatibility, with existing finishes and primers.</w:t>
      </w:r>
    </w:p>
    <w:p>
      <w:pPr>
        <w:pStyle w:val="PR1"/>
        <w:numPr>
          <w:ilvl w:val="4"/>
          <w:numId w:val="1"/>
        </w:numPr>
        <w:ind w:hanging="0" w:left="0"/>
        <w:rPr/>
      </w:pPr>
      <w:r>
        <w:rPr/>
        <w:t>Proceed with coating application only after unsatisfactory conditions have been corrected.</w:t>
      </w:r>
    </w:p>
    <w:p>
      <w:pPr>
        <w:pStyle w:val="PR2"/>
        <w:numPr>
          <w:ilvl w:val="5"/>
          <w:numId w:val="1"/>
        </w:numPr>
        <w:spacing w:before="240" w:after="0"/>
        <w:ind w:hanging="0" w:left="0"/>
        <w:rPr/>
      </w:pPr>
      <w:r>
        <w:rPr/>
        <w:t>Application of coating indicates acceptance of surfaces and conditions.</w:t>
      </w:r>
    </w:p>
    <w:p>
      <w:pPr>
        <w:pStyle w:val="ART"/>
        <w:numPr>
          <w:ilvl w:val="3"/>
          <w:numId w:val="1"/>
        </w:numPr>
        <w:ind w:hanging="0" w:left="0"/>
        <w:rPr/>
      </w:pPr>
      <w:r>
        <w:rPr/>
        <w:t>PREPARATION</w:t>
      </w:r>
    </w:p>
    <w:p>
      <w:pPr>
        <w:pStyle w:val="CMT"/>
        <w:rPr/>
      </w:pPr>
      <w:r>
        <w:rPr/>
        <w:t>For renovation projects, consult "MPI Maintenance Repainting Manual" and revise first paragraph below and coating systems specified in High-Temperature-Resistant Coating Schedule.</w:t>
      </w:r>
    </w:p>
    <w:p>
      <w:pPr>
        <w:pStyle w:val="PR1"/>
        <w:numPr>
          <w:ilvl w:val="4"/>
          <w:numId w:val="1"/>
        </w:numPr>
        <w:ind w:hanging="0" w:left="0"/>
        <w:rPr/>
      </w:pPr>
      <w:r>
        <w:rPr/>
        <w:t>Comply with manufacturer's written instructions and recommendations in "MPI Architectural Painting Specification Manual" applicable to substrates and coating systems indicated.</w:t>
      </w:r>
    </w:p>
    <w:p>
      <w:pPr>
        <w:pStyle w:val="PR1"/>
        <w:numPr>
          <w:ilvl w:val="4"/>
          <w:numId w:val="1"/>
        </w:numPr>
        <w:ind w:hanging="0" w:left="0"/>
        <w:rPr/>
      </w:pPr>
      <w:r>
        <w:rPr/>
        <w:t>Remove hardware, covers, plates, and similar items already in place that are removable and are not to be painted. If removal is impractical or impossible because of size or weight of item, provide surface-applied protection before surface preparation and painting.</w:t>
      </w:r>
    </w:p>
    <w:p>
      <w:pPr>
        <w:pStyle w:val="PR2"/>
        <w:numPr>
          <w:ilvl w:val="5"/>
          <w:numId w:val="1"/>
        </w:numPr>
        <w:spacing w:before="240" w:after="0"/>
        <w:ind w:hanging="0" w:left="0"/>
        <w:rPr/>
      </w:pPr>
      <w:r>
        <w:rPr/>
        <w:t>After completing painting operations, use workers skilled in the trades involved to reinstall items that were removed. Remove surface-applied protection.</w:t>
      </w:r>
    </w:p>
    <w:p>
      <w:pPr>
        <w:pStyle w:val="PR1"/>
        <w:numPr>
          <w:ilvl w:val="4"/>
          <w:numId w:val="1"/>
        </w:numPr>
        <w:ind w:hanging="0" w:left="0"/>
        <w:rPr/>
      </w:pPr>
      <w:r>
        <w:rPr/>
        <w:t>Clean substrates of substances that could impair bond of coatings, including dust, dirt, oil, grease, and incompatible paints and encapsulants.</w:t>
      </w:r>
    </w:p>
    <w:p>
      <w:pPr>
        <w:pStyle w:val="CMT"/>
        <w:rPr/>
      </w:pPr>
      <w:r>
        <w:rPr/>
        <w:t>Coordination of shop-applied prime coats with high-temperature-resistant coatings is critical.</w:t>
      </w:r>
    </w:p>
    <w:p>
      <w:pPr>
        <w:pStyle w:val="PR2"/>
        <w:numPr>
          <w:ilvl w:val="5"/>
          <w:numId w:val="1"/>
        </w:numPr>
        <w:spacing w:before="240" w:after="0"/>
        <w:ind w:hanging="0" w:left="0"/>
        <w:rPr/>
      </w:pPr>
      <w:r>
        <w:rPr/>
        <w:t>Remove incompatible primers and reprime substrate with compatible primers or apply tie coat as required to produce coating systems indicated.</w:t>
      </w:r>
    </w:p>
    <w:p>
      <w:pPr>
        <w:pStyle w:val="CMT"/>
        <w:rPr/>
      </w:pPr>
      <w:r>
        <w:rPr/>
        <w:t>Retain "Steel Substrates" Paragraph below if steel is not shop primed or if shop primer is removed in the field.</w:t>
      </w:r>
    </w:p>
    <w:p>
      <w:pPr>
        <w:pStyle w:val="PR1"/>
        <w:numPr>
          <w:ilvl w:val="4"/>
          <w:numId w:val="1"/>
        </w:numPr>
        <w:ind w:hanging="0" w:left="0"/>
        <w:rPr/>
      </w:pPr>
      <w:r>
        <w:rPr/>
        <w:t>Steel Substrates: Remove rust, loose mill scale, and shop primer if any. Clean using methods recommended in writing by paint manufacturer[</w:t>
      </w:r>
      <w:r>
        <w:rPr>
          <w:b/>
        </w:rPr>
        <w:t>.</w:t>
      </w:r>
      <w:r>
        <w:rPr/>
        <w:t>][</w:t>
      </w:r>
      <w:r>
        <w:rPr>
          <w:b/>
        </w:rPr>
        <w:t> but not less than the following:</w:t>
      </w:r>
      <w:r>
        <w:rPr/>
        <w:t>]</w:t>
      </w:r>
    </w:p>
    <w:p>
      <w:pPr>
        <w:pStyle w:val="CMT"/>
        <w:rPr/>
      </w:pPr>
      <w:r>
        <w:rPr/>
        <w:t>SSPC-SP 11 requires complete removal of rust, mill scale, and paint by power tools. SSPC-SP 11 uses nonabrasive methods but is not as thorough as that required by SSPC-SP 6/NACE No. 3, SSPC-SP 10/NACE No. 2, and SSPC-SP 5/NACE No. 1.</w:t>
      </w:r>
    </w:p>
    <w:p>
      <w:pPr>
        <w:pStyle w:val="PR2"/>
        <w:numPr>
          <w:ilvl w:val="5"/>
          <w:numId w:val="1"/>
        </w:numPr>
        <w:spacing w:before="240" w:after="0"/>
        <w:ind w:hanging="0" w:left="0"/>
        <w:rPr/>
      </w:pPr>
      <w:r>
        <w:rPr/>
        <w:t>SSPC-SP 11.</w:t>
      </w:r>
    </w:p>
    <w:p>
      <w:pPr>
        <w:pStyle w:val="CMT"/>
        <w:rPr/>
      </w:pPr>
      <w:r>
        <w:rPr/>
        <w:t>SSPC-SP 6/NACE No. 3 requires that two-thirds of surface area be free of visible residue.</w:t>
      </w:r>
    </w:p>
    <w:p>
      <w:pPr>
        <w:pStyle w:val="PR2"/>
        <w:numPr>
          <w:ilvl w:val="5"/>
          <w:numId w:val="1"/>
        </w:numPr>
        <w:ind w:hanging="0" w:left="0"/>
        <w:rPr/>
      </w:pPr>
      <w:r>
        <w:rPr/>
        <w:t>SSPC-SP 6/NACE No. 3.</w:t>
      </w:r>
    </w:p>
    <w:p>
      <w:pPr>
        <w:pStyle w:val="CMT"/>
        <w:rPr/>
      </w:pPr>
      <w:r>
        <w:rPr/>
        <w:t>SSPC-SP 10/NACE No. 2 requires that 95 percent of surface area be free of visible residue.</w:t>
      </w:r>
    </w:p>
    <w:p>
      <w:pPr>
        <w:pStyle w:val="PR2"/>
        <w:numPr>
          <w:ilvl w:val="5"/>
          <w:numId w:val="1"/>
        </w:numPr>
        <w:ind w:hanging="0" w:left="0"/>
        <w:rPr/>
      </w:pPr>
      <w:r>
        <w:rPr/>
        <w:t>SSPC-SP 10/NACE No. 2.</w:t>
      </w:r>
    </w:p>
    <w:p>
      <w:pPr>
        <w:pStyle w:val="CMT"/>
        <w:rPr/>
      </w:pPr>
      <w:r>
        <w:rPr/>
        <w:t>SSPC-SP 5/NACE No. 1 removes visible rust, mill scale, paint, and foreign matter.</w:t>
      </w:r>
    </w:p>
    <w:p>
      <w:pPr>
        <w:pStyle w:val="PR2"/>
        <w:numPr>
          <w:ilvl w:val="5"/>
          <w:numId w:val="1"/>
        </w:numPr>
        <w:ind w:hanging="0" w:left="0"/>
        <w:rPr/>
      </w:pPr>
      <w:r>
        <w:rPr/>
        <w:t>SSPC-SP 5/NACE No. 1.</w:t>
      </w:r>
    </w:p>
    <w:p>
      <w:pPr>
        <w:pStyle w:val="CMT"/>
        <w:rPr/>
      </w:pPr>
      <w:r>
        <w:rPr/>
        <w:t>Retain "Shop-Primed Steel Substrates" Paragraph below if primers are shop applied and are not removed in the field.</w:t>
      </w:r>
    </w:p>
    <w:p>
      <w:pPr>
        <w:pStyle w:val="PR1"/>
        <w:numPr>
          <w:ilvl w:val="4"/>
          <w:numId w:val="1"/>
        </w:numPr>
        <w:ind w:hanging="0" w:left="0"/>
        <w:rPr/>
      </w:pPr>
      <w:r>
        <w:rPr/>
        <w:t>Shop-Primed Steel Substrates: Clean field welds, bolted connections, and abraded areas of shop paint. Paint exposed areas with the same material as used for shop priming to comply with SSPC-PA 1 for touching up shop-primed surfaces.</w:t>
      </w:r>
    </w:p>
    <w:p>
      <w:pPr>
        <w:pStyle w:val="ART"/>
        <w:numPr>
          <w:ilvl w:val="3"/>
          <w:numId w:val="1"/>
        </w:numPr>
        <w:ind w:hanging="0" w:left="0"/>
        <w:rPr/>
      </w:pPr>
      <w:r>
        <w:rPr/>
        <w:t>APPLICATION</w:t>
      </w:r>
    </w:p>
    <w:p>
      <w:pPr>
        <w:pStyle w:val="PR1"/>
        <w:numPr>
          <w:ilvl w:val="4"/>
          <w:numId w:val="1"/>
        </w:numPr>
        <w:ind w:hanging="0" w:left="0"/>
        <w:rPr/>
      </w:pPr>
      <w:r>
        <w:rPr/>
        <w:t>Apply high-temperature-resistant coating systems according to manufacturer's written instructions and recommendations in "MPI Architectural Painting Specification Manual."</w:t>
      </w:r>
    </w:p>
    <w:p>
      <w:pPr>
        <w:pStyle w:val="CMT"/>
        <w:rPr/>
      </w:pPr>
      <w:r>
        <w:rPr/>
        <w:t>Indicate substrates to receive high-temperature-resistant coatings in High-Temperature-Resistant Coating Schedule or on Drawings.</w:t>
      </w:r>
    </w:p>
    <w:p>
      <w:pPr>
        <w:pStyle w:val="PR2"/>
        <w:numPr>
          <w:ilvl w:val="5"/>
          <w:numId w:val="1"/>
        </w:numPr>
        <w:spacing w:before="240" w:after="0"/>
        <w:ind w:hanging="0" w:left="0"/>
        <w:rPr/>
      </w:pPr>
      <w:r>
        <w:rPr/>
        <w:t>Use applicators and techniques suited for coating and substrate indicated.</w:t>
      </w:r>
    </w:p>
    <w:p>
      <w:pPr>
        <w:pStyle w:val="PR2"/>
        <w:numPr>
          <w:ilvl w:val="5"/>
          <w:numId w:val="1"/>
        </w:numPr>
        <w:ind w:hanging="0" w:left="0"/>
        <w:rPr/>
      </w:pPr>
      <w:r>
        <w:rPr/>
        <w:t>Coat surfaces behind movable items same as similar exposed surfaces. Before final installation, coat surfaces behind permanently fixed items with prime coat only.</w:t>
      </w:r>
    </w:p>
    <w:p>
      <w:pPr>
        <w:pStyle w:val="PR2"/>
        <w:numPr>
          <w:ilvl w:val="5"/>
          <w:numId w:val="1"/>
        </w:numPr>
        <w:ind w:hanging="0" w:left="0"/>
        <w:rPr/>
      </w:pPr>
      <w:r>
        <w:rPr/>
        <w:t>Coat back sides of access panels, removable or hinged covers, and similar hinged items to match exposed surfaces.</w:t>
      </w:r>
    </w:p>
    <w:p>
      <w:pPr>
        <w:pStyle w:val="PR2"/>
        <w:numPr>
          <w:ilvl w:val="5"/>
          <w:numId w:val="1"/>
        </w:numPr>
        <w:ind w:hanging="0" w:left="0"/>
        <w:rPr/>
      </w:pPr>
      <w:r>
        <w:rPr/>
        <w:t>Do not apply coatings over labels of independent testing agencies or equipment name, identification, performance rating, or nomenclature plates.</w:t>
      </w:r>
    </w:p>
    <w:p>
      <w:pPr>
        <w:pStyle w:val="PR1"/>
        <w:numPr>
          <w:ilvl w:val="4"/>
          <w:numId w:val="1"/>
        </w:numPr>
        <w:ind w:hanging="0" w:left="0"/>
        <w:rPr/>
      </w:pPr>
      <w:r>
        <w:rPr/>
        <w:t>If undercoats or other conditions show through final coat, apply additional coats until cured film has a uniform coating finish, color, and appearance.</w:t>
      </w:r>
    </w:p>
    <w:p>
      <w:pPr>
        <w:pStyle w:val="PR1"/>
        <w:numPr>
          <w:ilvl w:val="4"/>
          <w:numId w:val="1"/>
        </w:numPr>
        <w:ind w:hanging="0" w:left="0"/>
        <w:rPr/>
      </w:pPr>
      <w:r>
        <w:rPr/>
        <w:t>Apply coatings to produce surface films without cloudiness, spotting, holidays, laps, brush marks, runs, sags, ropiness, or other surface imperfections.</w:t>
      </w:r>
    </w:p>
    <w:p>
      <w:pPr>
        <w:pStyle w:val="ART"/>
        <w:numPr>
          <w:ilvl w:val="3"/>
          <w:numId w:val="1"/>
        </w:numPr>
        <w:ind w:hanging="0" w:left="0"/>
        <w:rPr/>
      </w:pPr>
      <w:r>
        <w:rPr/>
        <w:t>FIELD QUALITY CONTROL</w:t>
      </w:r>
    </w:p>
    <w:p>
      <w:pPr>
        <w:pStyle w:val="PR1"/>
        <w:numPr>
          <w:ilvl w:val="4"/>
          <w:numId w:val="1"/>
        </w:numPr>
        <w:ind w:hanging="0" w:left="0"/>
        <w:rPr/>
      </w:pPr>
      <w:r>
        <w:rPr/>
        <w:t>Dry Film Thickness Testing: Owner may engage the services of a qualified testing and inspecting agency to inspect and test coatings for dry film thickness.</w:t>
      </w:r>
    </w:p>
    <w:p>
      <w:pPr>
        <w:pStyle w:val="PR2"/>
        <w:numPr>
          <w:ilvl w:val="5"/>
          <w:numId w:val="1"/>
        </w:numPr>
        <w:spacing w:before="240" w:after="0"/>
        <w:ind w:hanging="0" w:left="0"/>
        <w:rPr/>
      </w:pPr>
      <w:r>
        <w:rPr/>
        <w:t>Contractor shall touch up and restore coated surfaces damaged by testing.</w:t>
      </w:r>
    </w:p>
    <w:p>
      <w:pPr>
        <w:pStyle w:val="PR2"/>
        <w:numPr>
          <w:ilvl w:val="5"/>
          <w:numId w:val="1"/>
        </w:numPr>
        <w:ind w:hanging="0" w:left="0"/>
        <w:rPr/>
      </w:pPr>
      <w:r>
        <w:rPr/>
        <w:t>If test results show that dry film thickness of applied coating does not comply with coating manufacturer's written recommendations, Contractor shall pay for testing and apply additional coats as needed to provide dry film thickness that complies with coating manufacturer's written recommendations.</w:t>
      </w:r>
    </w:p>
    <w:p>
      <w:pPr>
        <w:pStyle w:val="ART"/>
        <w:numPr>
          <w:ilvl w:val="3"/>
          <w:numId w:val="1"/>
        </w:numPr>
        <w:ind w:hanging="0" w:left="0"/>
        <w:rPr/>
      </w:pPr>
      <w:r>
        <w:rPr/>
        <w:t>CLEANING AND PROTECTION</w:t>
      </w:r>
    </w:p>
    <w:p>
      <w:pPr>
        <w:pStyle w:val="PR1"/>
        <w:numPr>
          <w:ilvl w:val="4"/>
          <w:numId w:val="1"/>
        </w:numPr>
        <w:ind w:hanging="0" w:left="0"/>
        <w:rPr/>
      </w:pPr>
      <w:r>
        <w:rPr/>
        <w:t>At end of each workday, remove rubbish, empty cans, rags, and other discarded materials from Project site.</w:t>
      </w:r>
    </w:p>
    <w:p>
      <w:pPr>
        <w:pStyle w:val="PR1"/>
        <w:numPr>
          <w:ilvl w:val="4"/>
          <w:numId w:val="1"/>
        </w:numPr>
        <w:ind w:hanging="0" w:left="0"/>
        <w:rPr/>
      </w:pPr>
      <w:r>
        <w:rPr/>
        <w:t>After completing coating application, clean spattered surfaces. Remove spattered coatings by washing, scraping, or other methods. Do not scratch or damage adjacent finished surfaces.</w:t>
      </w:r>
    </w:p>
    <w:p>
      <w:pPr>
        <w:pStyle w:val="PR1"/>
        <w:numPr>
          <w:ilvl w:val="4"/>
          <w:numId w:val="1"/>
        </w:numPr>
        <w:ind w:hanging="0" w:left="0"/>
        <w:rPr/>
      </w:pPr>
      <w:r>
        <w:rPr/>
        <w:t>Protect work of other trades against damage from coating operation. Correct damage to work of other trades by cleaning, repairing, replacing, and recoating, as approved by Architect, and leave in an undamaged condition.</w:t>
      </w:r>
    </w:p>
    <w:p>
      <w:pPr>
        <w:pStyle w:val="PR1"/>
        <w:numPr>
          <w:ilvl w:val="4"/>
          <w:numId w:val="1"/>
        </w:numPr>
        <w:ind w:hanging="0" w:left="0"/>
        <w:rPr/>
      </w:pPr>
      <w:r>
        <w:rPr/>
        <w:t>At completion of construction activities of other trades, touch up and restore damaged or defaced coated surfaces.</w:t>
      </w:r>
    </w:p>
    <w:p>
      <w:pPr>
        <w:pStyle w:val="ART"/>
        <w:numPr>
          <w:ilvl w:val="3"/>
          <w:numId w:val="1"/>
        </w:numPr>
        <w:ind w:hanging="0" w:left="0"/>
        <w:rPr/>
      </w:pPr>
      <w:r>
        <w:rPr/>
        <w:t>HIGH-TEMPERATURE-RESISTANT COATING SCHEDULE</w:t>
      </w:r>
    </w:p>
    <w:p>
      <w:pPr>
        <w:pStyle w:val="CMT"/>
        <w:rPr/>
      </w:pPr>
      <w:r>
        <w:rPr/>
        <w:t>Coating systems in this article are based on "MPI Architectural Painting Specification Manual." For renovation projects, consult "MPI Maintenance Repainting Manual" and revise coating systems accordingly.</w:t>
      </w:r>
    </w:p>
    <w:p>
      <w:pPr>
        <w:pStyle w:val="CMT"/>
        <w:rPr/>
      </w:pPr>
      <w:r>
        <w:rPr/>
        <w:t>"Heat-Resistant Enamel System" Paragraph below relies on manufacturer's recommendations for surface preparation and component coats for a Premium Grade system and does not include a Budget Grade system. It is suitable for use on surfaces that reach a maximum temperature of 400 deg F (205 deg C).</w:t>
      </w:r>
    </w:p>
    <w:p>
      <w:pPr>
        <w:pStyle w:val="PR1"/>
        <w:numPr>
          <w:ilvl w:val="4"/>
          <w:numId w:val="1"/>
        </w:numPr>
        <w:ind w:hanging="0" w:left="0"/>
        <w:rPr/>
      </w:pPr>
      <w:r>
        <w:rPr/>
        <w:t>Heat-Resistant Enamel System [</w:t>
      </w:r>
      <w:r>
        <w:rPr>
          <w:b/>
        </w:rPr>
        <w:t>MPI EXT 5.2A</w:t>
      </w:r>
      <w:r>
        <w:rPr/>
        <w:t>] [</w:t>
      </w:r>
      <w:r>
        <w:rPr>
          <w:b/>
        </w:rPr>
        <w:t>and</w:t>
      </w:r>
      <w:r>
        <w:rPr/>
        <w:t>] [</w:t>
      </w:r>
      <w:r>
        <w:rPr>
          <w:b/>
        </w:rPr>
        <w:t>MPI INT 5.2A</w:t>
      </w:r>
      <w:r>
        <w:rPr/>
        <w:t>]:</w:t>
      </w:r>
    </w:p>
    <w:p>
      <w:pPr>
        <w:pStyle w:val="PR2"/>
        <w:numPr>
          <w:ilvl w:val="5"/>
          <w:numId w:val="1"/>
        </w:numPr>
        <w:spacing w:before="240" w:after="0"/>
        <w:ind w:hanging="0" w:left="0"/>
        <w:rPr/>
      </w:pPr>
      <w:r>
        <w:rPr/>
        <w:t>Prime Coat: Primer recommended in writing for use in coating system and under conditions indicated by manufacturer of topcoat.</w:t>
      </w:r>
    </w:p>
    <w:p>
      <w:pPr>
        <w:pStyle w:val="PR2"/>
        <w:numPr>
          <w:ilvl w:val="5"/>
          <w:numId w:val="1"/>
        </w:numPr>
        <w:ind w:hanging="0" w:left="0"/>
        <w:rPr/>
      </w:pPr>
      <w:r>
        <w:rPr/>
        <w:t>Top Coat(s): Enamel, heat resistant (MPI Gloss Level 5 or 6)[</w:t>
      </w:r>
      <w:r>
        <w:rPr>
          <w:b/>
        </w:rPr>
        <w:t>, MPI #21</w:t>
      </w:r>
      <w:r>
        <w:rPr/>
        <w:t>].</w:t>
      </w:r>
    </w:p>
    <w:p>
      <w:pPr>
        <w:pStyle w:val="PR3"/>
        <w:numPr>
          <w:ilvl w:val="6"/>
          <w:numId w:val="1"/>
        </w:numPr>
        <w:spacing w:before="240" w:after="0"/>
        <w:ind w:hanging="0" w:left="0"/>
        <w:rPr/>
      </w:pPr>
      <w:r>
        <w:rPr/>
        <w:t>&lt;</w:t>
      </w:r>
      <w:r>
        <w:rPr>
          <w:b/>
        </w:rPr>
        <w:t>Insert manufacturer's name; product name or designation</w:t>
      </w:r>
      <w:r>
        <w:rPr/>
        <w:t>&gt;.</w:t>
      </w:r>
    </w:p>
    <w:p>
      <w:pPr>
        <w:pStyle w:val="PR3"/>
        <w:numPr>
          <w:ilvl w:val="6"/>
          <w:numId w:val="1"/>
        </w:numPr>
        <w:ind w:hanging="0" w:left="0"/>
        <w:rPr/>
      </w:pPr>
      <w:r>
        <w:rPr/>
        <w:t>Provide number of topcoats recommended in writing for use in coating system and under conditions indicated by manufacturer[</w:t>
      </w:r>
      <w:r>
        <w:rPr>
          <w:b/>
        </w:rPr>
        <w:t> but not less than two</w:t>
      </w:r>
      <w:r>
        <w:rPr/>
        <w:t>].</w:t>
      </w:r>
    </w:p>
    <w:p>
      <w:pPr>
        <w:pStyle w:val="CMT"/>
        <w:rPr/>
      </w:pPr>
      <w:r>
        <w:rPr/>
        <w:t>"Inorganic Zinc-Rich Coating System" Paragraph below relies on manufacturer's recommendations for surface preparation and component coats for a Premium Grade system and does not include a Budget Grade system. It is suitable for use on surfaces that reach a maximum temperature of 750 deg F (400 deg C).</w:t>
      </w:r>
    </w:p>
    <w:p>
      <w:pPr>
        <w:pStyle w:val="PR1"/>
        <w:numPr>
          <w:ilvl w:val="4"/>
          <w:numId w:val="1"/>
        </w:numPr>
        <w:ind w:hanging="0" w:left="0"/>
        <w:rPr/>
      </w:pPr>
      <w:r>
        <w:rPr/>
        <w:t>Inorganic Zinc-Rich Coating System [</w:t>
      </w:r>
      <w:r>
        <w:rPr>
          <w:b/>
        </w:rPr>
        <w:t>MPI EXT 5.2C</w:t>
      </w:r>
      <w:r>
        <w:rPr/>
        <w:t>] [</w:t>
      </w:r>
      <w:r>
        <w:rPr>
          <w:b/>
        </w:rPr>
        <w:t>and</w:t>
      </w:r>
      <w:r>
        <w:rPr/>
        <w:t>] [</w:t>
      </w:r>
      <w:r>
        <w:rPr>
          <w:b/>
        </w:rPr>
        <w:t>MPI INT 5.2C</w:t>
      </w:r>
      <w:r>
        <w:rPr/>
        <w:t>]:</w:t>
      </w:r>
    </w:p>
    <w:p>
      <w:pPr>
        <w:pStyle w:val="PR2"/>
        <w:numPr>
          <w:ilvl w:val="5"/>
          <w:numId w:val="1"/>
        </w:numPr>
        <w:spacing w:before="240" w:after="0"/>
        <w:ind w:hanging="0" w:left="0"/>
        <w:rPr/>
      </w:pPr>
      <w:r>
        <w:rPr/>
        <w:t>Prime Coat: Primer, zinc rich, inorganic, matching topcoat.</w:t>
      </w:r>
    </w:p>
    <w:p>
      <w:pPr>
        <w:pStyle w:val="PR2"/>
        <w:numPr>
          <w:ilvl w:val="5"/>
          <w:numId w:val="1"/>
        </w:numPr>
        <w:ind w:hanging="0" w:left="0"/>
        <w:rPr/>
      </w:pPr>
      <w:r>
        <w:rPr/>
        <w:t>Top Coat(s): Primer, zinc rich, inorganic[</w:t>
      </w:r>
      <w:r>
        <w:rPr>
          <w:b/>
        </w:rPr>
        <w:t>, MPI #19</w:t>
      </w:r>
      <w:r>
        <w:rPr/>
        <w:t>].</w:t>
      </w:r>
    </w:p>
    <w:p>
      <w:pPr>
        <w:pStyle w:val="PR3"/>
        <w:numPr>
          <w:ilvl w:val="6"/>
          <w:numId w:val="1"/>
        </w:numPr>
        <w:spacing w:before="240" w:after="0"/>
        <w:ind w:hanging="0" w:left="0"/>
        <w:rPr/>
      </w:pPr>
      <w:r>
        <w:rPr/>
        <w:t>&lt;</w:t>
      </w:r>
      <w:r>
        <w:rPr>
          <w:b/>
        </w:rPr>
        <w:t>Insert manufacturer's name; product name or designation</w:t>
      </w:r>
      <w:r>
        <w:rPr/>
        <w:t>&gt;.</w:t>
      </w:r>
    </w:p>
    <w:p>
      <w:pPr>
        <w:pStyle w:val="PR3"/>
        <w:numPr>
          <w:ilvl w:val="6"/>
          <w:numId w:val="1"/>
        </w:numPr>
        <w:ind w:hanging="0" w:left="0"/>
        <w:rPr/>
      </w:pPr>
      <w:r>
        <w:rPr/>
        <w:t>Provide number of topcoats recommended in writing for use in coating system and under conditions indicated by manufacturer[</w:t>
      </w:r>
      <w:r>
        <w:rPr>
          <w:b/>
        </w:rPr>
        <w:t> but not less than two</w:t>
      </w:r>
      <w:r>
        <w:rPr/>
        <w:t>].</w:t>
      </w:r>
    </w:p>
    <w:p>
      <w:pPr>
        <w:pStyle w:val="CMT"/>
        <w:rPr/>
      </w:pPr>
      <w:r>
        <w:rPr/>
        <w:t>"Heat-Resistant Aluminum Enamel System" Paragraph below relies on manufacturer's recommendations for surface preparation and component coats for a Premium Grade system and does not include a Budget Grade system. It is suitable for use on surfaces that reach a maximum temperature of 800 deg F (427 deg C).</w:t>
      </w:r>
    </w:p>
    <w:p>
      <w:pPr>
        <w:pStyle w:val="PR1"/>
        <w:numPr>
          <w:ilvl w:val="4"/>
          <w:numId w:val="1"/>
        </w:numPr>
        <w:ind w:hanging="0" w:left="0"/>
        <w:rPr/>
      </w:pPr>
      <w:r>
        <w:rPr/>
        <w:t>Heat-Resistant Aluminum Enamel System [</w:t>
      </w:r>
      <w:r>
        <w:rPr>
          <w:b/>
        </w:rPr>
        <w:t>MPI EXT 5.2B</w:t>
      </w:r>
      <w:r>
        <w:rPr/>
        <w:t>] [</w:t>
      </w:r>
      <w:r>
        <w:rPr>
          <w:b/>
        </w:rPr>
        <w:t>and</w:t>
      </w:r>
      <w:r>
        <w:rPr/>
        <w:t>] [</w:t>
      </w:r>
      <w:r>
        <w:rPr>
          <w:b/>
        </w:rPr>
        <w:t>MPI INT 5.2B</w:t>
      </w:r>
      <w:r>
        <w:rPr/>
        <w:t>]:</w:t>
      </w:r>
    </w:p>
    <w:p>
      <w:pPr>
        <w:pStyle w:val="PR2"/>
        <w:numPr>
          <w:ilvl w:val="5"/>
          <w:numId w:val="1"/>
        </w:numPr>
        <w:spacing w:before="240" w:after="0"/>
        <w:ind w:hanging="0" w:left="0"/>
        <w:rPr/>
      </w:pPr>
      <w:r>
        <w:rPr/>
        <w:t>Prime Coat: Primer recommended in writing for use in coating system and under conditions indicated by manufacturer of topcoat.</w:t>
      </w:r>
    </w:p>
    <w:p>
      <w:pPr>
        <w:pStyle w:val="PR2"/>
        <w:numPr>
          <w:ilvl w:val="5"/>
          <w:numId w:val="1"/>
        </w:numPr>
        <w:ind w:hanging="0" w:left="0"/>
        <w:rPr/>
      </w:pPr>
      <w:r>
        <w:rPr/>
        <w:t>Top Coat(s): Aluminum paint, enamel, heat resistant[</w:t>
      </w:r>
      <w:r>
        <w:rPr>
          <w:b/>
        </w:rPr>
        <w:t>, MPI #2</w:t>
      </w:r>
      <w:r>
        <w:rPr/>
        <w:t>].</w:t>
      </w:r>
    </w:p>
    <w:p>
      <w:pPr>
        <w:pStyle w:val="PR3"/>
        <w:numPr>
          <w:ilvl w:val="6"/>
          <w:numId w:val="1"/>
        </w:numPr>
        <w:spacing w:before="240" w:after="0"/>
        <w:ind w:hanging="0" w:left="0"/>
        <w:rPr/>
      </w:pPr>
      <w:r>
        <w:rPr/>
        <w:t>&lt;</w:t>
      </w:r>
      <w:r>
        <w:rPr>
          <w:b/>
        </w:rPr>
        <w:t>Insert manufacturer's name; product name or designation</w:t>
      </w:r>
      <w:r>
        <w:rPr/>
        <w:t>&gt;.</w:t>
      </w:r>
    </w:p>
    <w:p>
      <w:pPr>
        <w:pStyle w:val="PR3"/>
        <w:numPr>
          <w:ilvl w:val="6"/>
          <w:numId w:val="1"/>
        </w:numPr>
        <w:ind w:hanging="0" w:left="0"/>
        <w:rPr/>
      </w:pPr>
      <w:r>
        <w:rPr/>
        <w:t>Provide number of topcoats recommended in writing for use in coating system and under conditions indicated by manufacturer[</w:t>
      </w:r>
      <w:r>
        <w:rPr>
          <w:b/>
        </w:rPr>
        <w:t> but not less than two</w:t>
      </w:r>
      <w:r>
        <w:rPr/>
        <w:t>].</w:t>
      </w:r>
    </w:p>
    <w:p>
      <w:pPr>
        <w:pStyle w:val="CMT"/>
        <w:rPr/>
      </w:pPr>
      <w:r>
        <w:rPr/>
        <w:t>"High-Heat-Resistant Coating System" Paragraph below relies on manufacturer's recommendations for surface preparation and component coats for a Premium Grade system and does not include a Budget Grade system. It is suitable for use on surfaces that reach a maximum temperature of 1100 deg F (593 deg C).</w:t>
      </w:r>
    </w:p>
    <w:p>
      <w:pPr>
        <w:pStyle w:val="PR1"/>
        <w:numPr>
          <w:ilvl w:val="4"/>
          <w:numId w:val="1"/>
        </w:numPr>
        <w:ind w:hanging="0" w:left="0"/>
        <w:rPr/>
      </w:pPr>
      <w:r>
        <w:rPr/>
        <w:t>High-Heat-Resistant Coating System [</w:t>
      </w:r>
      <w:r>
        <w:rPr>
          <w:b/>
        </w:rPr>
        <w:t>MPI EXT 5.2D</w:t>
      </w:r>
      <w:r>
        <w:rPr/>
        <w:t>] [</w:t>
      </w:r>
      <w:r>
        <w:rPr>
          <w:b/>
        </w:rPr>
        <w:t>and</w:t>
      </w:r>
      <w:r>
        <w:rPr/>
        <w:t>] [</w:t>
      </w:r>
      <w:r>
        <w:rPr>
          <w:b/>
        </w:rPr>
        <w:t>MPI INT 5.2D</w:t>
      </w:r>
      <w:r>
        <w:rPr/>
        <w:t>]:</w:t>
      </w:r>
    </w:p>
    <w:p>
      <w:pPr>
        <w:pStyle w:val="PR2"/>
        <w:numPr>
          <w:ilvl w:val="5"/>
          <w:numId w:val="1"/>
        </w:numPr>
        <w:spacing w:before="240" w:after="0"/>
        <w:ind w:hanging="0" w:left="0"/>
        <w:rPr/>
      </w:pPr>
      <w:r>
        <w:rPr/>
        <w:t>Prime Coat: Primer recommended in writing for use in coating system and under conditions indicated by manufacturer of topcoat.</w:t>
      </w:r>
    </w:p>
    <w:p>
      <w:pPr>
        <w:pStyle w:val="PR2"/>
        <w:numPr>
          <w:ilvl w:val="5"/>
          <w:numId w:val="1"/>
        </w:numPr>
        <w:ind w:hanging="0" w:left="0"/>
        <w:rPr/>
      </w:pPr>
      <w:r>
        <w:rPr/>
        <w:t>Top Coat(s): Aluminum paint, high heat[</w:t>
      </w:r>
      <w:r>
        <w:rPr>
          <w:b/>
        </w:rPr>
        <w:t>, MPI #22</w:t>
      </w:r>
      <w:r>
        <w:rPr/>
        <w:t>].</w:t>
      </w:r>
    </w:p>
    <w:p>
      <w:pPr>
        <w:pStyle w:val="PR3"/>
        <w:numPr>
          <w:ilvl w:val="6"/>
          <w:numId w:val="1"/>
        </w:numPr>
        <w:spacing w:before="240" w:after="0"/>
        <w:ind w:hanging="0" w:left="0"/>
        <w:rPr/>
      </w:pPr>
      <w:r>
        <w:rPr/>
        <w:t>&lt;</w:t>
      </w:r>
      <w:r>
        <w:rPr>
          <w:b/>
        </w:rPr>
        <w:t>Insert manufacturer's name; product name or designation</w:t>
      </w:r>
      <w:r>
        <w:rPr/>
        <w:t>&gt;.</w:t>
      </w:r>
    </w:p>
    <w:p>
      <w:pPr>
        <w:pStyle w:val="PR3"/>
        <w:numPr>
          <w:ilvl w:val="6"/>
          <w:numId w:val="1"/>
        </w:numPr>
        <w:ind w:hanging="0" w:left="0"/>
        <w:rPr/>
      </w:pPr>
      <w:r>
        <w:rPr/>
        <w:t>Provide number of topcoats recommended in writing for use in coating system and under conditions indicated by manufacturer[</w:t>
      </w:r>
      <w:r>
        <w:rPr>
          <w:b/>
        </w:rPr>
        <w:t> but not less than two</w:t>
      </w:r>
      <w:r>
        <w:rPr/>
        <w:t>].</w:t>
      </w:r>
    </w:p>
    <w:p>
      <w:pPr>
        <w:pStyle w:val="EOS"/>
        <w:rPr/>
      </w:pPr>
      <w:r>
        <w:rPr/>
        <w:t>END OF SECTION 099633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HIGH-TEMPERATURE-RESISTANT COATINGS</w:t>
          </w:r>
        </w:p>
      </w:tc>
      <w:tc>
        <w:tcPr>
          <w:tcW w:w="1872" w:type="dxa"/>
          <w:tcBorders/>
        </w:tcPr>
        <w:p>
          <w:pPr>
            <w:pStyle w:val="RJUST"/>
            <w:rPr/>
          </w:pPr>
          <w:r>
            <w:rPr>
              <w:rStyle w:val="NUM"/>
            </w:rPr>
            <w:t>099633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06/14</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4"/>
    <w:docVar w:name="Format" w:val="1"/>
    <w:docVar w:name="MF04" w:val="099633"/>
    <w:docVar w:name="MF95" w:val="09975"/>
    <w:docVar w:name="MFOrigin" w:val="MF04"/>
    <w:docVar w:name="SectionID" w:val="310"/>
    <w:docVar w:name="SpecType" w:val="MasterSpec"/>
    <w:docVar w:name="Version" w:val="105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633&amp;ver=06-01-14&amp;format=FL&amp;sid=10525&amp;utm_source=MasterSpec&amp;utm_medium=Word" TargetMode="External"/><Relationship Id="rId3" Type="http://schemas.openxmlformats.org/officeDocument/2006/relationships/hyperlink" Target="http://www.productmasterspec.com/construction_specifications?mf04=099633&amp;update=ms2022_3&amp;utm_source=MasterSpec&amp;utm_medium=Word" TargetMode="External"/><Relationship Id="rId4" Type="http://schemas.openxmlformats.org/officeDocument/2006/relationships/hyperlink" Target="http://www.arcomnet.com/sustainable_design.aspx?topic=216" TargetMode="External"/><Relationship Id="rId5" Type="http://schemas.openxmlformats.org/officeDocument/2006/relationships/hyperlink" Target="http://www.specagent.com/LookUp/?ulid=11669&amp;mf=04&amp;src=wd" TargetMode="External"/><Relationship Id="rId6" Type="http://schemas.openxmlformats.org/officeDocument/2006/relationships/hyperlink" Target="http://www.arcomnet.com/sustainable_design.aspx?topic=215"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2022-09-26T02:21:00Z</dcterms:created>
  <dc:creator>Deltek, Inc.</dc:creator>
  <dc:description/>
  <cp:keywords>BAS-12345-MS80</cp:keywords>
  <dc:language>zh-CN</dc:language>
  <cp:lastModifiedBy>Janice Nacional</cp:lastModifiedBy>
  <dcterms:modified xsi:type="dcterms:W3CDTF">2022-09-26T02:21:00Z</dcterms:modified>
  <cp:revision>2</cp:revision>
  <dc:subject>HIGH-TEMPERATURE-RESISTANT COATINGS</dc:subject>
  <dc:title>SECTION 099633 - HIGH-TEMPERATURE-RESISTANT COATINGS</dc:title>
</cp:coreProperties>
</file>