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099653</w:t>
      </w:r>
      <w:r>
        <w:rPr/>
        <w:t xml:space="preserve"> - </w:t>
      </w:r>
      <w:r>
        <w:rPr>
          <w:rStyle w:val="NAM"/>
        </w:rPr>
        <w:t>ELASTOMERIC COATINGS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surface preparation and application of elastomeric coatings to the following exterior substrates:</w:t>
      </w:r>
    </w:p>
    <w:p>
      <w:pPr>
        <w:pStyle w:val="CMT"/>
        <w:rPr/>
      </w:pPr>
      <w:r>
        <w:rPr/>
        <w:t>Revise list below to suit Project.</w:t>
      </w:r>
    </w:p>
    <w:p>
      <w:pPr>
        <w:pStyle w:val="PR2"/>
        <w:numPr>
          <w:ilvl w:val="5"/>
          <w:numId w:val="1"/>
        </w:numPr>
        <w:spacing w:before="240" w:after="0"/>
        <w:ind w:hanging="0" w:left="0"/>
        <w:rPr/>
      </w:pPr>
      <w:r>
        <w:rPr/>
        <w:t>Concrete.</w:t>
      </w:r>
    </w:p>
    <w:p>
      <w:pPr>
        <w:pStyle w:val="PR2"/>
        <w:numPr>
          <w:ilvl w:val="5"/>
          <w:numId w:val="1"/>
        </w:numPr>
        <w:ind w:hanging="0" w:left="0"/>
        <w:rPr/>
      </w:pPr>
      <w:r>
        <w:rPr/>
        <w:t>Concrete unit masonry.</w:t>
      </w:r>
    </w:p>
    <w:p>
      <w:pPr>
        <w:pStyle w:val="PR2"/>
        <w:numPr>
          <w:ilvl w:val="5"/>
          <w:numId w:val="1"/>
        </w:numPr>
        <w:ind w:hanging="0" w:left="0"/>
        <w:rPr/>
      </w:pPr>
      <w:r>
        <w:rPr/>
        <w:t>Stucco.</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CMT"/>
        <w:rPr/>
      </w:pPr>
      <w:r>
        <w:rPr/>
        <w:t>See "Writing Guide" Article in the Evaluations for discussion of first subparagraph below.</w:t>
      </w:r>
    </w:p>
    <w:p>
      <w:pPr>
        <w:pStyle w:val="PR2"/>
        <w:numPr>
          <w:ilvl w:val="5"/>
          <w:numId w:val="1"/>
        </w:numPr>
        <w:spacing w:before="240" w:after="0"/>
        <w:ind w:hanging="0" w:left="0"/>
        <w:rPr/>
      </w:pPr>
      <w:r>
        <w:rPr/>
        <w:t>Include printout of current "MPI Approved Products List" for each product category specified, with the proposed product highlighted.</w:t>
      </w:r>
    </w:p>
    <w:p>
      <w:pPr>
        <w:pStyle w:val="PR2"/>
        <w:numPr>
          <w:ilvl w:val="5"/>
          <w:numId w:val="1"/>
        </w:numPr>
        <w:ind w:hanging="0" w:left="0"/>
        <w:rPr/>
      </w:pPr>
      <w:r>
        <w:rPr/>
        <w:t>Indicate VOC content.</w:t>
      </w:r>
    </w:p>
    <w:p>
      <w:pPr>
        <w:pStyle w:val="PR1"/>
        <w:numPr>
          <w:ilvl w:val="4"/>
          <w:numId w:val="1"/>
        </w:numPr>
        <w:ind w:hanging="0" w:left="0"/>
        <w:rPr/>
      </w:pPr>
      <w:r>
        <w:rPr/>
        <w:t>Samples for Initial Selection: For each type of elastomeric coating.</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ind w:hanging="0" w:left="0"/>
        <w:rPr/>
      </w:pPr>
      <w:r>
        <w:rPr/>
        <w:t>Samples for Verification: For each type of elastomeric coating indicated and in each color and gloss.</w:t>
      </w:r>
    </w:p>
    <w:p>
      <w:pPr>
        <w:pStyle w:val="PR2"/>
        <w:numPr>
          <w:ilvl w:val="5"/>
          <w:numId w:val="1"/>
        </w:numPr>
        <w:spacing w:before="240" w:after="0"/>
        <w:ind w:hanging="0" w:left="0"/>
        <w:rPr/>
      </w:pPr>
      <w:r>
        <w:rPr/>
        <w:t xml:space="preserve">Submit Samples on same type of substrate as that to receive application, </w:t>
      </w:r>
      <w:r>
        <w:rPr>
          <w:rStyle w:val="IP"/>
        </w:rPr>
        <w:t>8 inches</w:t>
      </w:r>
      <w:r>
        <w:rPr>
          <w:rStyle w:val="SI"/>
        </w:rPr>
        <w:t xml:space="preserve"> (200-mm)</w:t>
      </w:r>
      <w:r>
        <w:rPr/>
        <w:t xml:space="preserve"> square.</w:t>
      </w:r>
    </w:p>
    <w:p>
      <w:pPr>
        <w:pStyle w:val="PR2"/>
        <w:numPr>
          <w:ilvl w:val="5"/>
          <w:numId w:val="1"/>
        </w:numPr>
        <w:ind w:hanging="0" w:left="0"/>
        <w:rPr/>
      </w:pPr>
      <w:r>
        <w:rPr/>
        <w:t>Apply coats on Samples in steps to show each separate coat, including primers and block fillers as applicable.</w:t>
      </w:r>
    </w:p>
    <w:p>
      <w:pPr>
        <w:pStyle w:val="PR2"/>
        <w:numPr>
          <w:ilvl w:val="5"/>
          <w:numId w:val="1"/>
        </w:numPr>
        <w:ind w:hanging="0" w:left="0"/>
        <w:rPr/>
      </w:pPr>
      <w:r>
        <w:rPr/>
        <w:t>Label each coat of each Sample.</w:t>
      </w:r>
    </w:p>
    <w:p>
      <w:pPr>
        <w:pStyle w:val="PR2"/>
        <w:numPr>
          <w:ilvl w:val="5"/>
          <w:numId w:val="1"/>
        </w:numPr>
        <w:ind w:hanging="0" w:left="0"/>
        <w:rPr/>
      </w:pPr>
      <w:r>
        <w:rPr/>
        <w:t>Label each Sample for location and application area.</w:t>
      </w:r>
    </w:p>
    <w:p>
      <w:pPr>
        <w:pStyle w:val="PR1"/>
        <w:numPr>
          <w:ilvl w:val="4"/>
          <w:numId w:val="1"/>
        </w:numPr>
        <w:ind w:hanging="0" w:left="0"/>
        <w:rPr/>
      </w:pPr>
      <w:r>
        <w:rPr/>
        <w:t>Product List: Cross-reference to paint system and locations of application areas. Use same designations indicated on Drawings and in schedules. Include color designations.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CMT"/>
        <w:rPr/>
      </w:pPr>
      <w:r>
        <w:rPr/>
        <w:t>If necessary, replace percentage in "Quantity" Subparagraph below with a specific number of gallons (liters) or cases and include an expanded description of the quantity of each material, color, and texture.</w:t>
      </w:r>
    </w:p>
    <w:p>
      <w:pPr>
        <w:pStyle w:val="PR2"/>
        <w:numPr>
          <w:ilvl w:val="5"/>
          <w:numId w:val="1"/>
        </w:numPr>
        <w:spacing w:before="240" w:after="0"/>
        <w:ind w:hanging="0" w:left="0"/>
        <w:rPr/>
      </w:pPr>
      <w:r>
        <w:rPr/>
        <w:t>Quantity: Furnish an additional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quantity</w:t>
      </w:r>
      <w:r>
        <w:rPr/>
        <w:t>&gt; of each material, color, and texture applied.</w:t>
      </w:r>
    </w:p>
    <w:p>
      <w:pPr>
        <w:pStyle w:val="ART"/>
        <w:numPr>
          <w:ilvl w:val="3"/>
          <w:numId w:val="1"/>
        </w:numPr>
        <w:ind w:hanging="0" w:left="0"/>
        <w:rPr/>
      </w:pPr>
      <w:r>
        <w:rPr/>
        <w:t>QUALITY ASSURANCE</w:t>
      </w:r>
    </w:p>
    <w:p>
      <w:pPr>
        <w:pStyle w:val="PR1"/>
        <w:numPr>
          <w:ilvl w:val="4"/>
          <w:numId w:val="1"/>
        </w:numPr>
        <w:ind w:hanging="0" w:left="0"/>
        <w:rPr/>
      </w:pPr>
      <w:r>
        <w:rPr/>
        <w:t>Mockups: Apply mockups of each paint system indicated and each color and finish selected to verify preliminary selections made under Sample submittals and to demonstrate aesthetic effects and set quality standards for materials and execution.</w:t>
      </w:r>
    </w:p>
    <w:p>
      <w:pPr>
        <w:pStyle w:val="PR2"/>
        <w:numPr>
          <w:ilvl w:val="5"/>
          <w:numId w:val="1"/>
        </w:numPr>
        <w:spacing w:before="240" w:after="0"/>
        <w:ind w:hanging="0" w:left="0"/>
        <w:rPr/>
      </w:pPr>
      <w:r>
        <w:rPr/>
        <w:t>Architect will select one surface to represent surfaces and conditions for application of each paint system.</w:t>
      </w:r>
    </w:p>
    <w:p>
      <w:pPr>
        <w:pStyle w:val="PR3"/>
        <w:numPr>
          <w:ilvl w:val="6"/>
          <w:numId w:val="1"/>
        </w:numPr>
        <w:spacing w:before="240" w:after="0"/>
        <w:ind w:hanging="0" w:left="0"/>
        <w:rPr/>
      </w:pPr>
      <w:r>
        <w:rPr/>
        <w:t xml:space="preserve">Vertical and Horizontal Surfaces: Provide samples of at least </w:t>
      </w:r>
      <w:r>
        <w:rPr>
          <w:rStyle w:val="IP"/>
        </w:rPr>
        <w:t>100 sq. ft</w:t>
      </w:r>
      <w:r>
        <w:rPr>
          <w:rStyle w:val="SI"/>
        </w:rPr>
        <w:t xml:space="preserve"> (9 sq. m)</w:t>
      </w:r>
      <w:r>
        <w:rPr/>
        <w:t>.</w:t>
      </w:r>
    </w:p>
    <w:p>
      <w:pPr>
        <w:pStyle w:val="PR3"/>
        <w:numPr>
          <w:ilvl w:val="6"/>
          <w:numId w:val="1"/>
        </w:numPr>
        <w:ind w:hanging="0" w:left="0"/>
        <w:rPr/>
      </w:pPr>
      <w:r>
        <w:rPr/>
        <w:t>Other Items: Architect will designate items or areas required.</w:t>
      </w:r>
    </w:p>
    <w:p>
      <w:pPr>
        <w:pStyle w:val="PR2"/>
        <w:numPr>
          <w:ilvl w:val="5"/>
          <w:numId w:val="1"/>
        </w:numPr>
        <w:spacing w:before="240" w:after="0"/>
        <w:ind w:hanging="0" w:left="0"/>
        <w:rPr/>
      </w:pPr>
      <w:r>
        <w:rPr/>
        <w:t>Final approval of color selections will be based on mockups.</w:t>
      </w:r>
    </w:p>
    <w:p>
      <w:pPr>
        <w:pStyle w:val="PR3"/>
        <w:numPr>
          <w:ilvl w:val="6"/>
          <w:numId w:val="1"/>
        </w:numPr>
        <w:spacing w:before="240" w:after="0"/>
        <w:ind w:hanging="0" w:left="0"/>
        <w:rPr/>
      </w:pPr>
      <w:r>
        <w:rPr/>
        <w:t>If preliminary color selections are not approved, apply additional mockups of additional colors selected by Architect at no added cost to Owner.</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ind w:hanging="0" w:left="0"/>
        <w:rPr/>
      </w:pPr>
      <w:r>
        <w:rPr/>
        <w:t>Maintain containers in clean condition, free of foreign materials and residue.</w:t>
      </w:r>
    </w:p>
    <w:p>
      <w:pPr>
        <w:pStyle w:val="PR2"/>
        <w:numPr>
          <w:ilvl w:val="5"/>
          <w:numId w:val="1"/>
        </w:numPr>
        <w:ind w:hanging="0" w:left="0"/>
        <w:rPr/>
      </w:pPr>
      <w:r>
        <w:rPr/>
        <w:t>Remove rags and waste from storage areas daily.</w:t>
      </w:r>
    </w:p>
    <w:p>
      <w:pPr>
        <w:pStyle w:val="ART"/>
        <w:numPr>
          <w:ilvl w:val="3"/>
          <w:numId w:val="1"/>
        </w:numPr>
        <w:ind w:hanging="0" w:left="0"/>
        <w:rPr/>
      </w:pPr>
      <w:r>
        <w:rPr/>
        <w:t>FIELD CONDITIONS</w:t>
      </w:r>
    </w:p>
    <w:p>
      <w:pPr>
        <w:pStyle w:val="CMT"/>
        <w:rPr/>
      </w:pPr>
      <w:r>
        <w:rPr/>
        <w:t>Revise this article if manufacturer's requirements are more restrictive.</w:t>
      </w:r>
    </w:p>
    <w:p>
      <w:pPr>
        <w:pStyle w:val="PR1"/>
        <w:numPr>
          <w:ilvl w:val="4"/>
          <w:numId w:val="1"/>
        </w:numPr>
        <w:ind w:hanging="0" w:left="0"/>
        <w:rPr/>
      </w:pPr>
      <w:r>
        <w:rPr/>
        <w:t xml:space="preserve">Apply coatings only when temperature of surfaces to be coated and ambient air temperatures are between </w:t>
      </w:r>
      <w:r>
        <w:rPr>
          <w:rStyle w:val="IP"/>
        </w:rPr>
        <w:t>50 and 90 deg F</w:t>
      </w:r>
      <w:r>
        <w:rPr>
          <w:rStyle w:val="SI"/>
        </w:rPr>
        <w:t xml:space="preserve"> (10 and 32 deg C)</w:t>
      </w:r>
      <w:r>
        <w:rPr/>
        <w:t xml:space="preserve"> unless otherwise permitted by manufacturer's written instructions.</w:t>
      </w:r>
    </w:p>
    <w:p>
      <w:pPr>
        <w:pStyle w:val="PR1"/>
        <w:numPr>
          <w:ilvl w:val="4"/>
          <w:numId w:val="1"/>
        </w:numPr>
        <w:ind w:hanging="0" w:left="0"/>
        <w:rPr/>
      </w:pPr>
      <w:r>
        <w:rPr/>
        <w:t xml:space="preserve">Do not apply coatings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1"/>
        <w:numPr>
          <w:ilvl w:val="4"/>
          <w:numId w:val="1"/>
        </w:numPr>
        <w:ind w:hanging="0" w:left="0"/>
        <w:rPr/>
      </w:pPr>
      <w:r>
        <w:rPr/>
        <w:t>Allow wet surfaces to dry thoroughly and attain temperature and conditions specified before starting or continuing coating operation.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Manufacturer's standard form in which manufacturer agrees to repair or replace elastomeric coatings that fail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Water penetration through the coating.</w:t>
      </w:r>
    </w:p>
    <w:p>
      <w:pPr>
        <w:pStyle w:val="PR3"/>
        <w:numPr>
          <w:ilvl w:val="6"/>
          <w:numId w:val="1"/>
        </w:numPr>
        <w:ind w:hanging="0" w:left="0"/>
        <w:rPr/>
      </w:pPr>
      <w:r>
        <w:rPr/>
        <w:t>Deterioration of coating beyond normal weathering.</w:t>
      </w:r>
    </w:p>
    <w:p>
      <w:pPr>
        <w:pStyle w:val="PR3"/>
        <w:numPr>
          <w:ilvl w:val="6"/>
          <w:numId w:val="1"/>
        </w:numPr>
        <w:ind w:hanging="0" w:left="0"/>
        <w:rPr/>
      </w:pPr>
      <w:r>
        <w:rPr/>
        <w:t>&lt;</w:t>
      </w:r>
      <w:r>
        <w:rPr>
          <w:b/>
        </w:rPr>
        <w:t>Insert failure modes</w:t>
      </w:r>
      <w:r>
        <w:rPr/>
        <w:t>&gt;.</w:t>
      </w:r>
    </w:p>
    <w:p>
      <w:pPr>
        <w:pStyle w:val="CMT"/>
        <w:rPr/>
      </w:pPr>
      <w:r>
        <w:rPr/>
        <w:t>Verify available warranties and warranty periods with manufacturers listed in Part 2 articles.</w:t>
      </w:r>
    </w:p>
    <w:p>
      <w:pPr>
        <w:pStyle w:val="PR2"/>
        <w:numPr>
          <w:ilvl w:val="5"/>
          <w:numId w:val="1"/>
        </w:numPr>
        <w:spacing w:before="240" w:after="0"/>
        <w:ind w:hanging="0" w:left="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CMT"/>
        <w:rPr/>
      </w:pPr>
      <w:r>
        <w:rPr/>
        <w:t>Retain "Products" Paragraph below and insert lists of manufacturers and products in Elastomeric Coating Schedule to require specific products or a comparable product from other manufacturers.</w:t>
      </w:r>
    </w:p>
    <w:p>
      <w:pPr>
        <w:pStyle w:val="CMT"/>
        <w:rPr/>
      </w:pPr>
      <w:r>
        <w:rPr/>
        <w:t>See lists of products currently approved by MPI in its "MPI Approved Products List," www.paintinfo.com. See "Writing Guide" Article in the Evaluations for further discussion.</w:t>
      </w:r>
    </w:p>
    <w:p>
      <w:pPr>
        <w:pStyle w:val="PR1"/>
        <w:numPr>
          <w:ilvl w:val="4"/>
          <w:numId w:val="1"/>
        </w:numPr>
        <w:ind w:hanging="0" w:left="0"/>
        <w:rPr/>
      </w:pPr>
      <w:r>
        <w:rPr/>
        <w:t>Products: Subject to compliance with requirements, [</w:t>
      </w:r>
      <w:r>
        <w:rPr>
          <w:b/>
        </w:rPr>
        <w:t>provide product</w:t>
      </w:r>
      <w:r>
        <w:rPr/>
        <w:t>] [</w:t>
      </w:r>
      <w:r>
        <w:rPr>
          <w:b/>
        </w:rPr>
        <w:t>provide one of the products</w:t>
      </w:r>
      <w:r>
        <w:rPr/>
        <w:t>] [</w:t>
      </w:r>
      <w:r>
        <w:rPr>
          <w:b/>
        </w:rPr>
        <w:t>available products that may be incorporated into the Work include, but are not limited to products</w:t>
      </w:r>
      <w:r>
        <w:rPr/>
        <w:t>] listed in the Elastomeric Coating Schedule for the paint category indicated.</w:t>
      </w:r>
    </w:p>
    <w:p>
      <w:pPr>
        <w:pStyle w:val="ART"/>
        <w:numPr>
          <w:ilvl w:val="3"/>
          <w:numId w:val="1"/>
        </w:numPr>
        <w:ind w:hanging="0" w:left="0"/>
        <w:rPr/>
      </w:pPr>
      <w:r>
        <w:rPr/>
        <w:t>MATERIALS</w:t>
      </w:r>
    </w:p>
    <w:p>
      <w:pPr>
        <w:pStyle w:val="PR1"/>
        <w:numPr>
          <w:ilvl w:val="4"/>
          <w:numId w:val="1"/>
        </w:numPr>
        <w:ind w:hanging="0" w:left="0"/>
        <w:rPr/>
      </w:pPr>
      <w:r>
        <w:rPr/>
        <w:t>MPI Standards: Products shall comply with MPI standards indicated and shall be listed in its "MPI Approved Products List."</w:t>
      </w:r>
    </w:p>
    <w:p>
      <w:pPr>
        <w:pStyle w:val="CMT"/>
        <w:rPr/>
      </w:pPr>
      <w:r>
        <w:rPr/>
        <w:t>Retain "Moisture-Vapor Transmission" Paragraph below if required. MPI performance standards for these coatings do not require a moisture-vapor transmission value but require only that moisture-vapor transmission of precisely prepared samples be reported according to ASTM D1653.</w:t>
      </w:r>
    </w:p>
    <w:p>
      <w:pPr>
        <w:pStyle w:val="PR1"/>
        <w:numPr>
          <w:ilvl w:val="4"/>
          <w:numId w:val="1"/>
        </w:numPr>
        <w:ind w:hanging="0" w:left="0"/>
        <w:rPr/>
      </w:pPr>
      <w:r>
        <w:rPr/>
        <w:t>Moisture-Vapor Transmission: Minimum &lt;</w:t>
      </w:r>
      <w:r>
        <w:rPr>
          <w:b/>
        </w:rPr>
        <w:t xml:space="preserve">Insert </w:t>
      </w:r>
      <w:r>
        <w:rPr>
          <w:rStyle w:val="IP"/>
          <w:b/>
        </w:rPr>
        <w:t>perms</w:t>
      </w:r>
      <w:r>
        <w:rPr>
          <w:rStyle w:val="SI"/>
          <w:b/>
        </w:rPr>
        <w:t xml:space="preserve"> (metric perms)</w:t>
      </w:r>
      <w:r>
        <w:rPr/>
        <w:t>&gt;, based on testing according to ASTM D1653.</w:t>
      </w:r>
    </w:p>
    <w:p>
      <w:pPr>
        <w:pStyle w:val="PR1"/>
        <w:numPr>
          <w:ilvl w:val="4"/>
          <w:numId w:val="1"/>
        </w:numPr>
        <w:ind w:hanging="0" w:left="0"/>
        <w:rPr/>
      </w:pPr>
      <w:r>
        <w:rPr/>
        <w:t>Material Compatibility:</w:t>
      </w:r>
    </w:p>
    <w:p>
      <w:pPr>
        <w:pStyle w:val="CMT"/>
        <w:rPr/>
      </w:pPr>
      <w:r>
        <w:rPr/>
        <w:t>Systems could fail if paints used for individual coats are incompatible. MPI's paint systems match primers and topcoats and take compatibility into consideration.</w:t>
      </w:r>
    </w:p>
    <w:p>
      <w:pPr>
        <w:pStyle w:val="PR2"/>
        <w:numPr>
          <w:ilvl w:val="5"/>
          <w:numId w:val="1"/>
        </w:numPr>
        <w:spacing w:before="240" w:after="0"/>
        <w:ind w:hanging="0" w:left="0"/>
        <w:rPr/>
      </w:pPr>
      <w:r>
        <w:rPr/>
        <w:t>Materials for use within each paint system shall be compatible with one another and substrates indicated, under conditions of service and application as demonstrated by manufacturer, based on testing and field experience.</w:t>
      </w:r>
    </w:p>
    <w:p>
      <w:pPr>
        <w:pStyle w:val="PR2"/>
        <w:numPr>
          <w:ilvl w:val="5"/>
          <w:numId w:val="1"/>
        </w:numPr>
        <w:ind w:hanging="0" w:left="0"/>
        <w:rPr/>
      </w:pPr>
      <w:r>
        <w:rPr/>
        <w:t>For each coat in a paint system, products shall be recommended in writing by manufacturers of topcoat for use in paint system and on substrate indicated.</w:t>
      </w:r>
    </w:p>
    <w:p>
      <w:pPr>
        <w:pStyle w:val="PR1"/>
        <w:numPr>
          <w:ilvl w:val="4"/>
          <w:numId w:val="1"/>
        </w:numPr>
        <w:ind w:hanging="0" w:left="0"/>
        <w:rPr/>
      </w:pPr>
      <w:r>
        <w:rPr/>
        <w:t>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2"/>
        <w:numPr>
          <w:ilvl w:val="5"/>
          <w:numId w:val="1"/>
        </w:numPr>
        <w:spacing w:before="240" w:after="0"/>
        <w:ind w:hanging="0" w:left="0"/>
        <w:rPr/>
      </w:pPr>
      <w:r>
        <w:rPr/>
        <w:t>[</w:t>
      </w:r>
      <w:r>
        <w:rPr>
          <w:b/>
        </w:rPr>
        <w:t>10</w:t>
      </w:r>
      <w:r>
        <w:rPr/>
        <w:t>] [</w:t>
      </w:r>
      <w:r>
        <w:rPr>
          <w:b/>
        </w:rPr>
        <w:t>20</w:t>
      </w:r>
      <w:r>
        <w:rPr/>
        <w:t>] [</w:t>
      </w:r>
      <w:r>
        <w:rPr>
          <w:b/>
        </w:rPr>
        <w:t>30</w:t>
      </w:r>
      <w:r>
        <w:rPr/>
        <w:t>] &lt;</w:t>
      </w:r>
      <w:r>
        <w:rPr>
          <w:b/>
        </w:rPr>
        <w:t>Insert number</w:t>
      </w:r>
      <w:r>
        <w:rPr/>
        <w:t>&gt; percent of surface area will be painted with deep tones.</w:t>
      </w:r>
    </w:p>
    <w:p>
      <w:pPr>
        <w:pStyle w:val="CMT"/>
        <w:rPr/>
      </w:pPr>
      <w:r>
        <w:rPr/>
        <w:t>Materials in paragraphs below differ among manufacturers, may or may not be required by a manufacturer for substrate conditions, and are not stipulated in MPI's elastomeric coating systems for various substrates. MPI recommends following elastomeric coating manufacturer's recommendations. Insert other requirements or specific manufacturers and products if needed for unique substrate conditions.</w:t>
      </w:r>
    </w:p>
    <w:p>
      <w:pPr>
        <w:pStyle w:val="CMT"/>
        <w:rPr/>
      </w:pPr>
      <w:r>
        <w:rPr/>
        <w:t>Crack fillers are used when cracks in substrate are present. Elastomeric coatings will bridge hairline cracks, but larger cracks must be filled before applying finish coatings. Some manufacturers do not make specific recommendations for crack fillers. Coating type and classification for these products may vary with manufacturer.</w:t>
      </w:r>
    </w:p>
    <w:p>
      <w:pPr>
        <w:pStyle w:val="PR1"/>
        <w:numPr>
          <w:ilvl w:val="4"/>
          <w:numId w:val="1"/>
        </w:numPr>
        <w:ind w:hanging="0" w:left="0"/>
        <w:rPr/>
      </w:pPr>
      <w:r>
        <w:rPr/>
        <w:t>Crack Fillers: Elastomeric coating manufacturer's recommended, factory-formulated crack fillers or sealants, including crack filler primers, compatible with substrate and other materials indicated.</w:t>
      </w:r>
    </w:p>
    <w:p>
      <w:pPr>
        <w:pStyle w:val="CMT"/>
        <w:rPr/>
      </w:pPr>
      <w:r>
        <w:rPr/>
        <w:t>Manufacturer may not require a primer with a two-coat elastomeric coating system but may recommend a primer when a one-coat system is used; may not require a primer on new construction but may recommend one for existing construction if chalking is present; and may not require a primer because manufacturer claims product is self-priming.</w:t>
      </w:r>
    </w:p>
    <w:p>
      <w:pPr>
        <w:pStyle w:val="PR1"/>
        <w:numPr>
          <w:ilvl w:val="4"/>
          <w:numId w:val="1"/>
        </w:numPr>
        <w:ind w:hanging="0" w:left="0"/>
        <w:rPr/>
      </w:pPr>
      <w:r>
        <w:rPr/>
        <w:t>Primer: Elastomeric coating manufacturer's recommended, factory-formulated, alkali-resistant primer compatible with substrate and other materials indicated.</w:t>
      </w:r>
    </w:p>
    <w:p>
      <w:pPr>
        <w:pStyle w:val="CMT"/>
        <w:rPr/>
      </w:pPr>
      <w:r>
        <w:rPr/>
        <w:t>Block fillers are used to increase bond and reduce porosity in substrate, similar to primers, and to provide an architecturally smoother overall finish; revise to suit Project. Some manufacturers may not require a block filler to increase bond or reduce porosity of concrete unit masonry.</w:t>
      </w:r>
    </w:p>
    <w:p>
      <w:pPr>
        <w:pStyle w:val="PR1"/>
        <w:numPr>
          <w:ilvl w:val="4"/>
          <w:numId w:val="1"/>
        </w:numPr>
        <w:ind w:hanging="0" w:left="0"/>
        <w:rPr/>
      </w:pPr>
      <w:r>
        <w:rPr/>
        <w:t>Concrete Unit Masonry Block Filler: Elastomeric coating manufacturer's recommended, factory-formulated, high-performance latex block filler compatible with substrate and other materials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Applicator present, for compliance with manufacturer's requirements for maximum moisture content, alkalinity, and other conditions affecting performance of work.</w:t>
      </w:r>
    </w:p>
    <w:p>
      <w:pPr>
        <w:pStyle w:val="CMT"/>
        <w:rPr/>
      </w:pPr>
      <w:r>
        <w:rPr/>
        <w:t>Percentage in first paragraph below and time limit in second paragraph are based on the "MPI Architectural Painting Specification Manual"; revise both paragraphs to suit Project.</w:t>
      </w:r>
    </w:p>
    <w:p>
      <w:pPr>
        <w:pStyle w:val="PR1"/>
        <w:numPr>
          <w:ilvl w:val="4"/>
          <w:numId w:val="1"/>
        </w:numPr>
        <w:ind w:hanging="0" w:left="0"/>
        <w:rPr/>
      </w:pPr>
      <w:r>
        <w:rPr/>
        <w:t>Begin coating only when moisture content of substrate is 12 percent or less when measured with an electronic moisture meter.</w:t>
      </w:r>
    </w:p>
    <w:p>
      <w:pPr>
        <w:pStyle w:val="PR1"/>
        <w:numPr>
          <w:ilvl w:val="4"/>
          <w:numId w:val="1"/>
        </w:numPr>
        <w:ind w:hanging="0" w:left="0"/>
        <w:rPr/>
      </w:pPr>
      <w:r>
        <w:rPr/>
        <w:t>Begin coating no sooner than [</w:t>
      </w:r>
      <w:r>
        <w:rPr>
          <w:b/>
        </w:rPr>
        <w:t>28</w:t>
      </w:r>
      <w:r>
        <w:rPr/>
        <w:t>] &lt;</w:t>
      </w:r>
      <w:r>
        <w:rPr>
          <w:b/>
        </w:rPr>
        <w:t>Insert number</w:t>
      </w:r>
      <w:r>
        <w:rPr/>
        <w:t>&gt; days after substrate is constructed and is visually dry on both sides.</w:t>
      </w:r>
    </w:p>
    <w:p>
      <w:pPr>
        <w:pStyle w:val="PR1"/>
        <w:numPr>
          <w:ilvl w:val="4"/>
          <w:numId w:val="1"/>
        </w:numPr>
        <w:ind w:hanging="0" w:left="0"/>
        <w:rPr/>
      </w:pPr>
      <w:r>
        <w:rPr/>
        <w:t>Verify that substrate is within the range of alkalinity recommended by manufacturer.</w:t>
      </w:r>
    </w:p>
    <w:p>
      <w:pPr>
        <w:pStyle w:val="PR1"/>
        <w:numPr>
          <w:ilvl w:val="4"/>
          <w:numId w:val="1"/>
        </w:numPr>
        <w:ind w:hanging="0" w:left="0"/>
        <w:rPr/>
      </w:pPr>
      <w:r>
        <w:rPr/>
        <w:t>Verify suitability of substrates, including surface conditions and compatibility with existing finishes and primers.</w:t>
      </w:r>
    </w:p>
    <w:p>
      <w:pPr>
        <w:pStyle w:val="PR1"/>
        <w:numPr>
          <w:ilvl w:val="4"/>
          <w:numId w:val="1"/>
        </w:numPr>
        <w:ind w:hanging="0" w:left="0"/>
        <w:rPr/>
      </w:pPr>
      <w:r>
        <w:rPr/>
        <w:t>Begin coating application only after unsatisfactory conditions have been corrected and surfaces are dry.</w:t>
      </w:r>
    </w:p>
    <w:p>
      <w:pPr>
        <w:pStyle w:val="ART"/>
        <w:numPr>
          <w:ilvl w:val="3"/>
          <w:numId w:val="1"/>
        </w:numPr>
        <w:ind w:hanging="0" w:left="0"/>
        <w:rPr/>
      </w:pPr>
      <w:r>
        <w:rPr/>
        <w:t>PREPARATION</w:t>
      </w:r>
    </w:p>
    <w:p>
      <w:pPr>
        <w:pStyle w:val="CMT"/>
        <w:rPr/>
      </w:pPr>
      <w:r>
        <w:rPr/>
        <w:t>For renovation projects, consult the "MPI Maintenance Repainting Manual" and revise option in first paragraph below and coating systems specified in the Coating Schedule.</w:t>
      </w:r>
    </w:p>
    <w:p>
      <w:pPr>
        <w:pStyle w:val="PR1"/>
        <w:numPr>
          <w:ilvl w:val="4"/>
          <w:numId w:val="1"/>
        </w:numPr>
        <w:ind w:hanging="0" w:left="0"/>
        <w:rPr/>
      </w:pPr>
      <w:r>
        <w:rPr/>
        <w:t>Comply with manufacturer's written instructions[</w:t>
      </w:r>
      <w:r>
        <w:rPr>
          <w:b/>
        </w:rPr>
        <w:t> and recommendations in the "MPI Architectural Painting Specification Manual"</w:t>
      </w:r>
      <w:r>
        <w:rPr/>
        <w:t>] applicable to substrates and coating systems indicated.</w:t>
      </w:r>
    </w:p>
    <w:p>
      <w:pPr>
        <w:pStyle w:val="CMT"/>
        <w:rPr/>
      </w:pPr>
      <w:r>
        <w:rPr/>
        <w:t>Revise first paragraph below if additional requirements are necessary to suit Project.</w:t>
      </w:r>
    </w:p>
    <w:p>
      <w:pPr>
        <w:pStyle w:val="PR1"/>
        <w:numPr>
          <w:ilvl w:val="4"/>
          <w:numId w:val="1"/>
        </w:numPr>
        <w:ind w:hanging="0" w:left="0"/>
        <w:rPr/>
      </w:pPr>
      <w:r>
        <w:rPr/>
        <w:t>Remove hardware and hardware accessories, plates, machined surfaces, light fixtures, and similar items already installed that are not to be coated. If removal is impractical or impossible because of size or weight of item, provide surface-applied protection before surface preparation and coating.</w:t>
      </w:r>
    </w:p>
    <w:p>
      <w:pPr>
        <w:pStyle w:val="PR2"/>
        <w:numPr>
          <w:ilvl w:val="5"/>
          <w:numId w:val="1"/>
        </w:numPr>
        <w:spacing w:before="240" w:after="0"/>
        <w:ind w:hanging="0" w:left="0"/>
        <w:rPr/>
      </w:pPr>
      <w:r>
        <w:rPr/>
        <w:t>After completing coating operations, use workers skilled in the trades involved to reinstall items that were removed. Remove surface-applied protection if any.</w:t>
      </w:r>
    </w:p>
    <w:p>
      <w:pPr>
        <w:pStyle w:val="PR1"/>
        <w:numPr>
          <w:ilvl w:val="4"/>
          <w:numId w:val="1"/>
        </w:numPr>
        <w:ind w:hanging="0" w:left="0"/>
        <w:rPr/>
      </w:pPr>
      <w:r>
        <w:rPr/>
        <w:t>Clean substrates of substances that could impair bond of coatings, including dirt, oil, grease, and incompatible paints and encapsulants. Do not coat surfaces if moisture content or alkalinity of surfaces to be coated exceeds that permitted in manufacturer's written instructions.</w:t>
      </w:r>
    </w:p>
    <w:p>
      <w:pPr>
        <w:pStyle w:val="PR2"/>
        <w:numPr>
          <w:ilvl w:val="5"/>
          <w:numId w:val="1"/>
        </w:numPr>
        <w:spacing w:before="240" w:after="0"/>
        <w:ind w:hanging="0" w:left="0"/>
        <w:rPr/>
      </w:pPr>
      <w:r>
        <w:rPr/>
        <w:t>Remove incompatible primers and reprime substrate with compatible primers as required to produce coating systems indicated.</w:t>
      </w:r>
    </w:p>
    <w:p>
      <w:pPr>
        <w:pStyle w:val="PR2"/>
        <w:numPr>
          <w:ilvl w:val="5"/>
          <w:numId w:val="1"/>
        </w:numPr>
        <w:ind w:hanging="0" w:left="0"/>
        <w:rPr/>
      </w:pPr>
      <w:r>
        <w:rPr/>
        <w:t>Perform cleaning and coating application so dust and other contaminants from cleaning process will not fall on wet, newly coated surfaces.</w:t>
      </w:r>
    </w:p>
    <w:p>
      <w:pPr>
        <w:pStyle w:val="CMT"/>
        <w:rPr/>
      </w:pPr>
      <w:r>
        <w:rPr/>
        <w:t>Retain paragraph below for crack repair. Cracks must be filled before coating to maintain water-resistant protection and to prevent breaks in coating continuity that can allow deterioration. Crack treatment depends on crack size, and manufacturers may require specific procedures to suit their products on a Project-specific basis. Insert additional requirements below if required by manufacturers.</w:t>
      </w:r>
    </w:p>
    <w:p>
      <w:pPr>
        <w:pStyle w:val="PR1"/>
        <w:numPr>
          <w:ilvl w:val="4"/>
          <w:numId w:val="1"/>
        </w:numPr>
        <w:ind w:hanging="0" w:left="0"/>
        <w:rPr/>
      </w:pPr>
      <w:r>
        <w:rPr/>
        <w:t>Crack Repair: Fill cracks according to manufacturer's written instructions before coating surfaces.</w:t>
      </w:r>
    </w:p>
    <w:p>
      <w:pPr>
        <w:pStyle w:val="ART"/>
        <w:numPr>
          <w:ilvl w:val="3"/>
          <w:numId w:val="1"/>
        </w:numPr>
        <w:ind w:hanging="0" w:left="0"/>
        <w:rPr/>
      </w:pPr>
      <w:r>
        <w:rPr/>
        <w:t>APPLICATION</w:t>
      </w:r>
    </w:p>
    <w:p>
      <w:pPr>
        <w:pStyle w:val="PR1"/>
        <w:numPr>
          <w:ilvl w:val="4"/>
          <w:numId w:val="1"/>
        </w:numPr>
        <w:ind w:hanging="0" w:left="0"/>
        <w:rPr/>
      </w:pPr>
      <w:r>
        <w:rPr/>
        <w:t>Apply elastomeric coatings according to manufacturer's written instructions.</w:t>
      </w:r>
    </w:p>
    <w:p>
      <w:pPr>
        <w:pStyle w:val="CMT"/>
        <w:rPr/>
      </w:pPr>
      <w:r>
        <w:rPr/>
        <w:t>If Project requires restricted application method (e.g., using only spray or rollers), revise first subparagraph below to suit Project.</w:t>
      </w:r>
    </w:p>
    <w:p>
      <w:pPr>
        <w:pStyle w:val="PR2"/>
        <w:numPr>
          <w:ilvl w:val="5"/>
          <w:numId w:val="1"/>
        </w:numPr>
        <w:spacing w:before="240" w:after="0"/>
        <w:ind w:hanging="0" w:left="0"/>
        <w:rPr/>
      </w:pPr>
      <w:r>
        <w:rPr/>
        <w:t>Use equipment and techniques best suited for substrate and type of material being applied.</w:t>
      </w:r>
    </w:p>
    <w:p>
      <w:pPr>
        <w:pStyle w:val="PR2"/>
        <w:numPr>
          <w:ilvl w:val="5"/>
          <w:numId w:val="1"/>
        </w:numPr>
        <w:ind w:hanging="0" w:left="0"/>
        <w:rPr/>
      </w:pPr>
      <w:r>
        <w:rPr/>
        <w:t>Coat surfaces behind movable items the same as similar exposed surfaces.</w:t>
      </w:r>
    </w:p>
    <w:p>
      <w:pPr>
        <w:pStyle w:val="PR2"/>
        <w:numPr>
          <w:ilvl w:val="5"/>
          <w:numId w:val="1"/>
        </w:numPr>
        <w:ind w:hanging="0" w:left="0"/>
        <w:rPr/>
      </w:pPr>
      <w:r>
        <w:rPr/>
        <w:t>Apply each coat separately according to manufacturer's written instructions.</w:t>
      </w:r>
    </w:p>
    <w:p>
      <w:pPr>
        <w:pStyle w:val="PR1"/>
        <w:numPr>
          <w:ilvl w:val="4"/>
          <w:numId w:val="1"/>
        </w:numPr>
        <w:ind w:hanging="0" w:left="0"/>
        <w:rPr/>
      </w:pPr>
      <w:r>
        <w:rPr/>
        <w:t>Primers: Apply at a rate to ensure complete coverage.</w:t>
      </w:r>
    </w:p>
    <w:p>
      <w:pPr>
        <w:pStyle w:val="PR1"/>
        <w:numPr>
          <w:ilvl w:val="4"/>
          <w:numId w:val="1"/>
        </w:numPr>
        <w:ind w:hanging="0" w:left="0"/>
        <w:rPr/>
      </w:pPr>
      <w:r>
        <w:rPr/>
        <w:t>Block Fillers: Apply at a rate to ensure complete coverage with pores filled.</w:t>
      </w:r>
    </w:p>
    <w:p>
      <w:pPr>
        <w:pStyle w:val="CMT"/>
        <w:rPr/>
      </w:pPr>
      <w:r>
        <w:rPr/>
        <w:t>First option in "Elastomeric Finish Coat(s)" Paragraph below is recommendation of MPI.</w:t>
      </w:r>
    </w:p>
    <w:p>
      <w:pPr>
        <w:pStyle w:val="PR1"/>
        <w:numPr>
          <w:ilvl w:val="4"/>
          <w:numId w:val="1"/>
        </w:numPr>
        <w:ind w:hanging="0" w:left="0"/>
        <w:rPr/>
      </w:pPr>
      <w:r>
        <w:rPr/>
        <w:t>Elastomeric Finish Coat(s): [</w:t>
      </w:r>
      <w:r>
        <w:rPr>
          <w:b/>
        </w:rPr>
        <w:t xml:space="preserve">Minimum two coats with a total dry film thickness of </w:t>
      </w:r>
      <w:r>
        <w:rPr>
          <w:rStyle w:val="IP"/>
          <w:b/>
        </w:rPr>
        <w:t>16 to 18 mils</w:t>
      </w:r>
      <w:r>
        <w:rPr>
          <w:rStyle w:val="SI"/>
          <w:b/>
        </w:rPr>
        <w:t xml:space="preserve"> (0.41 to 0.45 mm)</w:t>
      </w:r>
      <w:r>
        <w:rPr/>
        <w:t>] [</w:t>
      </w:r>
      <w:r>
        <w:rPr>
          <w:b/>
        </w:rPr>
        <w:t xml:space="preserve">Minimum one coat with a total dry film thickness of </w:t>
      </w:r>
      <w:r>
        <w:rPr>
          <w:rStyle w:val="IP"/>
          <w:b/>
        </w:rPr>
        <w:t>7 to 10 mils</w:t>
      </w:r>
      <w:r>
        <w:rPr>
          <w:rStyle w:val="SI"/>
          <w:b/>
        </w:rPr>
        <w:t xml:space="preserve"> (0.18 to 0.25 mm)</w:t>
      </w:r>
      <w:r>
        <w:rPr/>
        <w:t>] [</w:t>
      </w:r>
      <w:r>
        <w:rPr>
          <w:b/>
        </w:rPr>
        <w:t>Manufacturer's recommended number of coats and total dry film thickness for condition of substrate</w:t>
      </w:r>
      <w:r>
        <w:rPr/>
        <w:t>] &lt;</w:t>
      </w:r>
      <w:r>
        <w:rPr>
          <w:b/>
        </w:rPr>
        <w:t>Insert requirement</w:t>
      </w:r>
      <w:r>
        <w:rPr/>
        <w:t>&gt;.</w:t>
      </w:r>
    </w:p>
    <w:p>
      <w:pPr>
        <w:pStyle w:val="CMT"/>
        <w:rPr/>
      </w:pPr>
      <w:r>
        <w:rPr/>
        <w:t>Retain first paragraph below if tinting is required. Different tints will show through as topcoat erodes.</w:t>
      </w:r>
    </w:p>
    <w:p>
      <w:pPr>
        <w:pStyle w:val="PR1"/>
        <w:numPr>
          <w:ilvl w:val="4"/>
          <w:numId w:val="1"/>
        </w:numPr>
        <w:ind w:hanging="0" w:left="0"/>
        <w:rPr/>
      </w:pPr>
      <w:r>
        <w:rPr/>
        <w:t>Tint each undercoat a lighter shade to facilitate identification of each coat if multiple coats of same material are to be applied. Tint undercoats similar to color of topcoat, but provide sufficient difference in shade of undercoats to distinguish each separate coat.</w:t>
      </w:r>
    </w:p>
    <w:p>
      <w:pPr>
        <w:pStyle w:val="PR1"/>
        <w:numPr>
          <w:ilvl w:val="4"/>
          <w:numId w:val="1"/>
        </w:numPr>
        <w:ind w:hanging="0" w:left="0"/>
        <w:rPr/>
      </w:pPr>
      <w:r>
        <w:rPr/>
        <w:t>If undercoats or other conditions show through topcoat, apply additional coats until cured film has a uniform finish, color, and appearance.</w:t>
      </w:r>
    </w:p>
    <w:p>
      <w:pPr>
        <w:pStyle w:val="PR1"/>
        <w:numPr>
          <w:ilvl w:val="4"/>
          <w:numId w:val="1"/>
        </w:numPr>
        <w:ind w:hanging="0" w:left="0"/>
        <w:rPr/>
      </w:pPr>
      <w:r>
        <w:rPr/>
        <w:t>Apply coatings to produce surface films without cloudiness, spotting, holidays, laps, brush marks, roller tracking, runs, sags, ropiness, or other surface imperfections. Cut in sharp lines and color breaks.</w:t>
      </w:r>
    </w:p>
    <w:p>
      <w:pPr>
        <w:pStyle w:val="PR1"/>
        <w:numPr>
          <w:ilvl w:val="4"/>
          <w:numId w:val="1"/>
        </w:numPr>
        <w:ind w:hanging="0" w:left="0"/>
        <w:rPr/>
      </w:pPr>
      <w:r>
        <w:rPr/>
        <w:t>Apply coatings to prepared surfaces as soon as practicable after preparation and before subsequent surface soiling or deterioration.</w:t>
      </w:r>
    </w:p>
    <w:p>
      <w:pPr>
        <w:pStyle w:val="PR1"/>
        <w:numPr>
          <w:ilvl w:val="4"/>
          <w:numId w:val="1"/>
        </w:numPr>
        <w:ind w:hanging="0" w:left="0"/>
        <w:rPr/>
      </w:pPr>
      <w:r>
        <w:rPr/>
        <w:t>Spray Application: Use spray equipment for application only when permitted by authorities having jurisdiction. Wherever spray application is used, do not double back with spray equipment to build up film thickness of two coats in one pass.</w:t>
      </w:r>
    </w:p>
    <w:p>
      <w:pPr>
        <w:pStyle w:val="ART"/>
        <w:numPr>
          <w:ilvl w:val="3"/>
          <w:numId w:val="1"/>
        </w:numPr>
        <w:ind w:hanging="0" w:left="0"/>
        <w:rPr/>
      </w:pPr>
      <w:r>
        <w:rPr/>
        <w:t>FIELD QUALITY CONTROL</w:t>
      </w:r>
    </w:p>
    <w:p>
      <w:pPr>
        <w:pStyle w:val="CMT"/>
        <w:rPr/>
      </w:pPr>
      <w:r>
        <w:rPr/>
        <w:t>Retain this article for large projects or critical coatings where additional control is required. Retain if tests are required.</w:t>
      </w:r>
    </w:p>
    <w:p>
      <w:pPr>
        <w:pStyle w:val="PR1"/>
        <w:numPr>
          <w:ilvl w:val="4"/>
          <w:numId w:val="1"/>
        </w:numPr>
        <w:ind w:hanging="0" w:left="0"/>
        <w:rPr/>
      </w:pPr>
      <w:r>
        <w:rPr/>
        <w:t>Testing of Paint Materials: Owner reserves the right to invoke the following testing procedures:</w:t>
      </w:r>
    </w:p>
    <w:p>
      <w:pPr>
        <w:pStyle w:val="PR2"/>
        <w:numPr>
          <w:ilvl w:val="5"/>
          <w:numId w:val="1"/>
        </w:numPr>
        <w:spacing w:before="240" w:after="0"/>
        <w:ind w:hanging="0" w:left="0"/>
        <w:rPr/>
      </w:pPr>
      <w:r>
        <w:rPr/>
        <w:t>Owner will engage the services of a qualified testing agency to sample materials being used. Samples of material delivered to Project site will be taken, identified, sealed, and certified in presence of Contractor.</w:t>
      </w:r>
    </w:p>
    <w:p>
      <w:pPr>
        <w:pStyle w:val="PR2"/>
        <w:numPr>
          <w:ilvl w:val="5"/>
          <w:numId w:val="1"/>
        </w:numPr>
        <w:ind w:hanging="0" w:left="0"/>
        <w:rPr/>
      </w:pPr>
      <w:r>
        <w:rPr/>
        <w:t>Testing agency will perform tests for compliance of materials with product requirements.</w:t>
      </w:r>
    </w:p>
    <w:p>
      <w:pPr>
        <w:pStyle w:val="PR2"/>
        <w:numPr>
          <w:ilvl w:val="5"/>
          <w:numId w:val="1"/>
        </w:numPr>
        <w:ind w:hanging="0" w:left="0"/>
        <w:rPr/>
      </w:pPr>
      <w:r>
        <w:rPr/>
        <w:t>Owner may direct Contractor to stop coating application if test results show materials being used do not comply with requirements. Remove noncomplying materials from Project site, pay for testing, and recoat surfaces that were coated with rejected materials. Remove rejected materials from previously coated surfaces if, on recoating with complying materials, the two coatings are incompatible.</w:t>
      </w:r>
    </w:p>
    <w:p>
      <w:pPr>
        <w:pStyle w:val="PR1"/>
        <w:numPr>
          <w:ilvl w:val="4"/>
          <w:numId w:val="1"/>
        </w:numPr>
        <w:ind w:hanging="0" w:left="0"/>
        <w:rPr/>
      </w:pPr>
      <w:r>
        <w:rPr/>
        <w:t>Field Testing and Inspection: Owner reserves the right to engage the services of a qualified testing agency to verify installed thickness of elastomeric coatings.</w:t>
      </w:r>
    </w:p>
    <w:p>
      <w:pPr>
        <w:pStyle w:val="CMT"/>
        <w:rPr/>
      </w:pPr>
      <w:r>
        <w:rPr/>
        <w:t>Insert additional field quality-control requirements to suit Project.</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After completing coating application, clean spattered surfaces. Remove spattered coatings by washing, scraping, or other methods. Do not scratch or damage adjacent finished surfaces.</w:t>
      </w:r>
    </w:p>
    <w:p>
      <w:pPr>
        <w:pStyle w:val="PR1"/>
        <w:numPr>
          <w:ilvl w:val="4"/>
          <w:numId w:val="1"/>
        </w:numPr>
        <w:ind w:hanging="0" w:left="0"/>
        <w:rPr/>
      </w:pPr>
      <w:r>
        <w:rPr/>
        <w:t>Protect work of other trades against damage from coating application. Correct damage to work of other trades by cleaning, repairing, replacing, and refinishing, as approved by Architect, and leave in an undamaged condition.</w:t>
      </w:r>
    </w:p>
    <w:p>
      <w:pPr>
        <w:pStyle w:val="PR1"/>
        <w:numPr>
          <w:ilvl w:val="4"/>
          <w:numId w:val="1"/>
        </w:numPr>
        <w:ind w:hanging="0" w:left="0"/>
        <w:rPr/>
      </w:pPr>
      <w:r>
        <w:rPr/>
        <w:t>At completion of construction activities, touch up and restore damaged or defaced coated surfaces.</w:t>
      </w:r>
    </w:p>
    <w:p>
      <w:pPr>
        <w:pStyle w:val="ART"/>
        <w:numPr>
          <w:ilvl w:val="3"/>
          <w:numId w:val="1"/>
        </w:numPr>
        <w:ind w:hanging="0" w:left="0"/>
        <w:rPr/>
      </w:pPr>
      <w:r>
        <w:rPr/>
        <w:t>ELASTOMERIC COATING SCHEDULE</w:t>
      </w:r>
    </w:p>
    <w:p>
      <w:pPr>
        <w:pStyle w:val="CMT"/>
        <w:rPr/>
      </w:pPr>
      <w:r>
        <w:rPr/>
        <w:t>Coating systems in this article are based on "MPI Architectural Painting Specification Manual." For renovation projects, consult "MPI Maintenance Repainting Manual" and revise coating systems accordingly.</w:t>
      </w:r>
    </w:p>
    <w:p>
      <w:pPr>
        <w:pStyle w:val="PR1"/>
        <w:numPr>
          <w:ilvl w:val="4"/>
          <w:numId w:val="1"/>
        </w:numPr>
        <w:ind w:hanging="0" w:left="0"/>
        <w:rPr/>
      </w:pPr>
      <w:r>
        <w:rPr/>
        <w:t>Concrete Substrates:</w:t>
      </w:r>
    </w:p>
    <w:p>
      <w:pPr>
        <w:pStyle w:val="PR2"/>
        <w:numPr>
          <w:ilvl w:val="5"/>
          <w:numId w:val="1"/>
        </w:numPr>
        <w:spacing w:before="240" w:after="0"/>
        <w:ind w:hanging="0" w:left="0"/>
        <w:rPr/>
      </w:pPr>
      <w:r>
        <w:rPr/>
        <w:t>Elastomeric Coating System[</w:t>
      </w:r>
      <w:r>
        <w:rPr>
          <w:b/>
        </w:rPr>
        <w:t> MPI EXT 3.1F</w:t>
      </w:r>
      <w:r>
        <w:rPr/>
        <w:t>]:</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As recommended in writing by topcoat manufacturer.</w:t>
      </w:r>
    </w:p>
    <w:p>
      <w:pPr>
        <w:pStyle w:val="PR3"/>
        <w:numPr>
          <w:ilvl w:val="6"/>
          <w:numId w:val="1"/>
        </w:numPr>
        <w:ind w:hanging="0" w:left="0"/>
        <w:rPr/>
      </w:pPr>
      <w:r>
        <w:rPr/>
        <w:t>Topcoat: Elastomeric, pigmented, exterior, water-based, flat coating[</w:t>
      </w:r>
      <w:r>
        <w:rPr>
          <w:b/>
        </w:rPr>
        <w:t>; MPI #113</w:t>
      </w:r>
      <w:r>
        <w:rPr/>
        <w:t>].</w:t>
      </w:r>
    </w:p>
    <w:p>
      <w:pPr>
        <w:pStyle w:val="PR4"/>
        <w:numPr>
          <w:ilvl w:val="7"/>
          <w:numId w:val="1"/>
        </w:numPr>
        <w:spacing w:before="240" w:after="0"/>
        <w:ind w:hanging="0" w:left="0"/>
        <w:rPr/>
      </w:pPr>
      <w:r>
        <w:rPr/>
        <w:t>&lt;</w:t>
      </w:r>
      <w:r>
        <w:rPr>
          <w:b/>
        </w:rPr>
        <w:t>Insert manufacturer's name; product name or designation</w:t>
      </w:r>
      <w:r>
        <w:rPr/>
        <w:t>&gt;.</w:t>
      </w:r>
    </w:p>
    <w:p>
      <w:pPr>
        <w:pStyle w:val="PR3"/>
        <w:numPr>
          <w:ilvl w:val="6"/>
          <w:numId w:val="1"/>
        </w:numPr>
        <w:spacing w:before="240" w:after="0"/>
        <w:ind w:hanging="0" w:left="0"/>
        <w:rPr/>
      </w:pPr>
      <w:r>
        <w:rPr/>
        <w:t>Topcoat: Elastomeric, pigmented, exterior, water-based, nonflat coating[</w:t>
      </w:r>
      <w:r>
        <w:rPr>
          <w:b/>
        </w:rPr>
        <w:t>; MPI #38</w:t>
      </w:r>
      <w:r>
        <w:rPr/>
        <w:t>].</w:t>
      </w:r>
    </w:p>
    <w:p>
      <w:pPr>
        <w:pStyle w:val="PR4"/>
        <w:numPr>
          <w:ilvl w:val="7"/>
          <w:numId w:val="1"/>
        </w:numPr>
        <w:spacing w:before="240" w:after="0"/>
        <w:ind w:hanging="0" w:left="0"/>
        <w:rPr/>
      </w:pPr>
      <w:r>
        <w:rPr/>
        <w:t>&lt;</w:t>
      </w:r>
      <w:r>
        <w:rPr>
          <w:b/>
        </w:rPr>
        <w:t>Insert manufacturer's name; product name or designation</w:t>
      </w:r>
      <w:r>
        <w:rPr/>
        <w:t>&gt;.</w:t>
      </w:r>
    </w:p>
    <w:p>
      <w:pPr>
        <w:pStyle w:val="PR1"/>
        <w:numPr>
          <w:ilvl w:val="4"/>
          <w:numId w:val="1"/>
        </w:numPr>
        <w:ind w:hanging="0" w:left="0"/>
        <w:rPr/>
      </w:pPr>
      <w:r>
        <w:rPr/>
        <w:t>Concrete Unit Masonry Substrates:</w:t>
      </w:r>
    </w:p>
    <w:p>
      <w:pPr>
        <w:pStyle w:val="PR2"/>
        <w:numPr>
          <w:ilvl w:val="5"/>
          <w:numId w:val="1"/>
        </w:numPr>
        <w:spacing w:before="240" w:after="0"/>
        <w:ind w:hanging="0" w:left="0"/>
        <w:rPr/>
      </w:pPr>
      <w:r>
        <w:rPr/>
        <w:t>Elastomeric Coating System[</w:t>
      </w:r>
      <w:r>
        <w:rPr>
          <w:b/>
        </w:rPr>
        <w:t> MPI EXT 4.2D</w:t>
      </w:r>
      <w:r>
        <w:rPr/>
        <w:t>]:</w:t>
      </w:r>
    </w:p>
    <w:p>
      <w:pPr>
        <w:pStyle w:val="CMT"/>
        <w:rPr/>
      </w:pPr>
      <w:r>
        <w:rPr/>
        <w:t>Generally retain either "Prime Coat" or "Block Filler" Subparagraph below; verify with manufacturer for substrate conditions. Block filler may be specified for a smoother aesthetic effect whether or not manufacturer requires it.</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Block Filler: As recommended in writing by topcoat manufacturer.</w:t>
      </w:r>
    </w:p>
    <w:p>
      <w:pPr>
        <w:pStyle w:val="PR3"/>
        <w:numPr>
          <w:ilvl w:val="6"/>
          <w:numId w:val="1"/>
        </w:numPr>
        <w:ind w:hanging="0" w:left="0"/>
        <w:rPr/>
      </w:pPr>
      <w:r>
        <w:rPr/>
        <w:t>Intermediate Coat: As recommended in writing by topcoat manufacturer.</w:t>
      </w:r>
    </w:p>
    <w:p>
      <w:pPr>
        <w:pStyle w:val="PR3"/>
        <w:numPr>
          <w:ilvl w:val="6"/>
          <w:numId w:val="1"/>
        </w:numPr>
        <w:ind w:hanging="0" w:left="0"/>
        <w:rPr/>
      </w:pPr>
      <w:r>
        <w:rPr/>
        <w:t>Topcoat: Elastomeric, pigmented, exterior, water-based, flat coating[</w:t>
      </w:r>
      <w:r>
        <w:rPr>
          <w:b/>
        </w:rPr>
        <w:t>; MPI #113</w:t>
      </w:r>
      <w:r>
        <w:rPr/>
        <w:t>].</w:t>
      </w:r>
    </w:p>
    <w:p>
      <w:pPr>
        <w:pStyle w:val="PR4"/>
        <w:numPr>
          <w:ilvl w:val="7"/>
          <w:numId w:val="1"/>
        </w:numPr>
        <w:spacing w:before="240" w:after="0"/>
        <w:ind w:hanging="0" w:left="0"/>
        <w:rPr/>
      </w:pPr>
      <w:r>
        <w:rPr/>
        <w:t>&lt;</w:t>
      </w:r>
      <w:r>
        <w:rPr>
          <w:b/>
        </w:rPr>
        <w:t>Insert manufacturer's name; product name or designation</w:t>
      </w:r>
      <w:r>
        <w:rPr/>
        <w:t>&gt;.</w:t>
      </w:r>
    </w:p>
    <w:p>
      <w:pPr>
        <w:pStyle w:val="PR1"/>
        <w:numPr>
          <w:ilvl w:val="4"/>
          <w:numId w:val="1"/>
        </w:numPr>
        <w:ind w:hanging="0" w:left="0"/>
        <w:rPr/>
      </w:pPr>
      <w:r>
        <w:rPr/>
        <w:t>Stucco Substrates:</w:t>
      </w:r>
    </w:p>
    <w:p>
      <w:pPr>
        <w:pStyle w:val="PR2"/>
        <w:numPr>
          <w:ilvl w:val="5"/>
          <w:numId w:val="1"/>
        </w:numPr>
        <w:spacing w:before="240" w:after="0"/>
        <w:ind w:hanging="0" w:left="0"/>
        <w:rPr/>
      </w:pPr>
      <w:r>
        <w:rPr/>
        <w:t>Elastomeric Coating System[</w:t>
      </w:r>
      <w:r>
        <w:rPr>
          <w:b/>
        </w:rPr>
        <w:t> MPI EXT 9.1C</w:t>
      </w:r>
      <w:r>
        <w:rPr/>
        <w:t>]:</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As recommended in writing by topcoat manufacturer.</w:t>
      </w:r>
    </w:p>
    <w:p>
      <w:pPr>
        <w:pStyle w:val="PR3"/>
        <w:numPr>
          <w:ilvl w:val="6"/>
          <w:numId w:val="1"/>
        </w:numPr>
        <w:ind w:hanging="0" w:left="0"/>
        <w:rPr/>
      </w:pPr>
      <w:r>
        <w:rPr/>
        <w:t>Topcoat: Elastomeric, pigmented, exterior, water-based, flat coating[</w:t>
      </w:r>
      <w:r>
        <w:rPr>
          <w:b/>
        </w:rPr>
        <w:t>; MPI #113</w:t>
      </w:r>
      <w:r>
        <w:rPr/>
        <w:t>].</w:t>
      </w:r>
    </w:p>
    <w:p>
      <w:pPr>
        <w:pStyle w:val="PR4"/>
        <w:numPr>
          <w:ilvl w:val="7"/>
          <w:numId w:val="1"/>
        </w:numPr>
        <w:spacing w:before="240" w:after="0"/>
        <w:ind w:hanging="0" w:left="0"/>
        <w:rPr/>
      </w:pPr>
      <w:r>
        <w:rPr/>
        <w:t>&lt;</w:t>
      </w:r>
      <w:r>
        <w:rPr>
          <w:b/>
        </w:rPr>
        <w:t>Insert manufacturer's name; product name or designation</w:t>
      </w:r>
      <w:r>
        <w:rPr/>
        <w:t>&gt;.</w:t>
      </w:r>
    </w:p>
    <w:p>
      <w:pPr>
        <w:pStyle w:val="PR3"/>
        <w:numPr>
          <w:ilvl w:val="6"/>
          <w:numId w:val="1"/>
        </w:numPr>
        <w:spacing w:before="240" w:after="0"/>
        <w:ind w:hanging="0" w:left="0"/>
        <w:rPr/>
      </w:pPr>
      <w:r>
        <w:rPr/>
        <w:t>Topcoat: Elastomeric, pigmented, exterior, water-based, nonflat coating[</w:t>
      </w:r>
      <w:r>
        <w:rPr>
          <w:b/>
        </w:rPr>
        <w:t>; MPI #38</w:t>
      </w:r>
      <w:r>
        <w:rPr/>
        <w:t>].</w:t>
      </w:r>
    </w:p>
    <w:p>
      <w:pPr>
        <w:pStyle w:val="PR4"/>
        <w:numPr>
          <w:ilvl w:val="7"/>
          <w:numId w:val="1"/>
        </w:numPr>
        <w:spacing w:before="240" w:after="0"/>
        <w:ind w:hanging="0" w:left="0"/>
        <w:rPr/>
      </w:pPr>
      <w:r>
        <w:rPr/>
        <w:t>&lt;</w:t>
      </w:r>
      <w:r>
        <w:rPr>
          <w:b/>
        </w:rPr>
        <w:t>Insert manufacturer's name; product name or designation</w:t>
      </w:r>
      <w:r>
        <w:rPr/>
        <w:t>&gt;.</w:t>
      </w:r>
    </w:p>
    <w:p>
      <w:pPr>
        <w:pStyle w:val="EOS"/>
        <w:rPr/>
      </w:pPr>
      <w:r>
        <w:rPr/>
        <w:t>END OF SECTION 099653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ELASTOMERIC COATINGS</w:t>
          </w:r>
        </w:p>
      </w:tc>
      <w:tc>
        <w:tcPr>
          <w:tcW w:w="1872" w:type="dxa"/>
          <w:tcBorders/>
        </w:tcPr>
        <w:p>
          <w:pPr>
            <w:pStyle w:val="RJUST"/>
            <w:rPr/>
          </w:pPr>
          <w:r>
            <w:rPr>
              <w:rStyle w:val="NUM"/>
            </w:rPr>
            <w:t>099653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12/13</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3"/>
    <w:docVar w:name="Format" w:val="1"/>
    <w:docVar w:name="MF04" w:val="099653"/>
    <w:docVar w:name="MF95" w:val="09963"/>
    <w:docVar w:name="SectionID" w:val="308"/>
    <w:docVar w:name="SpecType" w:val="MasterSpec"/>
    <w:docVar w:name="Version" w:val="62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653&amp;ver=12-01-13&amp;format=FL&amp;sid=6221&amp;utm_source=MasterSpec&amp;utm_medium=Word" TargetMode="External"/><Relationship Id="rId3" Type="http://schemas.openxmlformats.org/officeDocument/2006/relationships/hyperlink" Target="http://www.productmasterspec.com/construction_specifications?mf04=099653&amp;update=ms2022_3&amp;utm_source=MasterSpec&amp;utm_medium=Word" TargetMode="External"/><Relationship Id="rId4" Type="http://schemas.openxmlformats.org/officeDocument/2006/relationships/hyperlink" Target="http://www.specagent.com/LookUp/?ulid=11693&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2022-09-26T02:22:00Z</dcterms:created>
  <dc:creator>Deltek, Inc.</dc:creator>
  <dc:description/>
  <cp:keywords>BAS-12345-MS80</cp:keywords>
  <dc:language>zh-CN</dc:language>
  <cp:lastModifiedBy>Janice Nacional</cp:lastModifiedBy>
  <dcterms:modified xsi:type="dcterms:W3CDTF">2022-09-26T02:22:00Z</dcterms:modified>
  <cp:revision>2</cp:revision>
  <dc:subject>ELASTOMERIC COATINGS</dc:subject>
  <dc:title>SECTION 099653 - ELASTOMERIC COATINGS</dc:title>
</cp:coreProperties>
</file>