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099726</w:t>
      </w:r>
      <w:r>
        <w:rPr/>
        <w:t xml:space="preserve"> - </w:t>
      </w:r>
      <w:r>
        <w:rPr>
          <w:rStyle w:val="NAM"/>
        </w:rPr>
        <w:t>CEMENTITIOUS COATINGS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surface preparation and application of cementitious coating systems on the following substrates:</w:t>
      </w:r>
    </w:p>
    <w:p>
      <w:pPr>
        <w:pStyle w:val="PR2"/>
        <w:numPr>
          <w:ilvl w:val="5"/>
          <w:numId w:val="1"/>
        </w:numPr>
        <w:spacing w:before="240" w:after="0"/>
        <w:ind w:hanging="0" w:left="0"/>
        <w:rPr/>
      </w:pPr>
      <w:r>
        <w:rPr/>
        <w:t>[</w:t>
      </w:r>
      <w:r>
        <w:rPr>
          <w:b/>
        </w:rPr>
        <w:t>Exterior</w:t>
      </w:r>
      <w:r>
        <w:rPr/>
        <w:t>] [</w:t>
      </w:r>
      <w:r>
        <w:rPr>
          <w:b/>
        </w:rPr>
        <w:t>Interior</w:t>
      </w:r>
      <w:r>
        <w:rPr/>
        <w:t>] concrete.</w:t>
      </w:r>
    </w:p>
    <w:p>
      <w:pPr>
        <w:pStyle w:val="PR2"/>
        <w:numPr>
          <w:ilvl w:val="5"/>
          <w:numId w:val="1"/>
        </w:numPr>
        <w:ind w:hanging="0" w:left="0"/>
        <w:rPr/>
      </w:pPr>
      <w:r>
        <w:rPr/>
        <w:t>[</w:t>
      </w:r>
      <w:r>
        <w:rPr>
          <w:b/>
        </w:rPr>
        <w:t>Exterior</w:t>
      </w:r>
      <w:r>
        <w:rPr/>
        <w:t>] [</w:t>
      </w:r>
      <w:r>
        <w:rPr>
          <w:b/>
        </w:rPr>
        <w:t>Interior</w:t>
      </w:r>
      <w:r>
        <w:rPr/>
        <w:t>] concrete masonry units.</w:t>
      </w:r>
    </w:p>
    <w:p>
      <w:pPr>
        <w:pStyle w:val="PR2"/>
        <w:numPr>
          <w:ilvl w:val="5"/>
          <w:numId w:val="1"/>
        </w:numPr>
        <w:ind w:hanging="0" w:left="0"/>
        <w:rPr/>
      </w:pPr>
      <w:r>
        <w:rPr/>
        <w:t>[</w:t>
      </w:r>
      <w:r>
        <w:rPr>
          <w:b/>
        </w:rPr>
        <w:t>Exterior</w:t>
      </w:r>
      <w:r>
        <w:rPr/>
        <w:t>] [</w:t>
      </w:r>
      <w:r>
        <w:rPr>
          <w:b/>
        </w:rPr>
        <w:t>Interior</w:t>
      </w:r>
      <w:r>
        <w:rPr/>
        <w:t>] brick.</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paints.&gt;</w:t>
        </w:r>
      </w:hyperlink>
    </w:p>
    <w:p>
      <w:pPr>
        <w:pStyle w:val="PR1"/>
        <w:numPr>
          <w:ilvl w:val="4"/>
          <w:numId w:val="1"/>
        </w:numPr>
        <w:ind w:hanging="0" w:left="0"/>
        <w:rPr/>
      </w:pPr>
      <w:r>
        <w:rPr/>
        <w:t>Samples for Initial Selection: For each type of topcoat product.</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ind w:hanging="0" w:left="0"/>
        <w:rPr/>
      </w:pPr>
      <w:r>
        <w:rPr/>
        <w:t>Samples for Verification: In each color and gloss of topcoat.</w:t>
      </w:r>
    </w:p>
    <w:p>
      <w:pPr>
        <w:pStyle w:val="PR2"/>
        <w:numPr>
          <w:ilvl w:val="5"/>
          <w:numId w:val="1"/>
        </w:numPr>
        <w:spacing w:before="240" w:after="0"/>
        <w:ind w:hanging="0" w:left="0"/>
        <w:rPr/>
      </w:pPr>
      <w:r>
        <w:rPr/>
        <w:t>Submit Samples on [</w:t>
      </w:r>
      <w:r>
        <w:rPr>
          <w:b/>
        </w:rPr>
        <w:t>rigid backing</w:t>
      </w:r>
      <w:r>
        <w:rPr/>
        <w:t>] [</w:t>
      </w:r>
      <w:r>
        <w:rPr>
          <w:b/>
        </w:rPr>
        <w:t>actual substrate</w:t>
      </w:r>
      <w:r>
        <w:rPr/>
        <w:t xml:space="preserve">], not less than </w:t>
      </w:r>
      <w:r>
        <w:rPr>
          <w:rStyle w:val="IP"/>
        </w:rPr>
        <w:t>8 inches</w:t>
      </w:r>
      <w:r>
        <w:rPr>
          <w:rStyle w:val="SI"/>
        </w:rPr>
        <w:t xml:space="preserve"> (200 mm)</w:t>
      </w:r>
      <w:r>
        <w:rPr/>
        <w:t xml:space="preserve"> square[</w:t>
      </w:r>
      <w:r>
        <w:rPr>
          <w:b/>
        </w:rPr>
        <w:t>, with mortar joint in center</w:t>
      </w:r>
      <w:r>
        <w:rPr/>
        <w:t>].</w:t>
      </w:r>
    </w:p>
    <w:p>
      <w:pPr>
        <w:pStyle w:val="PR2"/>
        <w:numPr>
          <w:ilvl w:val="5"/>
          <w:numId w:val="1"/>
        </w:numPr>
        <w:ind w:hanging="0" w:left="0"/>
        <w:rPr/>
      </w:pPr>
      <w:r>
        <w:rPr/>
        <w:t>Apply coats on Samples in steps to show each coat required for system.</w:t>
      </w:r>
    </w:p>
    <w:p>
      <w:pPr>
        <w:pStyle w:val="PR2"/>
        <w:numPr>
          <w:ilvl w:val="5"/>
          <w:numId w:val="1"/>
        </w:numPr>
        <w:ind w:hanging="0" w:left="0"/>
        <w:rPr/>
      </w:pPr>
      <w:r>
        <w:rPr/>
        <w:t>Label each coat of each Sample.</w:t>
      </w:r>
    </w:p>
    <w:p>
      <w:pPr>
        <w:pStyle w:val="PR2"/>
        <w:numPr>
          <w:ilvl w:val="5"/>
          <w:numId w:val="1"/>
        </w:numPr>
        <w:ind w:hanging="0" w:left="0"/>
        <w:rPr/>
      </w:pPr>
      <w:r>
        <w:rPr/>
        <w:t>Label each Sample for location and application area.</w:t>
      </w:r>
    </w:p>
    <w:p>
      <w:pPr>
        <w:pStyle w:val="ART"/>
        <w:numPr>
          <w:ilvl w:val="3"/>
          <w:numId w:val="1"/>
        </w:numPr>
        <w:ind w:hanging="0" w:left="0"/>
        <w:rPr/>
      </w:pPr>
      <w:r>
        <w:rPr/>
        <w:t>INFORMATIONAL SUBMITTALS</w:t>
      </w:r>
    </w:p>
    <w:p>
      <w:pPr>
        <w:pStyle w:val="CMT"/>
        <w:rPr/>
      </w:pPr>
      <w:r>
        <w:rPr/>
        <w:t>Retain "Material Certificates" Paragraph below for material certificates from manufacturers.</w:t>
      </w:r>
    </w:p>
    <w:p>
      <w:pPr>
        <w:pStyle w:val="PR1"/>
        <w:numPr>
          <w:ilvl w:val="4"/>
          <w:numId w:val="1"/>
        </w:numPr>
        <w:ind w:hanging="0" w:left="0"/>
        <w:rPr/>
      </w:pPr>
      <w:r>
        <w:rPr/>
        <w:t>Material Certificates: For each cementitious coating, from manufacturer.</w:t>
      </w:r>
    </w:p>
    <w:p>
      <w:pPr>
        <w:pStyle w:val="PR1"/>
        <w:numPr>
          <w:ilvl w:val="4"/>
          <w:numId w:val="1"/>
        </w:numPr>
        <w:ind w:hanging="0" w:left="0"/>
        <w:rPr/>
      </w:pPr>
      <w:r>
        <w:rPr/>
        <w:t>Product Test Reports: Based on evaluation of comprehensive tests performed by manufacturer and witnessed by a qualified testing agency or performed by a qualified testing agency, for each product formulation.</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are from same production run (batch mix) as materials applied and that are packaged with protective covering for storage and identified with labels describing contents.</w:t>
      </w:r>
    </w:p>
    <w:p>
      <w:pPr>
        <w:pStyle w:val="CMT"/>
        <w:rPr/>
      </w:pPr>
      <w:r>
        <w:rPr/>
        <w:t>If necessary, replace percentage in "Quantity" Subparagraph below with a specific number of containers and include an expanded description of the quantity of each material.</w:t>
      </w:r>
    </w:p>
    <w:p>
      <w:pPr>
        <w:pStyle w:val="PR2"/>
        <w:numPr>
          <w:ilvl w:val="5"/>
          <w:numId w:val="1"/>
        </w:numPr>
        <w:spacing w:before="240" w:after="0"/>
        <w:ind w:hanging="0" w:left="0"/>
        <w:rPr/>
      </w:pPr>
      <w:r>
        <w:rPr/>
        <w:t>Quantity: Furnish an additional [</w:t>
      </w:r>
      <w:r>
        <w:rPr>
          <w:b/>
        </w:rPr>
        <w:t>5</w:t>
      </w:r>
      <w:r>
        <w:rPr/>
        <w:t>] &lt;</w:t>
      </w:r>
      <w:r>
        <w:rPr>
          <w:b/>
        </w:rPr>
        <w:t>Insert number</w:t>
      </w:r>
      <w:r>
        <w:rPr/>
        <w:t>&gt; percent of each color applied.</w:t>
      </w:r>
    </w:p>
    <w:p>
      <w:pPr>
        <w:pStyle w:val="ART"/>
        <w:numPr>
          <w:ilvl w:val="3"/>
          <w:numId w:val="1"/>
        </w:numPr>
        <w:ind w:hanging="0" w:left="0"/>
        <w:rPr/>
      </w:pPr>
      <w:r>
        <w:rPr/>
        <w:t>QUALITY ASSURANCE</w:t>
      </w:r>
    </w:p>
    <w:p>
      <w:pPr>
        <w:pStyle w:val="PR1"/>
        <w:numPr>
          <w:ilvl w:val="4"/>
          <w:numId w:val="1"/>
        </w:numPr>
        <w:ind w:hanging="0" w:left="0"/>
        <w:rPr/>
      </w:pPr>
      <w:r>
        <w:rPr/>
        <w:t>Mockups: Apply mockups of coating system indicated and each color and finish selected to verify preliminary selections made under Sample submittals and to demonstrate aesthetic effects and set quality standards for materials and execution.</w:t>
      </w:r>
    </w:p>
    <w:p>
      <w:pPr>
        <w:pStyle w:val="PR2"/>
        <w:numPr>
          <w:ilvl w:val="5"/>
          <w:numId w:val="1"/>
        </w:numPr>
        <w:spacing w:before="240" w:after="0"/>
        <w:ind w:hanging="0" w:left="0"/>
        <w:rPr/>
      </w:pPr>
      <w:r>
        <w:rPr/>
        <w:t>Architect will select one [</w:t>
      </w:r>
      <w:r>
        <w:rPr>
          <w:b/>
        </w:rPr>
        <w:t>actual substrate of each type</w:t>
      </w:r>
      <w:r>
        <w:rPr/>
        <w:t>] &lt;</w:t>
      </w:r>
      <w:r>
        <w:rPr>
          <w:b/>
        </w:rPr>
        <w:t>Insert requirements</w:t>
      </w:r>
      <w:r>
        <w:rPr/>
        <w:t>&gt; to represent surfaces and conditions for application of coating.</w:t>
      </w:r>
    </w:p>
    <w:p>
      <w:pPr>
        <w:pStyle w:val="PR3"/>
        <w:numPr>
          <w:ilvl w:val="6"/>
          <w:numId w:val="1"/>
        </w:numPr>
        <w:spacing w:before="240" w:after="0"/>
        <w:ind w:hanging="0" w:left="0"/>
        <w:rPr/>
      </w:pPr>
      <w:r>
        <w:rPr/>
        <w:t>Wall Surfaces: Prepare Samples of at least [</w:t>
      </w:r>
      <w:r>
        <w:rPr>
          <w:rStyle w:val="IP"/>
          <w:b/>
        </w:rPr>
        <w:t>100 sq. ft.</w:t>
      </w:r>
      <w:r>
        <w:rPr>
          <w:rStyle w:val="SI"/>
          <w:b/>
        </w:rPr>
        <w:t xml:space="preserve"> (9.3 sq. m)</w:t>
      </w:r>
      <w:r>
        <w:rPr/>
        <w:t>] &lt;</w:t>
      </w:r>
      <w:r>
        <w:rPr>
          <w:b/>
        </w:rPr>
        <w:t>Insert dimension</w:t>
      </w:r>
      <w:r>
        <w:rPr/>
        <w:t>&gt;.</w:t>
      </w:r>
    </w:p>
    <w:p>
      <w:pPr>
        <w:pStyle w:val="CMT"/>
        <w:rPr/>
      </w:pPr>
      <w:r>
        <w:rPr/>
        <w:t>Retain first subparagraph below for interior application.</w:t>
      </w:r>
    </w:p>
    <w:p>
      <w:pPr>
        <w:pStyle w:val="PR2"/>
        <w:numPr>
          <w:ilvl w:val="5"/>
          <w:numId w:val="1"/>
        </w:numPr>
        <w:spacing w:before="240" w:after="0"/>
        <w:ind w:hanging="0" w:left="0"/>
        <w:rPr/>
      </w:pPr>
      <w:r>
        <w:rPr/>
        <w:t>Apply mockups after permanent lighting and other environmental services have been activated.</w:t>
      </w:r>
    </w:p>
    <w:p>
      <w:pPr>
        <w:pStyle w:val="PR2"/>
        <w:numPr>
          <w:ilvl w:val="5"/>
          <w:numId w:val="1"/>
        </w:numPr>
        <w:ind w:hanging="0" w:left="0"/>
        <w:rPr/>
      </w:pPr>
      <w:r>
        <w:rPr/>
        <w:t>Final approval of color selections will be based on mockups.</w:t>
      </w:r>
    </w:p>
    <w:p>
      <w:pPr>
        <w:pStyle w:val="PR3"/>
        <w:numPr>
          <w:ilvl w:val="6"/>
          <w:numId w:val="1"/>
        </w:numPr>
        <w:spacing w:before="240" w:after="0"/>
        <w:ind w:hanging="0" w:left="0"/>
        <w:rPr/>
      </w:pPr>
      <w:r>
        <w:rPr/>
        <w:t>If preliminary color selections are not approved, apply additional mockups of colors selected by Architect at no added cost to Owner.</w:t>
      </w:r>
    </w:p>
    <w:p>
      <w:pPr>
        <w:pStyle w:val="ART"/>
        <w:numPr>
          <w:ilvl w:val="3"/>
          <w:numId w:val="1"/>
        </w:numPr>
        <w:ind w:hanging="0" w:left="0"/>
        <w:rPr/>
      </w:pPr>
      <w:r>
        <w:rPr/>
        <w:t>DELIVERY, STORAGE, AND HANDLING</w:t>
      </w:r>
    </w:p>
    <w:p>
      <w:pPr>
        <w:pStyle w:val="PR1"/>
        <w:numPr>
          <w:ilvl w:val="4"/>
          <w:numId w:val="1"/>
        </w:numPr>
        <w:ind w:hanging="0" w:left="0"/>
        <w:rPr/>
      </w:pPr>
      <w:r>
        <w:rPr/>
        <w:t>Deliver materials to Project site in manufacturer's original, new, unopened packages and containers bearing manufacturer's name and label, and the following information:</w:t>
      </w:r>
    </w:p>
    <w:p>
      <w:pPr>
        <w:pStyle w:val="CMT"/>
        <w:rPr/>
      </w:pPr>
      <w:r>
        <w:rPr/>
        <w:t>Insert other requirements below to suit Project.</w:t>
      </w:r>
    </w:p>
    <w:p>
      <w:pPr>
        <w:pStyle w:val="PR2"/>
        <w:numPr>
          <w:ilvl w:val="5"/>
          <w:numId w:val="1"/>
        </w:numPr>
        <w:spacing w:before="240" w:after="0"/>
        <w:ind w:hanging="0" w:left="0"/>
        <w:rPr/>
      </w:pPr>
      <w:r>
        <w:rPr/>
        <w:t>Product name or title of material.</w:t>
      </w:r>
    </w:p>
    <w:p>
      <w:pPr>
        <w:pStyle w:val="PR2"/>
        <w:numPr>
          <w:ilvl w:val="5"/>
          <w:numId w:val="1"/>
        </w:numPr>
        <w:ind w:hanging="0" w:left="0"/>
        <w:rPr/>
      </w:pPr>
      <w:r>
        <w:rPr/>
        <w:t>Manufacturer's stock number and date of manufacture.</w:t>
      </w:r>
    </w:p>
    <w:p>
      <w:pPr>
        <w:pStyle w:val="PR2"/>
        <w:numPr>
          <w:ilvl w:val="5"/>
          <w:numId w:val="1"/>
        </w:numPr>
        <w:ind w:hanging="0" w:left="0"/>
        <w:rPr/>
      </w:pPr>
      <w:r>
        <w:rPr/>
        <w:t>Contents by volume, for pigment and vehicle constituents.</w:t>
      </w:r>
    </w:p>
    <w:p>
      <w:pPr>
        <w:pStyle w:val="PR2"/>
        <w:numPr>
          <w:ilvl w:val="5"/>
          <w:numId w:val="1"/>
        </w:numPr>
        <w:ind w:hanging="0" w:left="0"/>
        <w:rPr/>
      </w:pPr>
      <w:r>
        <w:rPr/>
        <w:t>Application instructions.</w:t>
      </w:r>
    </w:p>
    <w:p>
      <w:pPr>
        <w:pStyle w:val="PR2"/>
        <w:numPr>
          <w:ilvl w:val="5"/>
          <w:numId w:val="1"/>
        </w:numPr>
        <w:ind w:hanging="0" w:left="0"/>
        <w:rPr/>
      </w:pPr>
      <w:r>
        <w:rPr/>
        <w:t>Color name and number.</w:t>
      </w:r>
    </w:p>
    <w:p>
      <w:pPr>
        <w:pStyle w:val="PR2"/>
        <w:numPr>
          <w:ilvl w:val="5"/>
          <w:numId w:val="1"/>
        </w:numPr>
        <w:ind w:hanging="0" w:left="0"/>
        <w:rPr/>
      </w:pPr>
      <w:r>
        <w:rPr/>
        <w:t>Handling instructions and precautions.</w:t>
      </w:r>
    </w:p>
    <w:p>
      <w:pPr>
        <w:pStyle w:val="PR1"/>
        <w:numPr>
          <w:ilvl w:val="4"/>
          <w:numId w:val="1"/>
        </w:numPr>
        <w:ind w:hanging="0" w:left="0"/>
        <w:rPr/>
      </w:pPr>
      <w:r>
        <w:rPr/>
        <w:t xml:space="preserve">Store materials not in use in tightly covered containers in a well-ventilated area at a minimum ambient temperature of </w:t>
      </w:r>
      <w:r>
        <w:rPr>
          <w:rStyle w:val="IP"/>
        </w:rPr>
        <w:t>45 deg F</w:t>
      </w:r>
      <w:r>
        <w:rPr>
          <w:rStyle w:val="SI"/>
        </w:rPr>
        <w:t xml:space="preserve"> (7 deg C)</w:t>
      </w:r>
      <w:r>
        <w:rPr/>
        <w:t>. Maintain containers used in storage of coatings in a clean condition, free of foreign materials and residue.</w:t>
      </w:r>
    </w:p>
    <w:p>
      <w:pPr>
        <w:pStyle w:val="PR2"/>
        <w:numPr>
          <w:ilvl w:val="5"/>
          <w:numId w:val="1"/>
        </w:numPr>
        <w:spacing w:before="240" w:after="0"/>
        <w:ind w:hanging="0" w:left="0"/>
        <w:rPr/>
      </w:pPr>
      <w:r>
        <w:rPr/>
        <w:t>Protect cementitious coating materials from freezing. Keep materials dry and storage area neat and orderly. Remove waste daily. Take necessary measures to ensure that workers and work areas are protected from health hazards resulting from handling, mixing, and applying the coating.</w:t>
      </w:r>
    </w:p>
    <w:p>
      <w:pPr>
        <w:pStyle w:val="CMT"/>
        <w:rPr/>
      </w:pPr>
      <w:r>
        <w:rPr/>
        <w:t>If necessary, insert special requirements for fire protection, heating, ventilation, and other conditions for storage areas on-site.</w:t>
      </w:r>
    </w:p>
    <w:p>
      <w:pPr>
        <w:pStyle w:val="ART"/>
        <w:numPr>
          <w:ilvl w:val="3"/>
          <w:numId w:val="1"/>
        </w:numPr>
        <w:ind w:hanging="0" w:left="0"/>
        <w:rPr/>
      </w:pPr>
      <w:r>
        <w:rPr/>
        <w:t>FIELD CONDITIONS</w:t>
      </w:r>
    </w:p>
    <w:p>
      <w:pPr>
        <w:pStyle w:val="PR1"/>
        <w:numPr>
          <w:ilvl w:val="4"/>
          <w:numId w:val="1"/>
        </w:numPr>
        <w:ind w:hanging="0" w:left="0"/>
        <w:rPr/>
      </w:pPr>
      <w:r>
        <w:rPr/>
        <w:t xml:space="preserve">Apply coatings only when temperature of surfaces to be painted and ambient air temperatures are between </w:t>
      </w:r>
      <w:r>
        <w:rPr>
          <w:rStyle w:val="IP"/>
        </w:rPr>
        <w:t>50 and 95 deg F</w:t>
      </w:r>
      <w:r>
        <w:rPr>
          <w:rStyle w:val="SI"/>
        </w:rPr>
        <w:t xml:space="preserve"> (10 and 35 deg C)</w:t>
      </w:r>
      <w:r>
        <w:rPr/>
        <w:t>.</w:t>
      </w:r>
    </w:p>
    <w:p>
      <w:pPr>
        <w:pStyle w:val="PR1"/>
        <w:numPr>
          <w:ilvl w:val="4"/>
          <w:numId w:val="1"/>
        </w:numPr>
        <w:ind w:hanging="0" w:left="0"/>
        <w:rPr/>
      </w:pPr>
      <w:r>
        <w:rPr/>
        <w:t xml:space="preserve">Do not apply coatings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CMT"/>
        <w:rPr/>
      </w:pPr>
      <w:r>
        <w:rPr/>
        <w:t>Retain "Products" Paragraph and insert lists of manufacturers and products in Cementitious Coating Schedule to require specific products or a comparable product from other manufacturers.</w:t>
      </w:r>
    </w:p>
    <w:p>
      <w:pPr>
        <w:pStyle w:val="PR1"/>
        <w:numPr>
          <w:ilvl w:val="4"/>
          <w:numId w:val="1"/>
        </w:numPr>
        <w:ind w:hanging="0" w:left="0"/>
        <w:rPr/>
      </w:pPr>
      <w:r>
        <w:rPr/>
        <w:t>Products: Subject to compliance with requirements, [</w:t>
      </w:r>
      <w:r>
        <w:rPr>
          <w:b/>
        </w:rPr>
        <w:t>provide product</w:t>
      </w:r>
      <w:r>
        <w:rPr/>
        <w:t>] [</w:t>
      </w:r>
      <w:r>
        <w:rPr>
          <w:b/>
        </w:rPr>
        <w:t>provide one of the products</w:t>
      </w:r>
      <w:r>
        <w:rPr/>
        <w:t>] [</w:t>
      </w:r>
      <w:r>
        <w:rPr>
          <w:b/>
        </w:rPr>
        <w:t>available products that may be incorporated into the Work include, but are not limited to products</w:t>
      </w:r>
      <w:r>
        <w:rPr/>
        <w:t>] listed in the Cementitious Coating Schedule for the paint category indicated.</w:t>
      </w:r>
    </w:p>
    <w:p>
      <w:pPr>
        <w:pStyle w:val="PR1"/>
        <w:numPr>
          <w:ilvl w:val="4"/>
          <w:numId w:val="1"/>
        </w:numPr>
        <w:ind w:hanging="0" w:left="0"/>
        <w:rPr/>
      </w:pPr>
      <w:r>
        <w:rPr/>
        <w:t>Source Limitations: Obtain cementitious coating materials from single source and from single manufacturer.</w:t>
      </w:r>
    </w:p>
    <w:p>
      <w:pPr>
        <w:pStyle w:val="ART"/>
        <w:numPr>
          <w:ilvl w:val="3"/>
          <w:numId w:val="1"/>
        </w:numPr>
        <w:ind w:hanging="0" w:left="0"/>
        <w:rPr/>
      </w:pPr>
      <w:r>
        <w:rPr/>
        <w:t>CEMENTITIOUS COATINGS</w:t>
      </w:r>
    </w:p>
    <w:p>
      <w:pPr>
        <w:pStyle w:val="PR1"/>
        <w:numPr>
          <w:ilvl w:val="4"/>
          <w:numId w:val="1"/>
        </w:numPr>
        <w:ind w:hanging="0" w:left="0"/>
        <w:rPr/>
      </w:pPr>
      <w:r>
        <w:rPr/>
        <w:t>Polymer-Modified Cementitious Coating: Containing portland cement, polymer, and hydrated lime or aggregates.</w:t>
      </w:r>
    </w:p>
    <w:p>
      <w:pPr>
        <w:pStyle w:val="CMT"/>
        <w:rPr/>
      </w:pPr>
      <w:r>
        <w:rPr/>
        <w:t>Revise requirements in subparagraphs below to suit Project or to limit compliance to certain products. Performance requirements and values are examples only.</w:t>
      </w:r>
    </w:p>
    <w:p>
      <w:pPr>
        <w:pStyle w:val="PR2"/>
        <w:numPr>
          <w:ilvl w:val="5"/>
          <w:numId w:val="1"/>
        </w:numPr>
        <w:spacing w:before="240" w:after="0"/>
        <w:ind w:hanging="0" w:left="0"/>
        <w:rPr/>
      </w:pPr>
      <w:r>
        <w:rPr/>
        <w:t>Compressive Strength: Not less than [</w:t>
      </w:r>
      <w:r>
        <w:rPr>
          <w:rStyle w:val="IP"/>
          <w:b/>
        </w:rPr>
        <w:t>3500 psi</w:t>
      </w:r>
      <w:r>
        <w:rPr>
          <w:rStyle w:val="SI"/>
          <w:b/>
        </w:rPr>
        <w:t xml:space="preserve"> (24.1 MPa)</w:t>
      </w:r>
      <w:r>
        <w:rPr/>
        <w:t>] &lt;</w:t>
      </w:r>
      <w:r>
        <w:rPr>
          <w:b/>
        </w:rPr>
        <w:t>Insert value</w:t>
      </w:r>
      <w:r>
        <w:rPr/>
        <w:t>&gt; at 28 days according to ASTM C109/C109M.</w:t>
      </w:r>
    </w:p>
    <w:p>
      <w:pPr>
        <w:pStyle w:val="PR2"/>
        <w:numPr>
          <w:ilvl w:val="5"/>
          <w:numId w:val="1"/>
        </w:numPr>
        <w:ind w:hanging="0" w:left="0"/>
        <w:rPr/>
      </w:pPr>
      <w:r>
        <w:rPr/>
        <w:t>Tensile Strength: Not less than [</w:t>
      </w:r>
      <w:r>
        <w:rPr>
          <w:rStyle w:val="IP"/>
          <w:b/>
        </w:rPr>
        <w:t>350 psi</w:t>
      </w:r>
      <w:r>
        <w:rPr>
          <w:rStyle w:val="SI"/>
          <w:b/>
        </w:rPr>
        <w:t xml:space="preserve"> (2.41 MPa)</w:t>
      </w:r>
      <w:r>
        <w:rPr/>
        <w:t>] &lt;</w:t>
      </w:r>
      <w:r>
        <w:rPr>
          <w:b/>
        </w:rPr>
        <w:t>Insert value</w:t>
      </w:r>
      <w:r>
        <w:rPr/>
        <w:t>&gt; at 28 days according to ASTM C109/C109M.</w:t>
      </w:r>
    </w:p>
    <w:p>
      <w:pPr>
        <w:pStyle w:val="PR2"/>
        <w:numPr>
          <w:ilvl w:val="5"/>
          <w:numId w:val="1"/>
        </w:numPr>
        <w:ind w:hanging="0" w:left="0"/>
        <w:rPr/>
      </w:pPr>
      <w:r>
        <w:rPr/>
        <w:t>Flexural Strength: &lt;</w:t>
      </w:r>
      <w:r>
        <w:rPr>
          <w:b/>
        </w:rPr>
        <w:t>Insert value and test method</w:t>
      </w:r>
      <w:r>
        <w:rPr/>
        <w:t>&gt;.</w:t>
      </w:r>
    </w:p>
    <w:p>
      <w:pPr>
        <w:pStyle w:val="PR2"/>
        <w:numPr>
          <w:ilvl w:val="5"/>
          <w:numId w:val="1"/>
        </w:numPr>
        <w:ind w:hanging="0" w:left="0"/>
        <w:rPr/>
      </w:pPr>
      <w:r>
        <w:rPr/>
        <w:t>Adhesion: &lt;</w:t>
      </w:r>
      <w:r>
        <w:rPr>
          <w:b/>
        </w:rPr>
        <w:t>Insert value and test method</w:t>
      </w:r>
      <w:r>
        <w:rPr/>
        <w:t>&gt;.</w:t>
      </w:r>
    </w:p>
    <w:p>
      <w:pPr>
        <w:pStyle w:val="PR2"/>
        <w:numPr>
          <w:ilvl w:val="5"/>
          <w:numId w:val="1"/>
        </w:numPr>
        <w:ind w:hanging="0" w:left="0"/>
        <w:rPr/>
      </w:pPr>
      <w:r>
        <w:rPr/>
        <w:t>Permeance: &lt;</w:t>
      </w:r>
      <w:r>
        <w:rPr>
          <w:b/>
        </w:rPr>
        <w:t>Insert value and test method</w:t>
      </w:r>
      <w:r>
        <w:rPr/>
        <w:t>&gt;.</w:t>
      </w:r>
    </w:p>
    <w:p>
      <w:pPr>
        <w:pStyle w:val="PR2"/>
        <w:numPr>
          <w:ilvl w:val="5"/>
          <w:numId w:val="1"/>
        </w:numPr>
        <w:ind w:hanging="0" w:left="0"/>
        <w:rPr/>
      </w:pPr>
      <w:r>
        <w:rPr/>
        <w:t>Accelerated Weathering: &lt;</w:t>
      </w:r>
      <w:r>
        <w:rPr>
          <w:b/>
        </w:rPr>
        <w:t>Insert value and test method</w:t>
      </w:r>
      <w:r>
        <w:rPr/>
        <w:t>&gt;.</w:t>
      </w:r>
    </w:p>
    <w:p>
      <w:pPr>
        <w:pStyle w:val="PR2"/>
        <w:numPr>
          <w:ilvl w:val="5"/>
          <w:numId w:val="1"/>
        </w:numPr>
        <w:ind w:hanging="0" w:left="0"/>
        <w:rPr/>
      </w:pPr>
      <w:r>
        <w:rPr/>
        <w:t>UV Resistance: &lt;</w:t>
      </w:r>
      <w:r>
        <w:rPr>
          <w:b/>
        </w:rPr>
        <w:t>Insert value and test method</w:t>
      </w:r>
      <w:r>
        <w:rPr/>
        <w:t>&gt;.</w:t>
      </w:r>
    </w:p>
    <w:p>
      <w:pPr>
        <w:pStyle w:val="PR2"/>
        <w:numPr>
          <w:ilvl w:val="5"/>
          <w:numId w:val="1"/>
        </w:numPr>
        <w:ind w:hanging="0" w:left="0"/>
        <w:rPr/>
      </w:pPr>
      <w:r>
        <w:rPr/>
        <w:t>Salt-Spray Resistance: &lt;</w:t>
      </w:r>
      <w:r>
        <w:rPr>
          <w:b/>
        </w:rPr>
        <w:t>Insert value and test method</w:t>
      </w:r>
      <w:r>
        <w:rPr/>
        <w:t>&gt;.</w:t>
      </w:r>
    </w:p>
    <w:p>
      <w:pPr>
        <w:pStyle w:val="PR2"/>
        <w:numPr>
          <w:ilvl w:val="5"/>
          <w:numId w:val="1"/>
        </w:numPr>
        <w:ind w:hanging="0" w:left="0"/>
        <w:rPr/>
      </w:pPr>
      <w:r>
        <w:rPr/>
        <w:t>&lt;</w:t>
      </w:r>
      <w:r>
        <w:rPr>
          <w:b/>
        </w:rPr>
        <w:t>Insert performance requirements</w:t>
      </w:r>
      <w:r>
        <w:rPr/>
        <w:t>&gt;.</w:t>
      </w:r>
    </w:p>
    <w:p>
      <w:pPr>
        <w:pStyle w:val="PR1"/>
        <w:numPr>
          <w:ilvl w:val="4"/>
          <w:numId w:val="1"/>
        </w:numPr>
        <w:ind w:hanging="0" w:left="0"/>
        <w:rPr/>
      </w:pPr>
      <w:hyperlink r:id="rId5">
        <w:r>
          <w:rPr>
            <w:rStyle w:val="Hyperlink"/>
          </w:rPr>
          <w:t>&lt;Double click to insert sustainable design text for paints.&gt;</w:t>
        </w:r>
      </w:hyperlink>
    </w:p>
    <w:p>
      <w:pPr>
        <w:pStyle w:val="PR1"/>
        <w:numPr>
          <w:ilvl w:val="4"/>
          <w:numId w:val="1"/>
        </w:numPr>
        <w:ind w:hanging="0" w:left="0"/>
        <w:rPr/>
      </w:pPr>
      <w:r>
        <w:rPr/>
        <w:t>Colors: [</w:t>
      </w:r>
      <w:r>
        <w:rPr>
          <w:b/>
        </w:rPr>
        <w:t>As selected by Architect from manufacturer's full range</w:t>
      </w:r>
      <w:r>
        <w:rPr/>
        <w:t>] [</w:t>
      </w:r>
      <w:r>
        <w:rPr>
          <w:b/>
        </w:rPr>
        <w:t>Match Architect's samples</w:t>
      </w:r>
      <w:r>
        <w:rPr/>
        <w:t>] [</w:t>
      </w:r>
      <w:r>
        <w:rPr>
          <w:b/>
        </w:rPr>
        <w:t>As indicated in a color schedule</w:t>
      </w:r>
      <w:r>
        <w:rPr/>
        <w:t>] &lt;</w:t>
      </w:r>
      <w:r>
        <w:rPr>
          <w:b/>
        </w:rPr>
        <w:t>Insert requirements</w:t>
      </w:r>
      <w:r>
        <w:rPr/>
        <w:t>&gt;.</w:t>
      </w:r>
    </w:p>
    <w:p>
      <w:pPr>
        <w:pStyle w:val="PR1"/>
        <w:numPr>
          <w:ilvl w:val="4"/>
          <w:numId w:val="1"/>
        </w:numPr>
        <w:ind w:hanging="0" w:left="0"/>
        <w:rPr/>
      </w:pPr>
      <w:r>
        <w:rPr/>
        <w:t>Other Materials: Provide crack fillers, block fillers, and related materials that are compatible with cementitious finish-coat materials and substrates indicated, under conditions of service and application as demonstrated by manufacturer, based on testing and field experience.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with Applicator present, for compliance with requirements and other conditions affecting performance of the Work.</w:t>
      </w:r>
    </w:p>
    <w:p>
      <w:pPr>
        <w:pStyle w:val="PR1"/>
        <w:numPr>
          <w:ilvl w:val="4"/>
          <w:numId w:val="1"/>
        </w:numPr>
        <w:ind w:hanging="0" w:left="0"/>
        <w:rPr/>
      </w:pPr>
      <w:r>
        <w:rPr/>
        <w:t>Verify suitability of substrates, including surface conditions and compatibility.</w:t>
      </w:r>
    </w:p>
    <w:p>
      <w:pPr>
        <w:pStyle w:val="PR1"/>
        <w:numPr>
          <w:ilvl w:val="4"/>
          <w:numId w:val="1"/>
        </w:numPr>
        <w:ind w:hanging="0" w:left="0"/>
        <w:rPr/>
      </w:pPr>
      <w:r>
        <w:rPr/>
        <w:t>Begin coating application only after unsatisfactory conditions have been corrected and surfaces are dry.</w:t>
      </w:r>
    </w:p>
    <w:p>
      <w:pPr>
        <w:pStyle w:val="PR2"/>
        <w:numPr>
          <w:ilvl w:val="5"/>
          <w:numId w:val="1"/>
        </w:numPr>
        <w:spacing w:before="240" w:after="0"/>
        <w:ind w:hanging="0" w:left="0"/>
        <w:rPr/>
      </w:pPr>
      <w:r>
        <w:rPr/>
        <w:t>Beginning coating application constitutes Contractor's acceptance of substrates and conditions.</w:t>
      </w:r>
    </w:p>
    <w:p>
      <w:pPr>
        <w:pStyle w:val="ART"/>
        <w:numPr>
          <w:ilvl w:val="3"/>
          <w:numId w:val="1"/>
        </w:numPr>
        <w:ind w:hanging="0" w:left="0"/>
        <w:rPr/>
      </w:pPr>
      <w:r>
        <w:rPr/>
        <w:t>PREPARATION</w:t>
      </w:r>
    </w:p>
    <w:p>
      <w:pPr>
        <w:pStyle w:val="PR1"/>
        <w:numPr>
          <w:ilvl w:val="4"/>
          <w:numId w:val="1"/>
        </w:numPr>
        <w:ind w:hanging="0" w:left="0"/>
        <w:rPr/>
      </w:pPr>
      <w:r>
        <w:rPr/>
        <w:t>Comply with manufacturer's written instructions for mixing and preparing materials and as applicable to substrates indicated.</w:t>
      </w:r>
    </w:p>
    <w:p>
      <w:pPr>
        <w:pStyle w:val="PR1"/>
        <w:numPr>
          <w:ilvl w:val="4"/>
          <w:numId w:val="1"/>
        </w:numPr>
        <w:ind w:hanging="0" w:left="0"/>
        <w:rPr/>
      </w:pPr>
      <w:r>
        <w:rPr/>
        <w:t>Remove plates, machined surfaces, and similar items already in place that are not to be coated. If removal is impractical or impossible because of size or weight of item, provide surface-applied protection before surface preparation and coating.</w:t>
      </w:r>
    </w:p>
    <w:p>
      <w:pPr>
        <w:pStyle w:val="PR2"/>
        <w:numPr>
          <w:ilvl w:val="5"/>
          <w:numId w:val="1"/>
        </w:numPr>
        <w:spacing w:before="240" w:after="0"/>
        <w:ind w:hanging="0" w:left="0"/>
        <w:rPr/>
      </w:pPr>
      <w:r>
        <w:rPr/>
        <w:t>After completing coating operations, use workers skilled in the trades involved to reinstall items that were removed. Remove surface-applied protection if any.</w:t>
      </w:r>
    </w:p>
    <w:p>
      <w:pPr>
        <w:pStyle w:val="PR1"/>
        <w:numPr>
          <w:ilvl w:val="4"/>
          <w:numId w:val="1"/>
        </w:numPr>
        <w:ind w:hanging="0" w:left="0"/>
        <w:rPr/>
      </w:pPr>
      <w:r>
        <w:rPr/>
        <w:t>Clean substrates of substances that could impair bond of coatings, including dirt, oil, grease, incompatible coatings, and loose substrate materials.</w:t>
      </w:r>
    </w:p>
    <w:p>
      <w:pPr>
        <w:pStyle w:val="PR1"/>
        <w:numPr>
          <w:ilvl w:val="4"/>
          <w:numId w:val="1"/>
        </w:numPr>
        <w:ind w:hanging="0" w:left="0"/>
        <w:rPr/>
      </w:pPr>
      <w:r>
        <w:rPr/>
        <w:t>Cementitious and Masonry Surfaces: Remove release agents, curing compounds, efflorescence, and chalk. Do not paint surfaces if moisture content or alkalinity of surfaces to be painted exceeds that permitted in manufacturer's written instructions.</w:t>
      </w:r>
    </w:p>
    <w:p>
      <w:pPr>
        <w:pStyle w:val="CMT"/>
        <w:rPr/>
      </w:pPr>
      <w:r>
        <w:rPr/>
        <w:t>Cracks in masonry and concrete must be filled before coating to maintain water-resistant protection and to prevent additional cracking and further deterioration.</w:t>
      </w:r>
    </w:p>
    <w:p>
      <w:pPr>
        <w:pStyle w:val="PR1"/>
        <w:numPr>
          <w:ilvl w:val="4"/>
          <w:numId w:val="1"/>
        </w:numPr>
        <w:ind w:hanging="0" w:left="0"/>
        <w:rPr/>
      </w:pPr>
      <w:r>
        <w:rPr/>
        <w:t>Crack Repair: Fill cracks according to manufacturer's written instructions before coating surfaces.</w:t>
      </w:r>
    </w:p>
    <w:p>
      <w:pPr>
        <w:pStyle w:val="CMT"/>
        <w:rPr/>
      </w:pPr>
      <w:r>
        <w:rPr/>
        <w:t>"Cracks Larger Than 1/32 Inch (0.8 mm)" Subparagraph below is an example of a basic crack-repair procedure; revise to suit products under consideration. Some manufacturers may recommend other procedures that they consider more suitable for their product.</w:t>
      </w:r>
    </w:p>
    <w:p>
      <w:pPr>
        <w:pStyle w:val="PR2"/>
        <w:numPr>
          <w:ilvl w:val="5"/>
          <w:numId w:val="1"/>
        </w:numPr>
        <w:spacing w:before="240" w:after="0"/>
        <w:ind w:hanging="0" w:left="0"/>
        <w:rPr/>
      </w:pPr>
      <w:r>
        <w:rPr/>
        <w:t xml:space="preserve">Cracks Larger Than </w:t>
      </w:r>
      <w:r>
        <w:rPr>
          <w:rStyle w:val="IP"/>
        </w:rPr>
        <w:t>1/32 Inch</w:t>
      </w:r>
      <w:r>
        <w:rPr>
          <w:rStyle w:val="SI"/>
        </w:rPr>
        <w:t xml:space="preserve"> (0.8 mm)</w:t>
      </w:r>
      <w:r>
        <w:rPr/>
        <w:t xml:space="preserve">: Cut out static cracks, voids, or honeycombing larger than </w:t>
      </w:r>
      <w:r>
        <w:rPr>
          <w:rStyle w:val="IP"/>
        </w:rPr>
        <w:t>1/32 inch</w:t>
      </w:r>
      <w:r>
        <w:rPr>
          <w:rStyle w:val="SI"/>
        </w:rPr>
        <w:t xml:space="preserve"> (0.8 mm)</w:t>
      </w:r>
      <w:r>
        <w:rPr/>
        <w:t xml:space="preserve"> and patch with materials recommended in writing by coating manufacturer. Identify dynamic cracks and treat according to manufacturer's written instructions before beginning application.</w:t>
      </w:r>
    </w:p>
    <w:p>
      <w:pPr>
        <w:pStyle w:val="ART"/>
        <w:numPr>
          <w:ilvl w:val="3"/>
          <w:numId w:val="1"/>
        </w:numPr>
        <w:ind w:hanging="0" w:left="0"/>
        <w:rPr/>
      </w:pPr>
      <w:r>
        <w:rPr/>
        <w:t>APPLICATION</w:t>
      </w:r>
    </w:p>
    <w:p>
      <w:pPr>
        <w:pStyle w:val="PR1"/>
        <w:numPr>
          <w:ilvl w:val="4"/>
          <w:numId w:val="1"/>
        </w:numPr>
        <w:ind w:hanging="0" w:left="0"/>
        <w:rPr/>
      </w:pPr>
      <w:r>
        <w:rPr/>
        <w:t>Apply coatings according to manufacturer's written instructions. Use applicators and techniques suited for coating and substrate indicated.</w:t>
      </w:r>
    </w:p>
    <w:p>
      <w:pPr>
        <w:pStyle w:val="PR2"/>
        <w:numPr>
          <w:ilvl w:val="5"/>
          <w:numId w:val="1"/>
        </w:numPr>
        <w:spacing w:before="240" w:after="0"/>
        <w:ind w:hanging="0" w:left="0"/>
        <w:rPr/>
      </w:pPr>
      <w:r>
        <w:rPr/>
        <w:t>Dampen substrate of surfaces to receive cementitious coatings one hour before beginning application to prevent surface drag. Immediately before applying coatings, redampen substrate. Substrates shall be saturated and surface dry at time of application.</w:t>
      </w:r>
    </w:p>
    <w:p>
      <w:pPr>
        <w:pStyle w:val="PR2"/>
        <w:numPr>
          <w:ilvl w:val="5"/>
          <w:numId w:val="1"/>
        </w:numPr>
        <w:ind w:hanging="0" w:left="0"/>
        <w:rPr/>
      </w:pPr>
      <w:r>
        <w:rPr/>
        <w:t>Brushes: Use Tampico or masonry brushes best suited for material being applied.</w:t>
      </w:r>
    </w:p>
    <w:p>
      <w:pPr>
        <w:pStyle w:val="PR2"/>
        <w:numPr>
          <w:ilvl w:val="5"/>
          <w:numId w:val="1"/>
        </w:numPr>
        <w:ind w:hanging="0" w:left="0"/>
        <w:rPr/>
      </w:pPr>
      <w:r>
        <w:rPr/>
        <w:t>Spray Equipment: Use spray equipment recommended in writing by manufacturer for material and texture required.</w:t>
      </w:r>
    </w:p>
    <w:p>
      <w:pPr>
        <w:pStyle w:val="PR1"/>
        <w:numPr>
          <w:ilvl w:val="4"/>
          <w:numId w:val="1"/>
        </w:numPr>
        <w:ind w:hanging="0" w:left="0"/>
        <w:rPr/>
      </w:pPr>
      <w:r>
        <w:rPr/>
        <w:t>Apply coating to achieve material thickness as recommended in writing by manufacturer, but not less than the following:</w:t>
      </w:r>
    </w:p>
    <w:p>
      <w:pPr>
        <w:pStyle w:val="PR2"/>
        <w:numPr>
          <w:ilvl w:val="5"/>
          <w:numId w:val="1"/>
        </w:numPr>
        <w:spacing w:before="240" w:after="0"/>
        <w:ind w:hanging="0" w:left="0"/>
        <w:rPr/>
      </w:pPr>
      <w:r>
        <w:rPr/>
        <w:t xml:space="preserve">First Coat: Apply polymer-modified cementitious coating material at the rate of </w:t>
      </w:r>
      <w:r>
        <w:rPr>
          <w:rStyle w:val="IP"/>
        </w:rPr>
        <w:t>2 lb/sq. yd.</w:t>
      </w:r>
      <w:r>
        <w:rPr>
          <w:rStyle w:val="SI"/>
        </w:rPr>
        <w:t xml:space="preserve"> (1 kg/sq. m)</w:t>
      </w:r>
      <w:r>
        <w:rPr/>
        <w:t xml:space="preserve"> to achieve a total cured thickness of </w:t>
      </w:r>
      <w:r>
        <w:rPr>
          <w:rStyle w:val="IP"/>
        </w:rPr>
        <w:t>25 mils</w:t>
      </w:r>
      <w:r>
        <w:rPr>
          <w:rStyle w:val="SI"/>
        </w:rPr>
        <w:t xml:space="preserve"> (0.6 mm)</w:t>
      </w:r>
      <w:r>
        <w:rPr/>
        <w:t>.</w:t>
      </w:r>
    </w:p>
    <w:p>
      <w:pPr>
        <w:pStyle w:val="PR2"/>
        <w:numPr>
          <w:ilvl w:val="5"/>
          <w:numId w:val="1"/>
        </w:numPr>
        <w:ind w:hanging="0" w:left="0"/>
        <w:rPr/>
      </w:pPr>
      <w:r>
        <w:rPr/>
        <w:t xml:space="preserve">Second Coat: Apply polymer-modified cementitious coating material at the rate of </w:t>
      </w:r>
      <w:r>
        <w:rPr>
          <w:rStyle w:val="IP"/>
        </w:rPr>
        <w:t>1 lb/sq. yd.</w:t>
      </w:r>
      <w:r>
        <w:rPr>
          <w:rStyle w:val="SI"/>
        </w:rPr>
        <w:t xml:space="preserve"> (0.5 kg/sq. m)</w:t>
      </w:r>
      <w:r>
        <w:rPr/>
        <w:t xml:space="preserve"> to achieve a total cured thickness of </w:t>
      </w:r>
      <w:r>
        <w:rPr>
          <w:rStyle w:val="IP"/>
        </w:rPr>
        <w:t>15 mils</w:t>
      </w:r>
      <w:r>
        <w:rPr>
          <w:rStyle w:val="SI"/>
        </w:rPr>
        <w:t xml:space="preserve"> (0.4 mm)</w:t>
      </w:r>
      <w:r>
        <w:rPr/>
        <w:t>.</w:t>
      </w:r>
    </w:p>
    <w:p>
      <w:pPr>
        <w:pStyle w:val="PR2"/>
        <w:numPr>
          <w:ilvl w:val="5"/>
          <w:numId w:val="1"/>
        </w:numPr>
        <w:ind w:hanging="0" w:left="0"/>
        <w:rPr/>
      </w:pPr>
      <w:r>
        <w:rPr/>
        <w:t>Apply additional coats when undercoats or other conditions show through final coat until cured film is of uniform coating finish, color, and appearance.</w:t>
      </w:r>
    </w:p>
    <w:p>
      <w:pPr>
        <w:pStyle w:val="PR1"/>
        <w:numPr>
          <w:ilvl w:val="4"/>
          <w:numId w:val="1"/>
        </w:numPr>
        <w:ind w:hanging="0" w:left="0"/>
        <w:rPr/>
      </w:pPr>
      <w:r>
        <w:rPr/>
        <w:t>On previously coated surfaces, apply coating to achieve material thickness as recommended in writing by manufacturer, but not less than the following:</w:t>
      </w:r>
    </w:p>
    <w:p>
      <w:pPr>
        <w:pStyle w:val="PR2"/>
        <w:numPr>
          <w:ilvl w:val="5"/>
          <w:numId w:val="1"/>
        </w:numPr>
        <w:spacing w:before="240" w:after="0"/>
        <w:ind w:hanging="0" w:left="0"/>
        <w:rPr/>
      </w:pPr>
      <w:r>
        <w:rPr/>
        <w:t xml:space="preserve">Apply polymer-modified cementitious coating material at the rate of </w:t>
      </w:r>
      <w:r>
        <w:rPr>
          <w:rStyle w:val="IP"/>
        </w:rPr>
        <w:t>1 lb/sq. yd.</w:t>
      </w:r>
      <w:r>
        <w:rPr>
          <w:rStyle w:val="SI"/>
        </w:rPr>
        <w:t xml:space="preserve"> (0.5 kg/sq. m)</w:t>
      </w:r>
      <w:r>
        <w:rPr/>
        <w:t xml:space="preserve"> to achieve a total cured thickness of </w:t>
      </w:r>
      <w:r>
        <w:rPr>
          <w:rStyle w:val="IP"/>
        </w:rPr>
        <w:t>15 mils</w:t>
      </w:r>
      <w:r>
        <w:rPr>
          <w:rStyle w:val="SI"/>
        </w:rPr>
        <w:t xml:space="preserve"> (0.4 mm)</w:t>
      </w:r>
      <w:r>
        <w:rPr/>
        <w:t>.</w:t>
      </w:r>
    </w:p>
    <w:p>
      <w:pPr>
        <w:pStyle w:val="PR2"/>
        <w:numPr>
          <w:ilvl w:val="5"/>
          <w:numId w:val="1"/>
        </w:numPr>
        <w:ind w:hanging="0" w:left="0"/>
        <w:rPr/>
      </w:pPr>
      <w:r>
        <w:rPr/>
        <w:t>Apply additional coats when undercoats or other conditions show through final coat until cured film is of uniform coating finish, color, and appearance.</w:t>
      </w:r>
    </w:p>
    <w:p>
      <w:pPr>
        <w:pStyle w:val="PR1"/>
        <w:numPr>
          <w:ilvl w:val="4"/>
          <w:numId w:val="1"/>
        </w:numPr>
        <w:ind w:hanging="0" w:left="0"/>
        <w:rPr/>
      </w:pPr>
      <w:r>
        <w:rPr/>
        <w:t>Brush Application: Brush out and work brush coats into surfaces in an even film, filling all pores and voids at rate recommended in writing by manufacturer to achieve cured material thickness indicated. Finish coat with smooth, horizontal strokes.</w:t>
      </w:r>
    </w:p>
    <w:p>
      <w:pPr>
        <w:pStyle w:val="PR1"/>
        <w:numPr>
          <w:ilvl w:val="4"/>
          <w:numId w:val="1"/>
        </w:numPr>
        <w:ind w:hanging="0" w:left="0"/>
        <w:rPr/>
      </w:pPr>
      <w:r>
        <w:rPr/>
        <w:t>Spray Application: Apply each coat according to manufacturer's written instructions to provide the equivalent hiding of brush-applied coats. Follow spray application with a general light brooming of coated surface to impart a slight texture.</w:t>
      </w:r>
    </w:p>
    <w:p>
      <w:pPr>
        <w:pStyle w:val="ART"/>
        <w:numPr>
          <w:ilvl w:val="3"/>
          <w:numId w:val="1"/>
        </w:numPr>
        <w:ind w:hanging="0" w:left="0"/>
        <w:rPr/>
      </w:pPr>
      <w:r>
        <w:rPr/>
        <w:t>FIELD QUALITY CONTROL</w:t>
      </w:r>
    </w:p>
    <w:p>
      <w:pPr>
        <w:pStyle w:val="CMT"/>
        <w:rPr/>
      </w:pPr>
      <w:r>
        <w:rPr/>
        <w:t>Retain this article for large projects where additional control is needed. Delete if tests are not required.</w:t>
      </w:r>
    </w:p>
    <w:p>
      <w:pPr>
        <w:pStyle w:val="PR1"/>
        <w:numPr>
          <w:ilvl w:val="4"/>
          <w:numId w:val="1"/>
        </w:numPr>
        <w:ind w:hanging="0" w:left="0"/>
        <w:rPr/>
      </w:pPr>
      <w:r>
        <w:rPr/>
        <w:t>Testing of Coating Materials: Owner reserves the right to invoke the following procedure at any time and as often as Owner deems necessary during the period when coating operations are being conducted:</w:t>
      </w:r>
    </w:p>
    <w:p>
      <w:pPr>
        <w:pStyle w:val="PR2"/>
        <w:numPr>
          <w:ilvl w:val="5"/>
          <w:numId w:val="1"/>
        </w:numPr>
        <w:spacing w:before="240" w:after="0"/>
        <w:ind w:hanging="0" w:left="0"/>
        <w:rPr/>
      </w:pPr>
      <w:r>
        <w:rPr/>
        <w:t>Owner will engage the services of a qualified testing agency to sample coating materials being used. Samples of material delivered to Project site will be taken, identified, sealed, and certified in presence of Contractor.</w:t>
      </w:r>
    </w:p>
    <w:p>
      <w:pPr>
        <w:pStyle w:val="PR2"/>
        <w:numPr>
          <w:ilvl w:val="5"/>
          <w:numId w:val="1"/>
        </w:numPr>
        <w:ind w:hanging="0" w:left="0"/>
        <w:rPr/>
      </w:pPr>
      <w:r>
        <w:rPr/>
        <w:t>Testing agency will perform tests for compliance with product requirements specified.</w:t>
      </w:r>
    </w:p>
    <w:p>
      <w:pPr>
        <w:pStyle w:val="PR2"/>
        <w:numPr>
          <w:ilvl w:val="5"/>
          <w:numId w:val="1"/>
        </w:numPr>
        <w:ind w:hanging="0" w:left="0"/>
        <w:rPr/>
      </w:pPr>
      <w:r>
        <w:rPr/>
        <w:t>Owner may direct Contractor to stop coating application if test results show materials being used do not comply with requirements. Contractor shall remove noncomplying materials from Project site, pay for testing, and recoat surfaces coated with rejected materials. Contractor will be required to remove rejected materials from previously coated surfaces if, on recoating with complying materials, the two coatings are incompatible.</w:t>
      </w:r>
    </w:p>
    <w:p>
      <w:pPr>
        <w:pStyle w:val="ART"/>
        <w:numPr>
          <w:ilvl w:val="3"/>
          <w:numId w:val="1"/>
        </w:numPr>
        <w:ind w:hanging="0" w:left="0"/>
        <w:rPr/>
      </w:pPr>
      <w:r>
        <w:rPr/>
        <w:t>CLEANING AND PROTECTION</w:t>
      </w:r>
    </w:p>
    <w:p>
      <w:pPr>
        <w:pStyle w:val="PR1"/>
        <w:numPr>
          <w:ilvl w:val="4"/>
          <w:numId w:val="1"/>
        </w:numPr>
        <w:ind w:hanging="0" w:left="0"/>
        <w:rPr/>
      </w:pPr>
      <w:r>
        <w:rPr/>
        <w:t>At end of each workday, remove rubbish, empty cans, rags, and other discarded materials from Project site.</w:t>
      </w:r>
    </w:p>
    <w:p>
      <w:pPr>
        <w:pStyle w:val="PR1"/>
        <w:numPr>
          <w:ilvl w:val="4"/>
          <w:numId w:val="1"/>
        </w:numPr>
        <w:ind w:hanging="0" w:left="0"/>
        <w:rPr/>
      </w:pPr>
      <w:r>
        <w:rPr/>
        <w:t>After completing coating application, clean spattered surfaces. Remove spattered coatings by washing, scraping, or other methods. Do not scratch or damage adjacent finished surfaces.</w:t>
      </w:r>
    </w:p>
    <w:p>
      <w:pPr>
        <w:pStyle w:val="PR1"/>
        <w:numPr>
          <w:ilvl w:val="4"/>
          <w:numId w:val="1"/>
        </w:numPr>
        <w:ind w:hanging="0" w:left="0"/>
        <w:rPr/>
      </w:pPr>
      <w:r>
        <w:rPr/>
        <w:t>Protect work of other trades against damage from coating application. Correct damage to work of other trades by cleaning, repairing, replacing, and refinishing, as approved by Architect, and leave in an undamaged condition.</w:t>
      </w:r>
    </w:p>
    <w:p>
      <w:pPr>
        <w:pStyle w:val="PR1"/>
        <w:numPr>
          <w:ilvl w:val="4"/>
          <w:numId w:val="1"/>
        </w:numPr>
        <w:ind w:hanging="0" w:left="0"/>
        <w:rPr/>
      </w:pPr>
      <w:r>
        <w:rPr/>
        <w:t>At completion of construction activities of other trades, touch up and restore damaged or defaced coated surfaces.</w:t>
      </w:r>
    </w:p>
    <w:p>
      <w:pPr>
        <w:pStyle w:val="ART"/>
        <w:numPr>
          <w:ilvl w:val="3"/>
          <w:numId w:val="1"/>
        </w:numPr>
        <w:ind w:hanging="0" w:left="0"/>
        <w:rPr/>
      </w:pPr>
      <w:r>
        <w:rPr/>
        <w:t>CEMENTITIOUS COATING SCHEDULE</w:t>
      </w:r>
    </w:p>
    <w:p>
      <w:pPr>
        <w:pStyle w:val="CMT"/>
        <w:rPr/>
      </w:pPr>
      <w:r>
        <w:rPr/>
        <w:t>Below-grade applications and linings of surfaces subject to high hydrostatic pressure are not considered finish coatings in the context of this Section.</w:t>
      </w:r>
    </w:p>
    <w:p>
      <w:pPr>
        <w:pStyle w:val="PR1"/>
        <w:numPr>
          <w:ilvl w:val="4"/>
          <w:numId w:val="1"/>
        </w:numPr>
        <w:ind w:hanging="0" w:left="0"/>
        <w:rPr/>
      </w:pPr>
      <w:r>
        <w:rPr/>
        <w:t>Above-Grade Concrete and Masonry:</w:t>
      </w:r>
    </w:p>
    <w:p>
      <w:pPr>
        <w:pStyle w:val="PR2"/>
        <w:numPr>
          <w:ilvl w:val="5"/>
          <w:numId w:val="1"/>
        </w:numPr>
        <w:spacing w:before="240" w:after="0"/>
        <w:ind w:hanging="0" w:left="0"/>
        <w:rPr/>
      </w:pPr>
      <w:r>
        <w:rPr/>
        <w:t>Polymer-Modified Cementitious Coating:</w:t>
      </w:r>
    </w:p>
    <w:p>
      <w:pPr>
        <w:pStyle w:val="PR3"/>
        <w:numPr>
          <w:ilvl w:val="6"/>
          <w:numId w:val="1"/>
        </w:numPr>
        <w:spacing w:before="240" w:after="0"/>
        <w:ind w:hanging="0" w:left="0"/>
        <w:rPr/>
      </w:pPr>
      <w:r>
        <w:rPr/>
        <w:t>Prime Coat: As recommended in writing by topcoat manufacturer.</w:t>
      </w:r>
    </w:p>
    <w:p>
      <w:pPr>
        <w:pStyle w:val="PR3"/>
        <w:numPr>
          <w:ilvl w:val="6"/>
          <w:numId w:val="1"/>
        </w:numPr>
        <w:ind w:hanging="0" w:left="0"/>
        <w:rPr/>
      </w:pPr>
      <w:r>
        <w:rPr/>
        <w:t>Intermediate Coat: As recommended in writing by topcoat manufacturer.</w:t>
      </w:r>
    </w:p>
    <w:p>
      <w:pPr>
        <w:pStyle w:val="PR3"/>
        <w:numPr>
          <w:ilvl w:val="6"/>
          <w:numId w:val="1"/>
        </w:numPr>
        <w:ind w:hanging="0" w:left="0"/>
        <w:rPr/>
      </w:pPr>
      <w:r>
        <w:rPr/>
        <w:t>Topcoat: Polymer-modified cementitious coating.</w:t>
      </w:r>
    </w:p>
    <w:p>
      <w:pPr>
        <w:pStyle w:val="PR4"/>
        <w:numPr>
          <w:ilvl w:val="7"/>
          <w:numId w:val="1"/>
        </w:numPr>
        <w:spacing w:before="240" w:after="0"/>
        <w:ind w:hanging="0" w:left="0"/>
        <w:rPr/>
      </w:pPr>
      <w:r>
        <w:rPr/>
        <w:t>&lt;</w:t>
      </w:r>
      <w:r>
        <w:rPr>
          <w:b/>
        </w:rPr>
        <w:t>Insert manufacturer's name; product name or designation</w:t>
      </w:r>
      <w:r>
        <w:rPr/>
        <w:t>&gt;.</w:t>
      </w:r>
    </w:p>
    <w:p>
      <w:pPr>
        <w:pStyle w:val="EOS"/>
        <w:rPr/>
      </w:pPr>
      <w:r>
        <w:rPr/>
        <w:t>END OF SECTION 099726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CEMENTITIOUS COATINGS</w:t>
          </w:r>
        </w:p>
      </w:tc>
      <w:tc>
        <w:tcPr>
          <w:tcW w:w="1872" w:type="dxa"/>
          <w:tcBorders/>
        </w:tcPr>
        <w:p>
          <w:pPr>
            <w:pStyle w:val="RJUST"/>
            <w:rPr/>
          </w:pPr>
          <w:r>
            <w:rPr>
              <w:rStyle w:val="NUM"/>
            </w:rPr>
            <w:t>099726</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099726"/>
    <w:docVar w:name="MF95" w:val="09981"/>
    <w:docVar w:name="MFOrigin" w:val="MF04"/>
    <w:docVar w:name="SectionID" w:val="311"/>
    <w:docVar w:name="SpecType" w:val="MasterSpec"/>
    <w:docVar w:name="Version" w:val="1052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726&amp;ver=06-01-14&amp;format=FL&amp;sid=10527&amp;utm_source=MasterSpec&amp;utm_medium=Word" TargetMode="External"/><Relationship Id="rId3" Type="http://schemas.openxmlformats.org/officeDocument/2006/relationships/hyperlink" Target="http://www.arcomnet.com/sustainable_design.aspx?topic=218" TargetMode="External"/><Relationship Id="rId4" Type="http://schemas.openxmlformats.org/officeDocument/2006/relationships/hyperlink" Target="http://www.specagent.com/LookUp/?ulid=11847&amp;mf=04&amp;src=wd" TargetMode="External"/><Relationship Id="rId5" Type="http://schemas.openxmlformats.org/officeDocument/2006/relationships/hyperlink" Target="http://www.arcomnet.com/sustainable_design.aspx?topic=219"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2022-09-26T02:22:00Z</dcterms:created>
  <dc:creator>Deltek, Inc.</dc:creator>
  <dc:description/>
  <cp:keywords>BAS-12345-MS80</cp:keywords>
  <dc:language>zh-CN</dc:language>
  <cp:lastModifiedBy>Janice Nacional</cp:lastModifiedBy>
  <dcterms:modified xsi:type="dcterms:W3CDTF">2022-09-26T02:22:00Z</dcterms:modified>
  <cp:revision>2</cp:revision>
  <dc:subject>CEMENTITIOUS COATINGS</dc:subject>
  <dc:title>SECTION 099726 - CEMENTITIOUS COATINGS</dc:title>
</cp:coreProperties>
</file>