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101146</w:t>
      </w:r>
      <w:r>
        <w:rPr/>
        <w:t xml:space="preserve"> - </w:t>
      </w:r>
      <w:r>
        <w:rPr>
          <w:rStyle w:val="NAM"/>
        </w:rPr>
        <w:t>VISUAL DISPLAY FABRICS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dry-erase wall coverings.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097200 "Wall Coverings" for standard vinyl wall coverings.</w:t>
      </w:r>
    </w:p>
    <w:p>
      <w:pPr>
        <w:pStyle w:val="PR2"/>
        <w:numPr>
          <w:ilvl w:val="5"/>
          <w:numId w:val="1"/>
        </w:numPr>
        <w:ind w:hanging="0" w:left="0"/>
        <w:rPr/>
      </w:pPr>
      <w:r>
        <w:rPr/>
        <w:t>Section 101100 "Visual Display Units" for manufactured visual display units, including markerboards.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dry-erase wall covering. Include data on physical characteristics, durability, and flame-resistance characteristics.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adhesives.&gt;</w:t>
        </w:r>
      </w:hyperlink>
    </w:p>
    <w:p>
      <w:pPr>
        <w:pStyle w:val="PR1"/>
        <w:numPr>
          <w:ilvl w:val="4"/>
          <w:numId w:val="1"/>
        </w:numPr>
        <w:ind w:hanging="0" w:left="0"/>
        <w:rPr/>
      </w:pPr>
      <w:r>
        <w:rPr/>
        <w:t>Shop Drawings: Show location and extent. Indicate seams and termination points.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type of dry-erase wall covering.</w:t>
      </w:r>
    </w:p>
    <w:p>
      <w:pPr>
        <w:pStyle w:val="PR1"/>
        <w:numPr>
          <w:ilvl w:val="4"/>
          <w:numId w:val="1"/>
        </w:numPr>
        <w:ind w:hanging="0" w:left="0"/>
        <w:rPr/>
      </w:pPr>
      <w:r>
        <w:rPr/>
        <w:t>Samples for Initial Selection: For each type of dry-erase wall covering.</w:t>
      </w:r>
    </w:p>
    <w:p>
      <w:pPr>
        <w:pStyle w:val="PR1"/>
        <w:numPr>
          <w:ilvl w:val="4"/>
          <w:numId w:val="1"/>
        </w:numPr>
        <w:ind w:hanging="0" w:left="0"/>
        <w:rPr/>
      </w:pPr>
      <w:r>
        <w:rPr/>
        <w:t>Samples for Verification: Full width by [</w:t>
      </w:r>
      <w:r>
        <w:rPr>
          <w:rStyle w:val="IP"/>
          <w:b/>
        </w:rPr>
        <w:t>36-</w:t>
      </w:r>
      <w:r>
        <w:rPr>
          <w:rStyle w:val="SI"/>
          <w:b/>
        </w:rPr>
        <w:t xml:space="preserve"> (914-)</w:t>
      </w:r>
      <w:r>
        <w:rPr/>
        <w:t>] &lt;</w:t>
      </w:r>
      <w:r>
        <w:rPr>
          <w:b/>
        </w:rPr>
        <w:t>Insert dimension</w:t>
      </w:r>
      <w:r>
        <w:rPr/>
        <w:t xml:space="preserve">&gt; </w:t>
      </w:r>
      <w:r>
        <w:rPr>
          <w:rStyle w:val="IP"/>
        </w:rPr>
        <w:t>inch-</w:t>
      </w:r>
      <w:r>
        <w:rPr>
          <w:rStyle w:val="SI"/>
        </w:rPr>
        <w:t xml:space="preserve"> (mm-)</w:t>
      </w:r>
      <w:r>
        <w:rPr/>
        <w:t xml:space="preserve"> long section of dry-erase wall covering.</w:t>
      </w:r>
    </w:p>
    <w:p>
      <w:pPr>
        <w:pStyle w:val="PR1"/>
        <w:numPr>
          <w:ilvl w:val="4"/>
          <w:numId w:val="1"/>
        </w:numPr>
        <w:ind w:hanging="0" w:left="0"/>
        <w:rPr/>
      </w:pPr>
      <w:r>
        <w:rPr/>
        <w:t>Product Schedule: For dry-erase wall coverings.[</w:t>
      </w:r>
      <w:r>
        <w:rPr>
          <w:b/>
        </w:rPr>
        <w:t> Use same designations indicated on Drawings.</w:t>
      </w:r>
      <w:r>
        <w:rPr/>
        <w:t>]</w:t>
      </w:r>
    </w:p>
    <w:p>
      <w:pPr>
        <w:pStyle w:val="ART"/>
        <w:numPr>
          <w:ilvl w:val="3"/>
          <w:numId w:val="1"/>
        </w:numPr>
        <w:ind w:hanging="0" w:left="0"/>
        <w:rPr/>
      </w:pPr>
      <w:r>
        <w:rPr/>
        <w:t>INFORMATIONAL SUBMITTALS</w:t>
      </w:r>
    </w:p>
    <w:p>
      <w:pPr>
        <w:pStyle w:val="PR1"/>
        <w:numPr>
          <w:ilvl w:val="4"/>
          <w:numId w:val="1"/>
        </w:numPr>
        <w:ind w:hanging="0" w:left="0"/>
        <w:rPr/>
      </w:pPr>
      <w:r>
        <w:rPr/>
        <w:t>Product Test Reports: For surface-burning characteristics of each type of dry-erase wall covering,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CLOSEOUT SUBMITTALS</w:t>
      </w:r>
    </w:p>
    <w:p>
      <w:pPr>
        <w:pStyle w:val="PR1"/>
        <w:numPr>
          <w:ilvl w:val="4"/>
          <w:numId w:val="1"/>
        </w:numPr>
        <w:ind w:hanging="0" w:left="0"/>
        <w:rPr/>
      </w:pPr>
      <w:r>
        <w:rPr/>
        <w:t>Maintenance Data: For dry-erase wall coverings to include in maintenance manuals.</w:t>
      </w:r>
    </w:p>
    <w:p>
      <w:pPr>
        <w:pStyle w:val="ART"/>
        <w:numPr>
          <w:ilvl w:val="3"/>
          <w:numId w:val="1"/>
        </w:numPr>
        <w:ind w:hanging="0" w:left="0"/>
        <w:rPr/>
      </w:pPr>
      <w:r>
        <w:rPr/>
        <w:t>QUALITY ASSURANCE</w:t>
      </w:r>
    </w:p>
    <w:p>
      <w:pPr>
        <w:pStyle w:val="PR1"/>
        <w:numPr>
          <w:ilvl w:val="4"/>
          <w:numId w:val="1"/>
        </w:numPr>
        <w:ind w:hanging="0" w:left="0"/>
        <w:rPr/>
      </w:pPr>
      <w:r>
        <w:rPr/>
        <w:t>Mockups: Build mockups to verify selections made under Sample submittals, to demonstrate aesthetic effects, and to set quality standards for installation.</w:t>
      </w:r>
    </w:p>
    <w:p>
      <w:pPr>
        <w:pStyle w:val="CMT"/>
        <w:rPr/>
      </w:pPr>
      <w:r>
        <w:rPr/>
        <w:t>Retain first subparagraph below for large-scale mockup. Mockups may be especially prudent for floor-to-ceiling installations and for projects with multiple installations of dry-erase wall coverings. Indicate portion of wall represented by mockup on Drawings or draw mockup as separate element.</w:t>
      </w:r>
    </w:p>
    <w:p>
      <w:pPr>
        <w:pStyle w:val="PR2"/>
        <w:numPr>
          <w:ilvl w:val="5"/>
          <w:numId w:val="1"/>
        </w:numPr>
        <w:spacing w:before="240" w:after="0"/>
        <w:ind w:hanging="0" w:left="0"/>
        <w:rPr/>
      </w:pPr>
      <w:r>
        <w:rPr/>
        <w:t>Build mockup of typical dry-erase wall covering as shown on Drawings.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ind w:hanging="0" w:left="0"/>
        <w:rPr/>
      </w:pPr>
      <w:r>
        <w:rPr/>
        <w:t>Environmental Limitations: Do not deliver or install dry-erase wall coverings until spaces are enclosed and weathertight, wet-work in spaces is complete and dry, work above ceilings is complete, and temporary HVAC system is operating and maintaining ambient temperature and humidity conditions at occupancy levels during the remainder of the construction period.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"Surface-Burning Characteristics" Paragraph below if dry-erase wall coverings are flammable and testing is required by authorities having jurisdiction. Confirm availability of products complying with surface-burning with manufacturers.</w:t>
      </w:r>
    </w:p>
    <w:p>
      <w:pPr>
        <w:pStyle w:val="PR1"/>
        <w:numPr>
          <w:ilvl w:val="4"/>
          <w:numId w:val="1"/>
        </w:numPr>
        <w:ind w:hanging="0" w:left="0"/>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ind w:hanging="0" w:left="0"/>
        <w:rPr/>
      </w:pPr>
      <w:r>
        <w:rPr/>
        <w:t>Flame-Spread Index: [</w:t>
      </w:r>
      <w:r>
        <w:rPr>
          <w:b/>
        </w:rPr>
        <w:t>25</w:t>
      </w:r>
      <w:r>
        <w:rPr/>
        <w:t>] &lt;</w:t>
      </w:r>
      <w:r>
        <w:rPr>
          <w:b/>
        </w:rPr>
        <w:t>Insert value</w:t>
      </w:r>
      <w:r>
        <w:rPr/>
        <w:t>&gt; or less.</w:t>
      </w:r>
    </w:p>
    <w:p>
      <w:pPr>
        <w:pStyle w:val="PR2"/>
        <w:numPr>
          <w:ilvl w:val="5"/>
          <w:numId w:val="1"/>
        </w:numPr>
        <w:ind w:hanging="0" w:left="0"/>
        <w:rPr/>
      </w:pPr>
      <w:r>
        <w:rPr/>
        <w:t>Smoke-Developed Index: [</w:t>
      </w:r>
      <w:r>
        <w:rPr>
          <w:b/>
        </w:rPr>
        <w:t>50</w:t>
      </w:r>
      <w:r>
        <w:rPr/>
        <w:t>] [</w:t>
      </w:r>
      <w:r>
        <w:rPr>
          <w:b/>
        </w:rPr>
        <w:t>450</w:t>
      </w:r>
      <w:r>
        <w:rPr/>
        <w:t>] &lt;</w:t>
      </w:r>
      <w:r>
        <w:rPr>
          <w:b/>
        </w:rPr>
        <w:t>Insert value</w:t>
      </w:r>
      <w:r>
        <w:rPr/>
        <w:t>&gt; or less.</w:t>
      </w:r>
    </w:p>
    <w:p>
      <w:pPr>
        <w:pStyle w:val="ART"/>
        <w:numPr>
          <w:ilvl w:val="3"/>
          <w:numId w:val="1"/>
        </w:numPr>
        <w:ind w:hanging="0" w:left="0"/>
        <w:rPr/>
      </w:pPr>
      <w:r>
        <w:rPr/>
        <w:t>DRY-ERASE WALL COVERINGS</w:t>
      </w:r>
    </w:p>
    <w:p>
      <w:pPr>
        <w:pStyle w:val="CMT"/>
        <w:rPr/>
      </w:pPr>
      <w:r>
        <w:rPr/>
        <w:t>Verify properties of manufacturers' products before revising "Dry-Erase Wall Covering" Paragraph below. Retain second, third, or fourth option if limiting gloss characteristics; confirm availability with manufacturers.</w:t>
      </w:r>
    </w:p>
    <w:p>
      <w:pPr>
        <w:pStyle w:val="PR1"/>
        <w:numPr>
          <w:ilvl w:val="4"/>
          <w:numId w:val="1"/>
        </w:numPr>
        <w:ind w:hanging="0" w:left="0"/>
        <w:rPr/>
      </w:pPr>
      <w:r>
        <w:rPr/>
        <w:t>Dry-Erase Wall Covering: Intended for use with dry-erase markers[</w:t>
      </w:r>
      <w:r>
        <w:rPr>
          <w:b/>
        </w:rPr>
        <w:t> and as a projection surface</w:t>
      </w:r>
      <w:r>
        <w:rPr/>
        <w:t>] and consisting of [</w:t>
      </w:r>
      <w:r>
        <w:rPr>
          <w:b/>
        </w:rPr>
        <w:t>low-gloss</w:t>
      </w:r>
      <w:r>
        <w:rPr/>
        <w:t>] [</w:t>
      </w:r>
      <w:r>
        <w:rPr>
          <w:b/>
        </w:rPr>
        <w:t>moderate-gloss</w:t>
      </w:r>
      <w:r>
        <w:rPr/>
        <w:t>] [</w:t>
      </w:r>
      <w:r>
        <w:rPr>
          <w:b/>
        </w:rPr>
        <w:t>high-gloss</w:t>
      </w:r>
      <w:r>
        <w:rPr/>
        <w:t>] plastic film bonded to fabric backing.</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"Surface Graphics" Subparagraph below if required.</w:t>
      </w:r>
    </w:p>
    <w:p>
      <w:pPr>
        <w:pStyle w:val="PR2"/>
        <w:numPr>
          <w:ilvl w:val="5"/>
          <w:numId w:val="1"/>
        </w:numPr>
        <w:ind w:hanging="0" w:left="0"/>
        <w:rPr/>
      </w:pPr>
      <w:r>
        <w:rPr/>
        <w:t xml:space="preserve">Surface Graphics: </w:t>
      </w:r>
      <w:r>
        <w:rPr>
          <w:rStyle w:val="IP"/>
        </w:rPr>
        <w:t>2-inch-</w:t>
      </w:r>
      <w:r>
        <w:rPr>
          <w:rStyle w:val="SI"/>
        </w:rPr>
        <w:t xml:space="preserve"> (50-mm-)</w:t>
      </w:r>
      <w:r>
        <w:rPr/>
        <w:t xml:space="preserve"> square grid.</w:t>
      </w:r>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ind w:hanging="0" w:left="0"/>
        <w:rPr/>
      </w:pPr>
      <w:r>
        <w:rPr/>
        <w:t>Magnetic Dry-Erase Wall Covering: Intended for use with dry-erase markers and magnetic aids and consisting of moderate-gloss plastic film bonded to ferrous-powdered fabric backing.</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ind w:hanging="0" w:left="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Delete "Adhesives for Field Application" Paragraph below if using self-adhesive, dry-erase wall covering.</w:t>
      </w:r>
    </w:p>
    <w:p>
      <w:pPr>
        <w:pStyle w:val="PR1"/>
        <w:numPr>
          <w:ilvl w:val="4"/>
          <w:numId w:val="1"/>
        </w:numPr>
        <w:ind w:hanging="0" w:left="0"/>
        <w:rPr/>
      </w:pPr>
      <w:r>
        <w:rPr/>
        <w:t>Adhesives for Field Application: Strippable, mildew-resistant, nonstaining adhesive for use with dry-erase wall coverings; and for substrate application; as recommended in writing by dry-erase wall covering manufacturer.</w:t>
      </w:r>
    </w:p>
    <w:p>
      <w:pPr>
        <w:pStyle w:val="PR2"/>
        <w:numPr>
          <w:ilvl w:val="5"/>
          <w:numId w:val="1"/>
        </w:numPr>
        <w:spacing w:before="240" w:after="0"/>
        <w:ind w:hanging="0" w:left="0"/>
        <w:rPr/>
      </w:pPr>
      <w:hyperlink r:id="rId6">
        <w:r>
          <w:rPr>
            <w:rStyle w:val="Hyperlink"/>
          </w:rPr>
          <w:t>&lt;Double click to insert sustainable design text for VOC content of adhesive.&gt;</w:t>
        </w:r>
      </w:hyperlink>
    </w:p>
    <w:p>
      <w:pPr>
        <w:pStyle w:val="PR2"/>
        <w:numPr>
          <w:ilvl w:val="5"/>
          <w:numId w:val="1"/>
        </w:numPr>
        <w:ind w:hanging="0" w:left="0"/>
        <w:rPr/>
      </w:pPr>
      <w:hyperlink r:id="rId7">
        <w:r>
          <w:rPr>
            <w:rStyle w:val="Hyperlink"/>
          </w:rPr>
          <w:t>&lt;Double click to insert sustainable design text for low emitting adhesives.&gt;</w:t>
        </w:r>
      </w:hyperlink>
    </w:p>
    <w:p>
      <w:pPr>
        <w:pStyle w:val="CMT"/>
        <w:rPr/>
      </w:pPr>
      <w:r>
        <w:rPr/>
        <w:t>Delete "Primer/Sealer" Paragraph below if primer/sealer is specified in another Section. If not, retain paragraph or revise Section Text to include primer/sealer here.</w:t>
      </w:r>
    </w:p>
    <w:p>
      <w:pPr>
        <w:pStyle w:val="PR1"/>
        <w:numPr>
          <w:ilvl w:val="4"/>
          <w:numId w:val="1"/>
        </w:numPr>
        <w:ind w:hanging="0" w:left="0"/>
        <w:rPr/>
      </w:pPr>
      <w:r>
        <w:rPr/>
        <w:t>Primer/Sealer: Mildew-resistant primer/sealer complying with requirements in [</w:t>
      </w:r>
      <w:r>
        <w:rPr>
          <w:b/>
        </w:rPr>
        <w:t>Section 099123 "Interior Painting"</w:t>
      </w:r>
      <w:r>
        <w:rPr/>
        <w:t>] &lt;</w:t>
      </w:r>
      <w:r>
        <w:rPr>
          <w:b/>
        </w:rPr>
        <w:t>Insert Section number and title</w:t>
      </w:r>
      <w:r>
        <w:rPr/>
        <w:t>&gt; and recommended in writing by dry-erase wall covering manufacturer for intended substrate.</w:t>
      </w:r>
    </w:p>
    <w:p>
      <w:pPr>
        <w:pStyle w:val="CMT"/>
        <w:rPr/>
      </w:pPr>
      <w:r>
        <w:rPr/>
        <w:t>If needed, insert other accessories, such as marker trays.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for installation tolerances, surface conditions of wall, moisture content, and other conditions affecting performance of the Work.</w:t>
      </w:r>
    </w:p>
    <w:p>
      <w:pPr>
        <w:pStyle w:val="PR1"/>
        <w:numPr>
          <w:ilvl w:val="4"/>
          <w:numId w:val="1"/>
        </w:numPr>
        <w:ind w:hanging="0" w:left="0"/>
        <w:rPr/>
      </w:pPr>
      <w:r>
        <w:rPr/>
        <w:t>Examine walls and partitions for proper preparation for dry-erase wall covering.</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ind w:hanging="0" w:left="0"/>
        <w:rPr/>
      </w:pPr>
      <w:r>
        <w:rPr/>
        <w:t>Comply with manufacturer's written instructions for surface preparation.</w:t>
      </w:r>
    </w:p>
    <w:p>
      <w:pPr>
        <w:pStyle w:val="PR1"/>
        <w:numPr>
          <w:ilvl w:val="4"/>
          <w:numId w:val="1"/>
        </w:numPr>
        <w:ind w:hanging="0" w:left="0"/>
        <w:rPr/>
      </w:pPr>
      <w:r>
        <w:rPr/>
        <w:t>Clean substrates of substances, including dirt, mold, and mildew, that could impair the bond of dry-erase wall coverings or affect the smooth, finished surfaces of dry-erase wall coverings.</w:t>
      </w:r>
    </w:p>
    <w:p>
      <w:pPr>
        <w:pStyle w:val="PR1"/>
        <w:numPr>
          <w:ilvl w:val="4"/>
          <w:numId w:val="1"/>
        </w:numPr>
        <w:ind w:hanging="0" w:left="0"/>
        <w:rPr/>
      </w:pPr>
      <w:r>
        <w:rPr/>
        <w:t>Prepare surfaces to achieve a smooth, dry, clean surface free of flaking, unsound coatings, cracks, defects, projections, and depressions.</w:t>
      </w:r>
    </w:p>
    <w:p>
      <w:pPr>
        <w:pStyle w:val="PR1"/>
        <w:numPr>
          <w:ilvl w:val="4"/>
          <w:numId w:val="1"/>
        </w:numPr>
        <w:ind w:hanging="0" w:left="0"/>
        <w:rPr/>
      </w:pPr>
      <w:r>
        <w:rPr/>
        <w:t>Prepare substrates indicated to receive dry-erase wall covering as required by manufacturer's written instructions to achieve a smooth, dry, clean, structurally sound surface that is uniform in color.</w:t>
      </w:r>
    </w:p>
    <w:p>
      <w:pPr>
        <w:pStyle w:val="PR2"/>
        <w:numPr>
          <w:ilvl w:val="5"/>
          <w:numId w:val="1"/>
        </w:numPr>
        <w:spacing w:before="240" w:after="0"/>
        <w:ind w:hanging="0" w:left="0"/>
        <w:rPr/>
      </w:pPr>
      <w:r>
        <w:rPr/>
        <w:t>Moisture Content: Maximum of [</w:t>
      </w:r>
      <w:r>
        <w:rPr>
          <w:b/>
        </w:rPr>
        <w:t>4</w:t>
      </w:r>
      <w:r>
        <w:rPr/>
        <w:t>] &lt;</w:t>
      </w:r>
      <w:r>
        <w:rPr>
          <w:b/>
        </w:rPr>
        <w:t>Insert number</w:t>
      </w:r>
      <w:r>
        <w:rPr/>
        <w:t>&gt; percent when tested with an electronic moisture meter.</w:t>
      </w:r>
    </w:p>
    <w:p>
      <w:pPr>
        <w:pStyle w:val="PR2"/>
        <w:numPr>
          <w:ilvl w:val="5"/>
          <w:numId w:val="1"/>
        </w:numPr>
        <w:ind w:hanging="0" w:left="0"/>
        <w:rPr/>
      </w:pPr>
      <w:r>
        <w:rPr/>
        <w:t>Metals: If not factory primed, clean and apply metal as recommended in writing by primer/sealer manufacturer and wall-covering manufacturer.</w:t>
      </w:r>
    </w:p>
    <w:p>
      <w:pPr>
        <w:pStyle w:val="CMT"/>
        <w:rPr/>
      </w:pPr>
      <w:r>
        <w:rPr/>
        <w:t>Delete "Plaster" and "Gypsum Board" subparagraphs below if priming of plaster and gypsum board surfaces is performed in another Section.</w:t>
      </w:r>
    </w:p>
    <w:p>
      <w:pPr>
        <w:pStyle w:val="PR2"/>
        <w:numPr>
          <w:ilvl w:val="5"/>
          <w:numId w:val="1"/>
        </w:numPr>
        <w:ind w:hanging="0" w:left="0"/>
        <w:rPr/>
      </w:pPr>
      <w:r>
        <w:rPr/>
        <w:t>Plaster: Allow new plaster to cure. Neutralize areas of high alkalinity. Prime with primer as recommended in writing by primer/sealer manufacturer and wall-covering manufacturer.</w:t>
      </w:r>
    </w:p>
    <w:p>
      <w:pPr>
        <w:pStyle w:val="PR2"/>
        <w:numPr>
          <w:ilvl w:val="5"/>
          <w:numId w:val="1"/>
        </w:numPr>
        <w:ind w:hanging="0" w:left="0"/>
        <w:rPr/>
      </w:pPr>
      <w:r>
        <w:rPr/>
        <w:t>Gypsum Board: Prime with primer as recommended in writing by primer/sealer manufacturer and wall-covering manufacturer.</w:t>
      </w:r>
    </w:p>
    <w:p>
      <w:pPr>
        <w:pStyle w:val="PR2"/>
        <w:numPr>
          <w:ilvl w:val="5"/>
          <w:numId w:val="1"/>
        </w:numPr>
        <w:ind w:hanging="0" w:left="0"/>
        <w:rPr/>
      </w:pPr>
      <w:r>
        <w:rPr/>
        <w:t>Painted Surfaces: Treat areas susceptible to pigment bleeding.</w:t>
      </w:r>
    </w:p>
    <w:p>
      <w:pPr>
        <w:pStyle w:val="ART"/>
        <w:numPr>
          <w:ilvl w:val="3"/>
          <w:numId w:val="1"/>
        </w:numPr>
        <w:ind w:hanging="0" w:left="0"/>
        <w:rPr/>
      </w:pPr>
      <w:r>
        <w:rPr/>
        <w:t>INSTALLATION</w:t>
      </w:r>
    </w:p>
    <w:p>
      <w:pPr>
        <w:pStyle w:val="PR1"/>
        <w:numPr>
          <w:ilvl w:val="4"/>
          <w:numId w:val="1"/>
        </w:numPr>
        <w:ind w:hanging="0" w:left="0"/>
        <w:rPr/>
      </w:pPr>
      <w:r>
        <w:rPr/>
        <w:t>Dry-Erase Wall Covering: Comply with dry-erase wall-covering manufacturers' written installation instructions.</w:t>
      </w:r>
    </w:p>
    <w:p>
      <w:pPr>
        <w:pStyle w:val="CMT"/>
        <w:rPr/>
      </w:pPr>
      <w:r>
        <w:rPr/>
        <w:t>Manufacturers recommend installing with horizontal seams; however, vertical seam installations are possible. Revise first subparagraph below to suit Project.</w:t>
      </w:r>
    </w:p>
    <w:p>
      <w:pPr>
        <w:pStyle w:val="PR2"/>
        <w:numPr>
          <w:ilvl w:val="5"/>
          <w:numId w:val="1"/>
        </w:numPr>
        <w:spacing w:before="240" w:after="0"/>
        <w:ind w:hanging="0" w:left="0"/>
        <w:rPr/>
      </w:pPr>
      <w:r>
        <w:rPr/>
        <w:t>Install seams horizontal and level, with lowest seam [</w:t>
      </w:r>
      <w:r>
        <w:rPr>
          <w:rStyle w:val="IP"/>
          <w:b/>
        </w:rPr>
        <w:t>24</w:t>
      </w:r>
      <w:r>
        <w:rPr>
          <w:rStyle w:val="SI"/>
          <w:b/>
        </w:rPr>
        <w:t xml:space="preserve"> (610)</w:t>
      </w:r>
      <w:r>
        <w:rPr/>
        <w:t>] &lt;</w:t>
      </w:r>
      <w:r>
        <w:rPr>
          <w:b/>
        </w:rPr>
        <w:t>Insert dimension</w:t>
      </w:r>
      <w:r>
        <w:rPr/>
        <w:t xml:space="preserve">&gt; </w:t>
      </w:r>
      <w:r>
        <w:rPr>
          <w:rStyle w:val="IP"/>
        </w:rPr>
        <w:t>inches</w:t>
      </w:r>
      <w:r>
        <w:rPr>
          <w:rStyle w:val="SI"/>
        </w:rPr>
        <w:t xml:space="preserve"> (mm)</w:t>
      </w:r>
      <w:r>
        <w:rPr/>
        <w:t xml:space="preserve"> above finished floor. Railroad fabric (reverse roll direction) to ensure color matching.</w:t>
      </w:r>
    </w:p>
    <w:p>
      <w:pPr>
        <w:pStyle w:val="PR2"/>
        <w:numPr>
          <w:ilvl w:val="5"/>
          <w:numId w:val="1"/>
        </w:numPr>
        <w:ind w:hanging="0" w:left="0"/>
        <w:rPr/>
      </w:pPr>
      <w:r>
        <w:rPr/>
        <w:t>Double cut seams, with no gaps or overlaps. Remove air bubbles, wrinkles, blisters, and other defects.</w:t>
      </w:r>
    </w:p>
    <w:p>
      <w:pPr>
        <w:pStyle w:val="PR2"/>
        <w:numPr>
          <w:ilvl w:val="5"/>
          <w:numId w:val="1"/>
        </w:numPr>
        <w:ind w:hanging="0" w:left="0"/>
        <w:rPr/>
      </w:pPr>
      <w:r>
        <w:rPr/>
        <w:t>After installation, clean dry-erase wall covering in accordance with manufacturer's written instructions. Remove excess adhesive at finished seams, perimeter edges, and adjacent surfaces.</w:t>
      </w:r>
    </w:p>
    <w:p>
      <w:pPr>
        <w:pStyle w:val="ART"/>
        <w:numPr>
          <w:ilvl w:val="3"/>
          <w:numId w:val="1"/>
        </w:numPr>
        <w:ind w:hanging="0" w:left="0"/>
        <w:rPr/>
      </w:pPr>
      <w:r>
        <w:rPr/>
        <w:t>CLEANING AND PROTECTION</w:t>
      </w:r>
    </w:p>
    <w:p>
      <w:pPr>
        <w:pStyle w:val="PR1"/>
        <w:numPr>
          <w:ilvl w:val="4"/>
          <w:numId w:val="1"/>
        </w:numPr>
        <w:ind w:hanging="0" w:left="0"/>
        <w:rPr/>
      </w:pPr>
      <w:r>
        <w:rPr/>
        <w:t>Remove excess adhesive at finished seams, perimeter edges, and adjacent surfaces.</w:t>
      </w:r>
    </w:p>
    <w:p>
      <w:pPr>
        <w:pStyle w:val="PR1"/>
        <w:numPr>
          <w:ilvl w:val="4"/>
          <w:numId w:val="1"/>
        </w:numPr>
        <w:ind w:hanging="0" w:left="0"/>
        <w:rPr/>
      </w:pPr>
      <w:r>
        <w:rPr/>
        <w:t>Clean dry-erase wall covering in accordance with manufacturer's written instructions. Attach one removable cleaning instructions label to dry-erase wall covering in each room.</w:t>
      </w:r>
    </w:p>
    <w:p>
      <w:pPr>
        <w:pStyle w:val="PR1"/>
        <w:numPr>
          <w:ilvl w:val="4"/>
          <w:numId w:val="1"/>
        </w:numPr>
        <w:ind w:hanging="0" w:left="0"/>
        <w:rPr/>
      </w:pPr>
      <w:r>
        <w:rPr/>
        <w:t>Reinstall hardware and hardware accessories, electrical plates and covers, light fixture trims, and similar items.</w:t>
      </w:r>
    </w:p>
    <w:p>
      <w:pPr>
        <w:pStyle w:val="EOS"/>
        <w:rPr/>
      </w:pPr>
      <w:r>
        <w:rPr/>
        <w:t>END OF SECTION 101146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VISUAL DISPLAY FABRICS</w:t>
          </w:r>
        </w:p>
      </w:tc>
      <w:tc>
        <w:tcPr>
          <w:tcW w:w="1872" w:type="dxa"/>
          <w:tcBorders/>
        </w:tcPr>
        <w:p>
          <w:pPr>
            <w:pStyle w:val="RJUST"/>
            <w:rPr/>
          </w:pPr>
          <w:r>
            <w:rPr>
              <w:rStyle w:val="NUM"/>
            </w:rPr>
            <w:t>101146</w:t>
          </w:r>
          <w:r>
            <w:rPr/>
            <w:t xml:space="preserve"> - </w:t>
          </w:r>
          <w:r>
            <w:rPr/>
            <w:fldChar w:fldCharType="begin"/>
          </w:r>
          <w:r>
            <w:rPr/>
            <w:instrText xml:space="preserve"> PAGE </w:instrText>
          </w:r>
          <w:r>
            <w:rPr/>
            <w:fldChar w:fldCharType="separate"/>
          </w:r>
          <w:r>
            <w:rPr/>
            <w:t>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12/17</w:t>
    </w:r>
    <w:r>
      <mc:AlternateContent>
        <mc:Choice Requires="wps">
          <w:drawing>
            <wp:anchor behindDoc="1" distT="0" distB="0" distL="114935" distR="114935" simplePos="0" locked="0" layoutInCell="1" allowOverlap="1" relativeHeight="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7"/>
    <w:docVar w:name="Format" w:val="1"/>
    <w:docVar w:name="MF04" w:val="101146"/>
    <w:docVar w:name="MF95" w:val="10146"/>
    <w:docVar w:name="MFOrigin" w:val="MF04"/>
    <w:docVar w:name="SectionID" w:val="3212"/>
    <w:docVar w:name="SpecType" w:val="MasterSpec"/>
    <w:docVar w:name="Version" w:val="128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146&amp;ver=12-01-17&amp;format=FL&amp;sid=12870&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9370&amp;mf=04&amp;src=wd" TargetMode="External"/><Relationship Id="rId5" Type="http://schemas.openxmlformats.org/officeDocument/2006/relationships/hyperlink" Target="http://www.specagent.com/LookUp/?ulid=9371&amp;mf=04&amp;src=wd" TargetMode="External"/><Relationship Id="rId6" Type="http://schemas.openxmlformats.org/officeDocument/2006/relationships/hyperlink" Target="http://www.arcomnet.com/sustainable_design.aspx?topic=142" TargetMode="External"/><Relationship Id="rId7" Type="http://schemas.openxmlformats.org/officeDocument/2006/relationships/hyperlink" Target="http://www.arcomnet.com/sustainable_design.aspx?topic=140"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2022-09-26T02:22:00Z</dcterms:created>
  <dc:creator>Deltek, Inc.</dc:creator>
  <dc:description/>
  <cp:keywords>BAS-12345-MS80</cp:keywords>
  <dc:language>zh-CN</dc:language>
  <cp:lastModifiedBy>Janice Nacional</cp:lastModifiedBy>
  <dcterms:modified xsi:type="dcterms:W3CDTF">2022-09-26T02:22:00Z</dcterms:modified>
  <cp:revision>2</cp:revision>
  <dc:subject>VISUAL DISPLAY FABRICS</dc:subject>
  <dc:title>SECTION 101146 - VISUAL DISPLAY FABRICS</dc:title>
</cp:coreProperties>
</file>