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Deltek, Inc. for the AIA</w:t>
      </w:r>
    </w:p>
    <w:p>
      <w:pPr>
        <w:pStyle w:val="SCT"/>
        <w:rPr/>
      </w:pPr>
      <w:r>
        <w:rPr/>
        <w:t xml:space="preserve">SECTION </w:t>
      </w:r>
      <w:r>
        <w:rPr>
          <w:rStyle w:val="NUM"/>
        </w:rPr>
        <w:t>101429</w:t>
      </w:r>
      <w:r>
        <w:rPr/>
        <w:t xml:space="preserve"> - </w:t>
      </w:r>
      <w:r>
        <w:rPr>
          <w:rStyle w:val="NAM"/>
        </w:rPr>
        <w:t>MODULAR SIGNAGE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Modular signs.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101300 "Directories" for building directories enclosed in cases or illuminated.</w:t>
      </w:r>
    </w:p>
    <w:p>
      <w:pPr>
        <w:pStyle w:val="PR2"/>
        <w:numPr>
          <w:ilvl w:val="5"/>
          <w:numId w:val="1"/>
        </w:numPr>
        <w:rPr/>
      </w:pPr>
      <w:r>
        <w:rPr/>
        <w:t>Section 101423 "Panel Signage" for one-piece signs.</w:t>
      </w:r>
    </w:p>
    <w:p>
      <w:pPr>
        <w:pStyle w:val="PR2"/>
        <w:numPr>
          <w:ilvl w:val="5"/>
          <w:numId w:val="1"/>
        </w:numPr>
        <w:rPr/>
      </w:pPr>
      <w:r>
        <w:rPr/>
        <w:t>Section 101423.16 "Room-Identification Signage" for panel-type room-identification signs.</w:t>
      </w:r>
    </w:p>
    <w:p>
      <w:pPr>
        <w:pStyle w:val="PR2"/>
        <w:numPr>
          <w:ilvl w:val="5"/>
          <w:numId w:val="1"/>
        </w:numPr>
        <w:rPr/>
      </w:pPr>
      <w:r>
        <w:rPr/>
        <w:t>Section 101426 "Post and Panel/Pylon Signage" for freestanding signs.</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PR1"/>
        <w:numPr>
          <w:ilvl w:val="4"/>
          <w:numId w:val="1"/>
        </w:numPr>
        <w:rPr/>
      </w:pPr>
      <w:r>
        <w:rPr/>
        <w:t>Allowances for [</w:t>
      </w:r>
      <w:r>
        <w:rPr>
          <w:b/>
        </w:rPr>
        <w:t>signage</w:t>
      </w:r>
      <w:r>
        <w:rPr/>
        <w:t>] [</w:t>
      </w:r>
      <w:r>
        <w:rPr>
          <w:b/>
        </w:rPr>
        <w:t>modular signs</w:t>
      </w:r>
      <w:r>
        <w:rPr/>
        <w:t>] &lt;</w:t>
      </w:r>
      <w:r>
        <w:rPr>
          <w:b/>
        </w:rPr>
        <w:t>Insert item description</w:t>
      </w:r>
      <w:r>
        <w:rPr/>
        <w:t>&gt; are specified in Section 012100 "Allowances."</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w:t>
      </w:r>
    </w:p>
    <w:p>
      <w:pPr>
        <w:pStyle w:val="PR1"/>
        <w:numPr>
          <w:ilvl w:val="4"/>
          <w:numId w:val="1"/>
        </w:numPr>
        <w:rPr/>
      </w:pPr>
      <w:r>
        <w:rPr/>
        <w:t>Work of this Section is affected by unit prices specified in Section 012200 "Unit Prices."</w:t>
      </w:r>
    </w:p>
    <w:p>
      <w:pPr>
        <w:pStyle w:val="PR2"/>
        <w:numPr>
          <w:ilvl w:val="5"/>
          <w:numId w:val="1"/>
        </w:numPr>
        <w:spacing w:before="240" w:after="0"/>
        <w:rPr/>
      </w:pPr>
      <w:r>
        <w:rPr/>
        <w:t>Unit prices apply to authorized work covered by [</w:t>
      </w:r>
      <w:r>
        <w:rPr>
          <w:b/>
        </w:rPr>
        <w:t>quantity allowances</w:t>
      </w:r>
      <w:r>
        <w:rPr/>
        <w:t>] [</w:t>
      </w:r>
      <w:r>
        <w:rPr>
          <w:b/>
        </w:rPr>
        <w:t>estimated quantities</w:t>
      </w:r>
      <w:r>
        <w:rPr/>
        <w:t>].</w:t>
      </w:r>
    </w:p>
    <w:p>
      <w:pPr>
        <w:pStyle w:val="PR2"/>
        <w:numPr>
          <w:ilvl w:val="5"/>
          <w:numId w:val="1"/>
        </w:numPr>
        <w:rPr/>
      </w:pPr>
      <w:r>
        <w:rPr/>
        <w:t>Unit prices apply to additions to and deletions from Work as authorized by Change Orders.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Modular signs.</w:t>
      </w:r>
    </w:p>
    <w:p>
      <w:pPr>
        <w:pStyle w:val="PR1"/>
        <w:numPr>
          <w:ilvl w:val="4"/>
          <w:numId w:val="1"/>
        </w:numPr>
        <w:rPr/>
      </w:pPr>
      <w:r>
        <w:rPr/>
        <w:t>Product Data Submittals:</w:t>
      </w:r>
    </w:p>
    <w:p>
      <w:pPr>
        <w:pStyle w:val="PR2"/>
        <w:numPr>
          <w:ilvl w:val="5"/>
          <w:numId w:val="1"/>
        </w:numPr>
        <w:spacing w:before="240" w:after="0"/>
        <w:rPr/>
      </w:pPr>
      <w:r>
        <w:rPr/>
        <w:t>Include construction details, material descriptions, dimensions of individual components and profiles, and finishes.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adhesives.&gt;</w:t>
        </w:r>
      </w:hyperlink>
    </w:p>
    <w:p>
      <w:pPr>
        <w:pStyle w:val="PR1"/>
        <w:numPr>
          <w:ilvl w:val="4"/>
          <w:numId w:val="1"/>
        </w:numPr>
        <w:rPr/>
      </w:pPr>
      <w:r>
        <w:rPr/>
        <w:t>Shop Drawings: For modular signs.</w:t>
      </w:r>
    </w:p>
    <w:p>
      <w:pPr>
        <w:pStyle w:val="PR2"/>
        <w:numPr>
          <w:ilvl w:val="5"/>
          <w:numId w:val="1"/>
        </w:numPr>
        <w:spacing w:before="240" w:after="0"/>
        <w:rPr/>
      </w:pPr>
      <w:r>
        <w:rPr/>
        <w:t>Include plans, elevations, sections, and mounting details.</w:t>
      </w:r>
    </w:p>
    <w:p>
      <w:pPr>
        <w:pStyle w:val="PR2"/>
        <w:numPr>
          <w:ilvl w:val="5"/>
          <w:numId w:val="1"/>
        </w:numPr>
        <w:rPr/>
      </w:pPr>
      <w:r>
        <w:rPr/>
        <w:t>Show message list, typestyles, graphic elements[</w:t>
      </w:r>
      <w:r>
        <w:rPr>
          <w:b/>
        </w:rPr>
        <w:t>, including raised characters and Braille</w:t>
      </w:r>
      <w:r>
        <w:rPr/>
        <w:t>], and layout for each sign at least [</w:t>
      </w:r>
      <w:r>
        <w:rPr>
          <w:b/>
        </w:rPr>
        <w:t>half size</w:t>
      </w:r>
      <w:r>
        <w:rPr/>
        <w:t>] &lt;</w:t>
      </w:r>
      <w:r>
        <w:rPr>
          <w:b/>
        </w:rPr>
        <w:t>Insert scale</w:t>
      </w:r>
      <w:r>
        <w:rPr/>
        <w:t>&gt;.</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modular sign, exposed component, and exposed finish.</w:t>
      </w:r>
    </w:p>
    <w:p>
      <w:pPr>
        <w:pStyle w:val="CMT"/>
        <w:rPr/>
      </w:pPr>
      <w:r>
        <w:rPr/>
        <w:t>Retain subparagraph below if typestyle has not been previously selected.</w:t>
      </w:r>
    </w:p>
    <w:p>
      <w:pPr>
        <w:pStyle w:val="PR2"/>
        <w:numPr>
          <w:ilvl w:val="5"/>
          <w:numId w:val="1"/>
        </w:numPr>
        <w:spacing w:before="240" w:after="0"/>
        <w:rPr/>
      </w:pPr>
      <w:r>
        <w:rPr/>
        <w:t>Include representative Samples of available typestyles and graphic symbols.</w:t>
      </w:r>
    </w:p>
    <w:p>
      <w:pPr>
        <w:pStyle w:val="PR1"/>
        <w:numPr>
          <w:ilvl w:val="4"/>
          <w:numId w:val="1"/>
        </w:numPr>
        <w:rPr/>
      </w:pPr>
      <w:r>
        <w:rPr/>
        <w:t>Samples for Verification: For each type of modular sign showing each component and with the required finishes, in manufacturer's standard size unless otherwise indicated and as follows:</w:t>
      </w:r>
    </w:p>
    <w:p>
      <w:pPr>
        <w:pStyle w:val="CMT"/>
        <w:rPr/>
      </w:pPr>
      <w:r>
        <w:rPr/>
        <w:t>Revise "Modular Signs" Subparagraph below to suit Project. Insert specific sign Samples and sizes if required.</w:t>
      </w:r>
    </w:p>
    <w:p>
      <w:pPr>
        <w:pStyle w:val="PR2"/>
        <w:numPr>
          <w:ilvl w:val="5"/>
          <w:numId w:val="1"/>
        </w:numPr>
        <w:spacing w:before="240" w:after="0"/>
        <w:rPr/>
      </w:pPr>
      <w:r>
        <w:rPr/>
        <w:t>Modular Signs: [</w:t>
      </w:r>
      <w:r>
        <w:rPr>
          <w:b/>
        </w:rPr>
        <w:t>Full-size Sample</w:t>
      </w:r>
      <w:r>
        <w:rPr/>
        <w:t>] [</w:t>
      </w:r>
      <w:r>
        <w:rPr>
          <w:b/>
        </w:rPr>
        <w:t xml:space="preserve">Not less than </w:t>
      </w:r>
      <w:r>
        <w:rPr>
          <w:rStyle w:val="IP"/>
          <w:b/>
        </w:rPr>
        <w:t>12 inches</w:t>
      </w:r>
      <w:r>
        <w:rPr>
          <w:rStyle w:val="SI"/>
          <w:b/>
        </w:rPr>
        <w:t xml:space="preserve"> (300 mm)</w:t>
      </w:r>
      <w:r>
        <w:rPr>
          <w:b/>
        </w:rPr>
        <w:t xml:space="preserve"> square, including corner</w:t>
      </w:r>
      <w:r>
        <w:rPr/>
        <w:t>] &lt;</w:t>
      </w:r>
      <w:r>
        <w:rPr>
          <w:b/>
        </w:rPr>
        <w:t>Insert size</w:t>
      </w:r>
      <w:r>
        <w:rPr/>
        <w:t>&gt;; including one of each type insert indicated.</w:t>
      </w:r>
    </w:p>
    <w:p>
      <w:pPr>
        <w:pStyle w:val="PR1"/>
        <w:numPr>
          <w:ilvl w:val="4"/>
          <w:numId w:val="1"/>
        </w:numPr>
        <w:rPr/>
      </w:pPr>
      <w:r>
        <w:rPr/>
        <w:t>Product Schedule: For modular signs. Use same designations indicated on Drawings or specified.</w:t>
      </w:r>
    </w:p>
    <w:p>
      <w:pPr>
        <w:pStyle w:val="ART"/>
        <w:numPr>
          <w:ilvl w:val="3"/>
          <w:numId w:val="1"/>
        </w:numPr>
        <w:ind w:hanging="0" w:left="0"/>
        <w:rPr/>
      </w:pPr>
      <w:r>
        <w:rPr/>
        <w:t>CLOSEOUT SUBMITTALS</w:t>
      </w:r>
    </w:p>
    <w:p>
      <w:pPr>
        <w:pStyle w:val="PR1"/>
        <w:numPr>
          <w:ilvl w:val="4"/>
          <w:numId w:val="1"/>
        </w:numPr>
        <w:rPr/>
      </w:pPr>
      <w:r>
        <w:rPr/>
        <w:t>Maintenance Data: For signs.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 Furnish extra materials[</w:t>
      </w:r>
      <w:r>
        <w:rPr>
          <w:b/>
        </w:rPr>
        <w:t>, from the same product run,</w:t>
      </w:r>
      <w:r>
        <w:rPr/>
        <w:t>] that match products installed and that are packaged with protective covering for storage and identified with labels describing contents.</w:t>
      </w:r>
    </w:p>
    <w:p>
      <w:pPr>
        <w:pStyle w:val="PR2"/>
        <w:numPr>
          <w:ilvl w:val="5"/>
          <w:numId w:val="1"/>
        </w:numPr>
        <w:spacing w:before="240" w:after="0"/>
        <w:rPr/>
      </w:pPr>
      <w:r>
        <w:rPr/>
        <w:t>Inserts: Full-size blank inserts equal to [</w:t>
      </w:r>
      <w:r>
        <w:rPr>
          <w:b/>
        </w:rPr>
        <w:t>10</w:t>
      </w:r>
      <w:r>
        <w:rPr/>
        <w:t>] &lt;</w:t>
      </w:r>
      <w:r>
        <w:rPr>
          <w:b/>
        </w:rPr>
        <w:t>Insert number</w:t>
      </w:r>
      <w:r>
        <w:rPr/>
        <w:t>&gt; percent of number installed for each size indicated, but no fewer than [</w:t>
      </w:r>
      <w:r>
        <w:rPr>
          <w:b/>
        </w:rPr>
        <w:t>20</w:t>
      </w:r>
      <w:r>
        <w:rPr/>
        <w:t>] &lt;</w:t>
      </w:r>
      <w:r>
        <w:rPr>
          <w:b/>
        </w:rPr>
        <w:t>Insert number</w:t>
      </w:r>
      <w:r>
        <w:rPr/>
        <w:t>&gt;.</w:t>
      </w:r>
    </w:p>
    <w:p>
      <w:pPr>
        <w:pStyle w:val="PR2"/>
        <w:numPr>
          <w:ilvl w:val="5"/>
          <w:numId w:val="1"/>
        </w:numPr>
        <w:rPr/>
      </w:pPr>
      <w:r>
        <w:rPr/>
        <w:t>Tools: One set of specialty tools for replacing inserts.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Generally, retain only one of first two options in "Accessibility Standard" Paragraph below. Retain first option for facilities covered under the Americans with Disabilities Act (ADA) of 1990. Retain second for facilities covered under the Architectural Barriers Act (ABA). Retain last option for compliance with the IBC.</w:t>
      </w:r>
    </w:p>
    <w:p>
      <w:pPr>
        <w:pStyle w:val="PR1"/>
        <w:numPr>
          <w:ilvl w:val="4"/>
          <w:numId w:val="1"/>
        </w:numPr>
        <w:rPr/>
      </w:pPr>
      <w:r>
        <w:rPr/>
        <w:t>Accessibility Standard: Comply with applicable provisions in [</w:t>
      </w:r>
      <w:r>
        <w:rPr>
          <w:b/>
        </w:rPr>
        <w:t>the USDOJ's "2010 ADA Standards for Accessible Design"</w:t>
      </w:r>
      <w:r>
        <w:rPr/>
        <w:t>] [</w:t>
      </w:r>
      <w:r>
        <w:rPr>
          <w:b/>
        </w:rPr>
        <w:t>the ABA standards of the Federal agency having jurisdiction</w:t>
      </w:r>
      <w:r>
        <w:rPr/>
        <w:t>] [</w:t>
      </w:r>
      <w:r>
        <w:rPr>
          <w:b/>
        </w:rPr>
        <w:t>and</w:t>
      </w:r>
      <w:r>
        <w:rPr/>
        <w:t>] [</w:t>
      </w:r>
      <w:r>
        <w:rPr>
          <w:b/>
        </w:rPr>
        <w:t>ICC A117.1</w:t>
      </w:r>
      <w:r>
        <w:rPr/>
        <w:t>] &lt;</w:t>
      </w:r>
      <w:r>
        <w:rPr>
          <w:b/>
        </w:rPr>
        <w:t>Insert requirement</w:t>
      </w:r>
      <w:r>
        <w:rPr/>
        <w:t>&gt;.</w:t>
      </w:r>
    </w:p>
    <w:p>
      <w:pPr>
        <w:pStyle w:val="ART"/>
        <w:numPr>
          <w:ilvl w:val="3"/>
          <w:numId w:val="1"/>
        </w:numPr>
        <w:ind w:hanging="0" w:left="0"/>
        <w:rPr/>
      </w:pPr>
      <w:r>
        <w:rPr/>
        <w:t>MODULAR SIGNS</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Available sign materials, constructions, and assemblies vary with manufacturer; many offer materials and processes they claim are unique.</w:t>
      </w:r>
    </w:p>
    <w:p>
      <w:pPr>
        <w:pStyle w:val="CMT"/>
        <w:rPr/>
      </w:pPr>
      <w:r>
        <w:rPr/>
        <w:t>A signage schedule or drawings can be used for projects with multiple sizes and configurations of inserts to simplify specifying. For simple projects with only one size or configuration of modular sign, the Section Text can be revised to suit those requirements.</w:t>
      </w:r>
    </w:p>
    <w:p>
      <w:pPr>
        <w:pStyle w:val="PR1"/>
        <w:numPr>
          <w:ilvl w:val="4"/>
          <w:numId w:val="1"/>
        </w:numPr>
        <w:rPr/>
      </w:pPr>
      <w:r>
        <w:rPr/>
        <w:t>Sign System: Sign with removable inserts for graphics and copy attached to a receiver frame system using clips, splines, or comparable method. Provide system with modular increments of height and width, permitting assembly of units with multiple inserts of varying size.</w:t>
      </w:r>
    </w:p>
    <w:p>
      <w:pPr>
        <w:pStyle w:val="CMT"/>
        <w:rPr/>
      </w:pPr>
      <w:r>
        <w:rPr/>
        <w:t>Retain "Sign Size" Subparagraph below if signs are of a single size; for projects with multiple sizes and configurations, indicate dimensions on Drawings or in a signage schedule.</w:t>
      </w:r>
    </w:p>
    <w:p>
      <w:pPr>
        <w:pStyle w:val="PR2"/>
        <w:numPr>
          <w:ilvl w:val="5"/>
          <w:numId w:val="1"/>
        </w:numPr>
        <w:spacing w:before="240" w:after="0"/>
        <w:rPr/>
      </w:pPr>
      <w:r>
        <w:rPr/>
        <w:t>Sign Size: [</w:t>
      </w:r>
      <w:r>
        <w:rPr>
          <w:b/>
        </w:rPr>
        <w:t>As indicated</w:t>
      </w:r>
      <w:r>
        <w:rPr/>
        <w:t>] &lt;</w:t>
      </w:r>
      <w:r>
        <w:rPr>
          <w:b/>
        </w:rPr>
        <w:t>Insert dimensions</w:t>
      </w:r>
      <w:r>
        <w:rPr/>
        <w:t>&gt;.</w:t>
      </w:r>
    </w:p>
    <w:p>
      <w:pPr>
        <w:pStyle w:val="CMT"/>
        <w:rPr/>
      </w:pPr>
      <w:r>
        <w:rPr/>
        <w:t>Retain first subparagraph below if tamper resistance is required. Verify availability with manufacturers.</w:t>
      </w:r>
    </w:p>
    <w:p>
      <w:pPr>
        <w:pStyle w:val="PR2"/>
        <w:numPr>
          <w:ilvl w:val="5"/>
          <w:numId w:val="1"/>
        </w:numPr>
        <w:rPr/>
      </w:pPr>
      <w:r>
        <w:rPr/>
        <w:t>Provide tamper-resistant feature requiring special tool to change inserts.</w:t>
      </w:r>
    </w:p>
    <w:p>
      <w:pPr>
        <w:pStyle w:val="CMT"/>
        <w:rPr/>
      </w:pPr>
      <w:r>
        <w:rPr/>
        <w:t>Retain "Backer Panel" Subparagraph below to suit Project. Some manufacturers offer decorative shaped panels in colors or with graphics that mount behind the standard modular signage. Indicate design on Drawings or revise text below to describe design.</w:t>
      </w:r>
    </w:p>
    <w:p>
      <w:pPr>
        <w:pStyle w:val="PR2"/>
        <w:numPr>
          <w:ilvl w:val="5"/>
          <w:numId w:val="1"/>
        </w:numPr>
        <w:rPr/>
      </w:pPr>
      <w:r>
        <w:rPr/>
        <w:t>Backer Panel: Shaped, decorative backing panel mounted behind modular signage system [</w:t>
      </w:r>
      <w:r>
        <w:rPr>
          <w:b/>
        </w:rPr>
        <w:t>as indicated</w:t>
      </w:r>
      <w:r>
        <w:rPr/>
        <w:t>] [</w:t>
      </w:r>
      <w:r>
        <w:rPr>
          <w:b/>
        </w:rPr>
        <w:t>as selected from manufacturer's full range</w:t>
      </w:r>
      <w:r>
        <w:rPr/>
        <w:t>].</w:t>
      </w:r>
    </w:p>
    <w:p>
      <w:pPr>
        <w:pStyle w:val="CMT"/>
        <w:rPr/>
      </w:pPr>
      <w:r>
        <w:rPr/>
        <w:t>Retain "Double-Faced Signs" Subparagraph below to suit Project. Manufacturers offer various methods for mounting double-faced signs, including increased spacing between faces with corresponding end trim; verify availability with manufacturers.</w:t>
      </w:r>
    </w:p>
    <w:p>
      <w:pPr>
        <w:pStyle w:val="PR2"/>
        <w:numPr>
          <w:ilvl w:val="5"/>
          <w:numId w:val="1"/>
        </w:numPr>
        <w:rPr/>
      </w:pPr>
      <w:r>
        <w:rPr/>
        <w:t>Double-Faced Signs: Provide signs with two faces back-to-back for signs suspended from ceiling or mounted perpendicular to wall, and as indicated.</w:t>
      </w:r>
    </w:p>
    <w:p>
      <w:pPr>
        <w:pStyle w:val="PR1"/>
        <w:numPr>
          <w:ilvl w:val="4"/>
          <w:numId w:val="1"/>
        </w:numPr>
        <w:rPr/>
      </w:pPr>
      <w:r>
        <w:rPr/>
        <w:t>Inserts:</w:t>
      </w:r>
    </w:p>
    <w:p>
      <w:pPr>
        <w:pStyle w:val="PR2"/>
        <w:numPr>
          <w:ilvl w:val="5"/>
          <w:numId w:val="1"/>
        </w:numPr>
        <w:spacing w:before="240" w:after="0"/>
        <w:rPr/>
      </w:pPr>
      <w:r>
        <w:rPr/>
        <w:t>Module Height: System of inserts fabricated in multiples of [</w:t>
      </w:r>
      <w:r>
        <w:rPr>
          <w:b/>
        </w:rPr>
        <w:t>manufacturer's standard dimension</w:t>
      </w:r>
      <w:r>
        <w:rPr/>
        <w:t>] [</w:t>
      </w:r>
      <w:r>
        <w:rPr>
          <w:rStyle w:val="IP"/>
          <w:b/>
        </w:rPr>
        <w:t>9/16 inch</w:t>
      </w:r>
      <w:r>
        <w:rPr>
          <w:rStyle w:val="SI"/>
          <w:b/>
        </w:rPr>
        <w:t xml:space="preserve"> (15 mm)</w:t>
      </w:r>
      <w:r>
        <w:rPr/>
        <w:t>] [</w:t>
      </w:r>
      <w:r>
        <w:rPr>
          <w:rStyle w:val="IP"/>
          <w:b/>
        </w:rPr>
        <w:t>1 inch</w:t>
      </w:r>
      <w:r>
        <w:rPr>
          <w:rStyle w:val="SI"/>
          <w:b/>
        </w:rPr>
        <w:t xml:space="preserve"> (25 mm)</w:t>
      </w:r>
      <w:r>
        <w:rPr/>
        <w:t>] [</w:t>
      </w:r>
      <w:r>
        <w:rPr>
          <w:rStyle w:val="IP"/>
          <w:b/>
        </w:rPr>
        <w:t>1.25 inches</w:t>
      </w:r>
      <w:r>
        <w:rPr>
          <w:rStyle w:val="SI"/>
          <w:b/>
        </w:rPr>
        <w:t xml:space="preserve"> (32 mm)</w:t>
      </w:r>
      <w:r>
        <w:rPr/>
        <w:t>] &lt;</w:t>
      </w:r>
      <w:r>
        <w:rPr>
          <w:b/>
        </w:rPr>
        <w:t>Insert dimension</w:t>
      </w:r>
      <w:r>
        <w:rPr/>
        <w:t>&gt;.</w:t>
      </w:r>
    </w:p>
    <w:p>
      <w:pPr>
        <w:pStyle w:val="PR2"/>
        <w:numPr>
          <w:ilvl w:val="5"/>
          <w:numId w:val="1"/>
        </w:numPr>
        <w:rPr/>
      </w:pPr>
      <w:r>
        <w:rPr/>
        <w:t>Type: [</w:t>
      </w:r>
      <w:r>
        <w:rPr>
          <w:b/>
        </w:rPr>
        <w:t>Extruded aluminum for applied graphics</w:t>
      </w:r>
      <w:r>
        <w:rPr/>
        <w:t>] [</w:t>
      </w:r>
      <w:r>
        <w:rPr>
          <w:b/>
        </w:rPr>
        <w:t>Rigid plastic for applied graphics</w:t>
      </w:r>
      <w:r>
        <w:rPr/>
        <w:t>] [</w:t>
      </w:r>
      <w:r>
        <w:rPr>
          <w:b/>
        </w:rPr>
        <w:t>Extruded aluminum with slots for secondary inserts</w:t>
      </w:r>
      <w:r>
        <w:rPr/>
        <w:t>].</w:t>
      </w:r>
    </w:p>
    <w:p>
      <w:pPr>
        <w:pStyle w:val="CMT"/>
        <w:rPr/>
      </w:pPr>
      <w:r>
        <w:rPr/>
        <w:t>Retain "Secondary Inserts" Subparagraph below if retaining third option in "Type" Subparagraph above.</w:t>
      </w:r>
    </w:p>
    <w:p>
      <w:pPr>
        <w:pStyle w:val="PR3"/>
        <w:numPr>
          <w:ilvl w:val="6"/>
          <w:numId w:val="1"/>
        </w:numPr>
        <w:spacing w:before="240" w:after="0"/>
        <w:rPr/>
      </w:pPr>
      <w:r>
        <w:rPr/>
        <w:t>Secondary Inserts: [</w:t>
      </w:r>
      <w:r>
        <w:rPr>
          <w:b/>
        </w:rPr>
        <w:t>Transparent plastic lens to cover paper inserts</w:t>
      </w:r>
      <w:r>
        <w:rPr/>
        <w:t>] [</w:t>
      </w:r>
      <w:r>
        <w:rPr>
          <w:b/>
        </w:rPr>
        <w:t>ADA compliant with raised text and Braille</w:t>
      </w:r>
      <w:r>
        <w:rPr/>
        <w:t>] [</w:t>
      </w:r>
      <w:r>
        <w:rPr>
          <w:b/>
        </w:rPr>
        <w:t>Opaque plastic with surface graphics</w:t>
      </w:r>
      <w:r>
        <w:rPr/>
        <w:t>].</w:t>
      </w:r>
    </w:p>
    <w:p>
      <w:pPr>
        <w:pStyle w:val="CMT"/>
        <w:rPr/>
      </w:pPr>
      <w:r>
        <w:rPr/>
        <w:t>Aluminum inserts can be anodized or painted; plastic inserts can be painted or have integral color. For projects with inserts in multiple finishes, copy "Finish" Subparagraph below and revise for each finish.</w:t>
      </w:r>
    </w:p>
    <w:p>
      <w:pPr>
        <w:pStyle w:val="PR2"/>
        <w:numPr>
          <w:ilvl w:val="5"/>
          <w:numId w:val="1"/>
        </w:numPr>
        <w:spacing w:before="240" w:after="0"/>
        <w:rPr/>
      </w:pPr>
      <w:r>
        <w:rPr/>
        <w:t>Finish: [</w:t>
      </w:r>
      <w:r>
        <w:rPr>
          <w:b/>
        </w:rPr>
        <w:t>Anodized</w:t>
      </w:r>
      <w:r>
        <w:rPr/>
        <w:t>] [</w:t>
      </w:r>
      <w:r>
        <w:rPr>
          <w:b/>
        </w:rPr>
        <w:t>Painted</w:t>
      </w:r>
      <w:r>
        <w:rPr/>
        <w:t>] [</w:t>
      </w:r>
      <w:r>
        <w:rPr>
          <w:b/>
        </w:rPr>
        <w:t>Plastic laminate</w:t>
      </w:r>
      <w:r>
        <w:rPr/>
        <w:t>].</w:t>
      </w:r>
    </w:p>
    <w:p>
      <w:pPr>
        <w:pStyle w:val="CMT"/>
        <w:rPr/>
      </w:pPr>
      <w:r>
        <w:rPr/>
        <w:t>Revise "Color and Pattern" Subparagraph below to suit Project. Each insert is typically one color, but more than one color insert may be used in each sign. Indicate locations for each color on Drawings or in a schedule.</w:t>
      </w:r>
    </w:p>
    <w:p>
      <w:pPr>
        <w:pStyle w:val="PR2"/>
        <w:numPr>
          <w:ilvl w:val="5"/>
          <w:numId w:val="1"/>
        </w:numPr>
        <w:rPr/>
      </w:pPr>
      <w:r>
        <w:rPr/>
        <w:t>Color and Pattern: [</w:t>
      </w:r>
      <w:r>
        <w:rPr>
          <w:b/>
        </w:rPr>
        <w:t>One</w:t>
      </w:r>
      <w:r>
        <w:rPr/>
        <w:t>] [</w:t>
      </w:r>
      <w:r>
        <w:rPr>
          <w:b/>
        </w:rPr>
        <w:t>Two</w:t>
      </w:r>
      <w:r>
        <w:rPr/>
        <w:t>] &lt;</w:t>
      </w:r>
      <w:r>
        <w:rPr>
          <w:b/>
        </w:rPr>
        <w:t>Insert quantity</w:t>
      </w:r>
      <w:r>
        <w:rPr/>
        <w:t>&gt; color(s), [</w:t>
      </w:r>
      <w:r>
        <w:rPr>
          <w:b/>
        </w:rPr>
        <w:t>indicated by manufacturer's designation</w:t>
      </w:r>
      <w:r>
        <w:rPr/>
        <w:t>] [</w:t>
      </w:r>
      <w:r>
        <w:rPr>
          <w:b/>
        </w:rPr>
        <w:t>selected by Architect from manufacturer's full range</w:t>
      </w:r>
      <w:r>
        <w:rPr/>
        <w:t>] &lt;</w:t>
      </w:r>
      <w:r>
        <w:rPr>
          <w:b/>
        </w:rPr>
        <w:t>Insert color and pattern</w:t>
      </w:r>
      <w:r>
        <w:rPr/>
        <w:t>&gt;.</w:t>
      </w:r>
    </w:p>
    <w:p>
      <w:pPr>
        <w:pStyle w:val="PR1"/>
        <w:numPr>
          <w:ilvl w:val="4"/>
          <w:numId w:val="1"/>
        </w:numPr>
        <w:rPr/>
      </w:pPr>
      <w:r>
        <w:rPr/>
        <w:t>Graphics and Copy:</w:t>
      </w:r>
    </w:p>
    <w:p>
      <w:pPr>
        <w:pStyle w:val="CMT"/>
        <w:rPr/>
      </w:pPr>
      <w:r>
        <w:rPr/>
        <w:t>Retain one or more of "Surface Applied"; "Raised, ADA Compliant"; "Etched and Filled"; and "Engraved" subparagraphs below to suit Project.</w:t>
      </w:r>
    </w:p>
    <w:p>
      <w:pPr>
        <w:pStyle w:val="PR2"/>
        <w:numPr>
          <w:ilvl w:val="5"/>
          <w:numId w:val="1"/>
        </w:numPr>
        <w:spacing w:before="240" w:after="0"/>
        <w:rPr/>
      </w:pPr>
      <w:r>
        <w:rPr/>
        <w:t>Surface Applied: [</w:t>
      </w:r>
      <w:r>
        <w:rPr>
          <w:b/>
        </w:rPr>
        <w:t>Die-cut vinyl film</w:t>
      </w:r>
      <w:r>
        <w:rPr/>
        <w:t>] [</w:t>
      </w:r>
      <w:r>
        <w:rPr>
          <w:b/>
        </w:rPr>
        <w:t>Silk-screen</w:t>
      </w:r>
      <w:r>
        <w:rPr/>
        <w:t>] [</w:t>
      </w:r>
      <w:r>
        <w:rPr>
          <w:b/>
        </w:rPr>
        <w:t>Direct print</w:t>
      </w:r>
      <w:r>
        <w:rPr/>
        <w:t>] [</w:t>
      </w:r>
      <w:r>
        <w:rPr>
          <w:b/>
        </w:rPr>
        <w:t>Paint</w:t>
      </w:r>
      <w:r>
        <w:rPr/>
        <w:t>] [</w:t>
      </w:r>
      <w:r>
        <w:rPr>
          <w:b/>
        </w:rPr>
        <w:t>Photo image</w:t>
      </w:r>
      <w:r>
        <w:rPr/>
        <w:t>] &lt;</w:t>
      </w:r>
      <w:r>
        <w:rPr>
          <w:b/>
        </w:rPr>
        <w:t>Insert requirement</w:t>
      </w:r>
      <w:r>
        <w:rPr/>
        <w:t>&gt;.</w:t>
      </w:r>
    </w:p>
    <w:p>
      <w:pPr>
        <w:pStyle w:val="PR2"/>
        <w:numPr>
          <w:ilvl w:val="5"/>
          <w:numId w:val="1"/>
        </w:numPr>
        <w:rPr/>
      </w:pPr>
      <w:r>
        <w:rPr/>
        <w:t>Raised, ADA Compliant: [</w:t>
      </w:r>
      <w:r>
        <w:rPr>
          <w:b/>
        </w:rPr>
        <w:t>Manufacturer's standard</w:t>
      </w:r>
      <w:r>
        <w:rPr/>
        <w:t>] [</w:t>
      </w:r>
      <w:r>
        <w:rPr>
          <w:b/>
        </w:rPr>
        <w:t>Applied</w:t>
      </w:r>
      <w:r>
        <w:rPr/>
        <w:t>] [</w:t>
      </w:r>
      <w:r>
        <w:rPr>
          <w:b/>
        </w:rPr>
        <w:t>Photopolymer</w:t>
      </w:r>
      <w:r>
        <w:rPr/>
        <w:t>] [</w:t>
      </w:r>
      <w:r>
        <w:rPr>
          <w:b/>
        </w:rPr>
        <w:t>Subsurface</w:t>
      </w:r>
      <w:r>
        <w:rPr/>
        <w:t>] raised characters and Braille &lt;</w:t>
      </w:r>
      <w:r>
        <w:rPr>
          <w:b/>
        </w:rPr>
        <w:t>Insert requirement</w:t>
      </w:r>
      <w:r>
        <w:rPr/>
        <w:t>&gt;.</w:t>
      </w:r>
    </w:p>
    <w:p>
      <w:pPr>
        <w:pStyle w:val="PR2"/>
        <w:numPr>
          <w:ilvl w:val="5"/>
          <w:numId w:val="1"/>
        </w:numPr>
        <w:rPr/>
      </w:pPr>
      <w:r>
        <w:rPr/>
        <w:t>Etched and Filled: Sign face etched or routed to receive enamel-paint infill.</w:t>
      </w:r>
    </w:p>
    <w:p>
      <w:pPr>
        <w:pStyle w:val="PR2"/>
        <w:numPr>
          <w:ilvl w:val="5"/>
          <w:numId w:val="1"/>
        </w:numPr>
        <w:rPr/>
      </w:pPr>
      <w:r>
        <w:rPr/>
        <w:t>Engraved: Characters engraved through plastic-laminate face sheet to expose contrasting phenolic core.</w:t>
      </w:r>
    </w:p>
    <w:p>
      <w:pPr>
        <w:pStyle w:val="CMT"/>
        <w:rPr/>
      </w:pPr>
      <w:r>
        <w:rPr/>
        <w:t>Retain one or more options in "Text and Typeface" Subparagraph below if this information is not fully indicated on Drawings.</w:t>
      </w:r>
    </w:p>
    <w:p>
      <w:pPr>
        <w:pStyle w:val="PR2"/>
        <w:numPr>
          <w:ilvl w:val="5"/>
          <w:numId w:val="1"/>
        </w:numPr>
        <w:rPr/>
      </w:pPr>
      <w:r>
        <w:rPr/>
        <w:t>Text and Typeface: [</w:t>
      </w:r>
      <w:r>
        <w:rPr>
          <w:b/>
        </w:rPr>
        <w:t>Times Roman</w:t>
      </w:r>
      <w:r>
        <w:rPr/>
        <w:t>] [</w:t>
      </w:r>
      <w:r>
        <w:rPr>
          <w:b/>
        </w:rPr>
        <w:t>Helvetica</w:t>
      </w:r>
      <w:r>
        <w:rPr/>
        <w:t>] [</w:t>
      </w:r>
      <w:r>
        <w:rPr>
          <w:b/>
        </w:rPr>
        <w:t>Typeface as indicated by manufacturer's designation</w:t>
      </w:r>
      <w:r>
        <w:rPr/>
        <w:t>] [</w:t>
      </w:r>
      <w:r>
        <w:rPr>
          <w:b/>
        </w:rPr>
        <w:t>Typeface matching Architect's sample</w:t>
      </w:r>
      <w:r>
        <w:rPr/>
        <w:t>] [</w:t>
      </w:r>
      <w:r>
        <w:rPr>
          <w:b/>
        </w:rPr>
        <w:t>Typeface as selected by Architect from manufacturer's full range</w:t>
      </w:r>
      <w:r>
        <w:rPr/>
        <w:t>] &lt;</w:t>
      </w:r>
      <w:r>
        <w:rPr>
          <w:b/>
        </w:rPr>
        <w:t>Insert typeface or requirement</w:t>
      </w:r>
      <w:r>
        <w:rPr/>
        <w:t>&gt;.[</w:t>
      </w:r>
      <w:r>
        <w:rPr>
          <w:b/>
        </w:rPr>
        <w:t> Finish raised characters to contrast with background color, and finish Braille to match background color.</w:t>
      </w:r>
      <w:r>
        <w:rPr/>
        <w:t>]</w:t>
      </w:r>
    </w:p>
    <w:p>
      <w:pPr>
        <w:pStyle w:val="PR1"/>
        <w:numPr>
          <w:ilvl w:val="4"/>
          <w:numId w:val="1"/>
        </w:numPr>
        <w:rPr/>
      </w:pPr>
      <w:r>
        <w:rPr/>
        <w:t>End Caps and Trim:</w:t>
      </w:r>
    </w:p>
    <w:p>
      <w:pPr>
        <w:pStyle w:val="CMT"/>
        <w:rPr/>
      </w:pPr>
      <w:r>
        <w:rPr/>
        <w:t>Retain "Side Trim" or "End Caps" Subparagraph below.</w:t>
      </w:r>
    </w:p>
    <w:p>
      <w:pPr>
        <w:pStyle w:val="PR2"/>
        <w:numPr>
          <w:ilvl w:val="5"/>
          <w:numId w:val="1"/>
        </w:numPr>
        <w:spacing w:before="240" w:after="0"/>
        <w:rPr/>
      </w:pPr>
      <w:r>
        <w:rPr/>
        <w:t>Side Trim: Continuous [</w:t>
      </w:r>
      <w:r>
        <w:rPr>
          <w:b/>
        </w:rPr>
        <w:t>extruded-aluminum</w:t>
      </w:r>
      <w:r>
        <w:rPr/>
        <w:t>] &lt;</w:t>
      </w:r>
      <w:r>
        <w:rPr>
          <w:b/>
        </w:rPr>
        <w:t>Insert material</w:t>
      </w:r>
      <w:r>
        <w:rPr/>
        <w:t>&gt; trim attached to message-strip receiver frame.</w:t>
      </w:r>
    </w:p>
    <w:p>
      <w:pPr>
        <w:pStyle w:val="PR2"/>
        <w:numPr>
          <w:ilvl w:val="5"/>
          <w:numId w:val="1"/>
        </w:numPr>
        <w:rPr/>
      </w:pPr>
      <w:r>
        <w:rPr/>
        <w:t>End Caps: [</w:t>
      </w:r>
      <w:r>
        <w:rPr>
          <w:b/>
        </w:rPr>
        <w:t>Individual snap-on caps for each message strip</w:t>
      </w:r>
      <w:r>
        <w:rPr/>
        <w:t>] [</w:t>
      </w:r>
      <w:r>
        <w:rPr>
          <w:b/>
        </w:rPr>
        <w:t>Snap-on caps covering ends of multiple message strips</w:t>
      </w:r>
      <w:r>
        <w:rPr/>
        <w:t>].</w:t>
      </w:r>
    </w:p>
    <w:p>
      <w:pPr>
        <w:pStyle w:val="PR2"/>
        <w:numPr>
          <w:ilvl w:val="5"/>
          <w:numId w:val="1"/>
        </w:numPr>
        <w:rPr/>
      </w:pPr>
      <w:r>
        <w:rPr/>
        <w:t>Profile: [</w:t>
      </w:r>
      <w:r>
        <w:rPr>
          <w:b/>
        </w:rPr>
        <w:t>Narrow</w:t>
      </w:r>
      <w:r>
        <w:rPr/>
        <w:t>] [</w:t>
      </w:r>
      <w:r>
        <w:rPr>
          <w:b/>
        </w:rPr>
        <w:t>Square</w:t>
      </w:r>
      <w:r>
        <w:rPr/>
        <w:t>] [</w:t>
      </w:r>
      <w:r>
        <w:rPr>
          <w:b/>
        </w:rPr>
        <w:t>Bevel</w:t>
      </w:r>
      <w:r>
        <w:rPr/>
        <w:t>] [</w:t>
      </w:r>
      <w:r>
        <w:rPr>
          <w:b/>
        </w:rPr>
        <w:t>Radius corner</w:t>
      </w:r>
      <w:r>
        <w:rPr/>
        <w:t>] [</w:t>
      </w:r>
      <w:r>
        <w:rPr>
          <w:b/>
        </w:rPr>
        <w:t>Quarter round</w:t>
      </w:r>
      <w:r>
        <w:rPr/>
        <w:t>] [</w:t>
      </w:r>
      <w:r>
        <w:rPr>
          <w:b/>
        </w:rPr>
        <w:t>Stepped</w:t>
      </w:r>
      <w:r>
        <w:rPr/>
        <w:t>] [</w:t>
      </w:r>
      <w:r>
        <w:rPr>
          <w:b/>
        </w:rPr>
        <w:t>Contoured</w:t>
      </w:r>
      <w:r>
        <w:rPr/>
        <w:t>] &lt;</w:t>
      </w:r>
      <w:r>
        <w:rPr>
          <w:b/>
        </w:rPr>
        <w:t>Insert shape</w:t>
      </w:r>
      <w:r>
        <w:rPr/>
        <w:t>&gt;.</w:t>
      </w:r>
    </w:p>
    <w:p>
      <w:pPr>
        <w:pStyle w:val="PR2"/>
        <w:numPr>
          <w:ilvl w:val="5"/>
          <w:numId w:val="1"/>
        </w:numPr>
        <w:rPr/>
      </w:pPr>
      <w:r>
        <w:rPr/>
        <w:t>Top and Bottom Trim: [</w:t>
      </w:r>
      <w:r>
        <w:rPr>
          <w:b/>
        </w:rPr>
        <w:t>Message strips with integral trim profile to provide finished appearance</w:t>
      </w:r>
      <w:r>
        <w:rPr/>
        <w:t>] [</w:t>
      </w:r>
      <w:r>
        <w:rPr>
          <w:b/>
        </w:rPr>
        <w:t>Extruded-aluminum trim section, attached to message-strip receiver frame</w:t>
      </w:r>
      <w:r>
        <w:rPr/>
        <w:t>]. Provide [</w:t>
      </w:r>
      <w:r>
        <w:rPr>
          <w:b/>
        </w:rPr>
        <w:t>narrow face</w:t>
      </w:r>
      <w:r>
        <w:rPr/>
        <w:t>] [</w:t>
      </w:r>
      <w:r>
        <w:rPr>
          <w:b/>
        </w:rPr>
        <w:t>square</w:t>
      </w:r>
      <w:r>
        <w:rPr/>
        <w:t>] [</w:t>
      </w:r>
      <w:r>
        <w:rPr>
          <w:b/>
        </w:rPr>
        <w:t>bevel</w:t>
      </w:r>
      <w:r>
        <w:rPr/>
        <w:t>] [</w:t>
      </w:r>
      <w:r>
        <w:rPr>
          <w:b/>
        </w:rPr>
        <w:t>contoured</w:t>
      </w:r>
      <w:r>
        <w:rPr/>
        <w:t>] profile.</w:t>
      </w:r>
    </w:p>
    <w:p>
      <w:pPr>
        <w:pStyle w:val="CMT"/>
        <w:rPr/>
      </w:pPr>
      <w:r>
        <w:rPr/>
        <w:t>Revise "Mounting" Paragraph below to suit Project. "Magnetic tape" option requires steel substrate. Mounting methods for furniture systems, including pins, hooks, and desk stands, are also available from some manufacturers; revise text if required.</w:t>
      </w:r>
    </w:p>
    <w:p>
      <w:pPr>
        <w:pStyle w:val="PR1"/>
        <w:numPr>
          <w:ilvl w:val="4"/>
          <w:numId w:val="1"/>
        </w:numPr>
        <w:rPr/>
      </w:pPr>
      <w:r>
        <w:rPr/>
        <w:t>Mounting: Mount modular signs to wall surfaces using [</w:t>
      </w:r>
      <w:r>
        <w:rPr>
          <w:b/>
        </w:rPr>
        <w:t>manufacturer's standard method</w:t>
      </w:r>
      <w:r>
        <w:rPr/>
        <w:t>] [</w:t>
      </w:r>
      <w:r>
        <w:rPr>
          <w:b/>
        </w:rPr>
        <w:t>adhesive</w:t>
      </w:r>
      <w:r>
        <w:rPr/>
        <w:t>] [</w:t>
      </w:r>
      <w:r>
        <w:rPr>
          <w:b/>
        </w:rPr>
        <w:t>two-faced tape</w:t>
      </w:r>
      <w:r>
        <w:rPr/>
        <w:t>] [</w:t>
      </w:r>
      <w:r>
        <w:rPr>
          <w:b/>
        </w:rPr>
        <w:t>magnetic tape</w:t>
      </w:r>
      <w:r>
        <w:rPr/>
        <w:t>] [</w:t>
      </w:r>
      <w:r>
        <w:rPr>
          <w:b/>
        </w:rPr>
        <w:t>hook-and-loop tape</w:t>
      </w:r>
      <w:r>
        <w:rPr/>
        <w:t>] [</w:t>
      </w:r>
      <w:r>
        <w:rPr>
          <w:b/>
        </w:rPr>
        <w:t>or</w:t>
      </w:r>
      <w:r>
        <w:rPr/>
        <w:t>] [</w:t>
      </w:r>
      <w:r>
        <w:rPr>
          <w:b/>
        </w:rPr>
        <w:t>screws</w:t>
      </w:r>
      <w:r>
        <w:rPr/>
        <w:t>].</w:t>
      </w:r>
    </w:p>
    <w:p>
      <w:pPr>
        <w:pStyle w:val="CMT"/>
        <w:rPr/>
      </w:pPr>
      <w:r>
        <w:rPr/>
        <w:t>In "Suspended Mounting" Subparagraph below, verify that suspended ceiling system grid can support weight of sign if retaining first option.</w:t>
      </w:r>
    </w:p>
    <w:p>
      <w:pPr>
        <w:pStyle w:val="PR2"/>
        <w:numPr>
          <w:ilvl w:val="5"/>
          <w:numId w:val="1"/>
        </w:numPr>
        <w:spacing w:before="240" w:after="0"/>
        <w:rPr/>
      </w:pPr>
      <w:r>
        <w:rPr/>
        <w:t>Suspended Mounting: Provide hanger and bracket designed to support signs from [</w:t>
      </w:r>
      <w:r>
        <w:rPr>
          <w:b/>
        </w:rPr>
        <w:t>suspended ceiling grid</w:t>
      </w:r>
      <w:r>
        <w:rPr/>
        <w:t>] [</w:t>
      </w:r>
      <w:r>
        <w:rPr>
          <w:b/>
        </w:rPr>
        <w:t>building structure</w:t>
      </w:r>
      <w:r>
        <w:rPr/>
        <w:t>]. Factory finish to match [</w:t>
      </w:r>
      <w:r>
        <w:rPr>
          <w:b/>
        </w:rPr>
        <w:t>sign-background color</w:t>
      </w:r>
      <w:r>
        <w:rPr/>
        <w:t>] [</w:t>
      </w:r>
      <w:r>
        <w:rPr>
          <w:b/>
        </w:rPr>
        <w:t>Architect's sample color</w:t>
      </w:r>
      <w:r>
        <w:rPr/>
        <w:t>] &lt;</w:t>
      </w:r>
      <w:r>
        <w:rPr>
          <w:b/>
        </w:rPr>
        <w:t>Insert requirement</w:t>
      </w:r>
      <w:r>
        <w:rPr/>
        <w:t>&gt; unless otherwise indicated.</w:t>
      </w:r>
    </w:p>
    <w:p>
      <w:pPr>
        <w:pStyle w:val="PR2"/>
        <w:numPr>
          <w:ilvl w:val="5"/>
          <w:numId w:val="1"/>
        </w:numPr>
        <w:rPr/>
      </w:pPr>
      <w:r>
        <w:rPr/>
        <w:t>Perpendicular Wall Mount: Provide bracket designed to support signs perpendicular to wall surface, and to suit mounting conditions. Attach with screws or other method capable of supporting weight of sign. Factory finish to match [</w:t>
      </w:r>
      <w:r>
        <w:rPr>
          <w:b/>
        </w:rPr>
        <w:t>sign-background color</w:t>
      </w:r>
      <w:r>
        <w:rPr/>
        <w:t>] [</w:t>
      </w:r>
      <w:r>
        <w:rPr>
          <w:b/>
        </w:rPr>
        <w:t>Architect's sample color</w:t>
      </w:r>
      <w:r>
        <w:rPr/>
        <w:t>] &lt;</w:t>
      </w:r>
      <w:r>
        <w:rPr>
          <w:b/>
        </w:rPr>
        <w:t>Insert requirement</w:t>
      </w:r>
      <w:r>
        <w:rPr/>
        <w:t>&gt; unless otherwise indicated.</w:t>
      </w:r>
    </w:p>
    <w:p>
      <w:pPr>
        <w:pStyle w:val="PR1"/>
        <w:numPr>
          <w:ilvl w:val="4"/>
          <w:numId w:val="1"/>
        </w:numPr>
        <w:rPr/>
      </w:pPr>
      <w:r>
        <w:rPr/>
        <w:t>Accessories: Provide [</w:t>
      </w:r>
      <w:r>
        <w:rPr>
          <w:b/>
        </w:rPr>
        <w:t>sliding insert to indicate room occupancy</w:t>
      </w:r>
      <w:r>
        <w:rPr/>
        <w:t>] [</w:t>
      </w:r>
      <w:r>
        <w:rPr>
          <w:b/>
        </w:rPr>
        <w:t>user-changeable paper insert feature</w:t>
      </w:r>
      <w:r>
        <w:rPr/>
        <w:t>] [</w:t>
      </w:r>
      <w:r>
        <w:rPr>
          <w:b/>
        </w:rPr>
        <w:t>note gripper</w:t>
      </w:r>
      <w:r>
        <w:rPr/>
        <w:t>] [</w:t>
      </w:r>
      <w:r>
        <w:rPr>
          <w:b/>
        </w:rPr>
        <w:t>pen holder</w:t>
      </w:r>
      <w:r>
        <w:rPr/>
        <w:t>] &lt;</w:t>
      </w:r>
      <w:r>
        <w:rPr>
          <w:b/>
        </w:rPr>
        <w:t>Insert accessory</w:t>
      </w:r>
      <w:r>
        <w:rPr/>
        <w:t>&gt; where indicated.</w:t>
      </w:r>
    </w:p>
    <w:p>
      <w:pPr>
        <w:pStyle w:val="ART"/>
        <w:numPr>
          <w:ilvl w:val="3"/>
          <w:numId w:val="1"/>
        </w:numPr>
        <w:ind w:hanging="0" w:left="0"/>
        <w:rPr/>
      </w:pPr>
      <w:r>
        <w:rPr/>
        <w:t>MATERIALS</w:t>
      </w:r>
    </w:p>
    <w:p>
      <w:pPr>
        <w:pStyle w:val="CMT"/>
        <w:rPr/>
      </w:pPr>
      <w:r>
        <w:rPr/>
        <w:t>Retain materials in this article that are referenced in other articles. Revise to suit Project.</w:t>
      </w:r>
    </w:p>
    <w:p>
      <w:pPr>
        <w:pStyle w:val="PR1"/>
        <w:numPr>
          <w:ilvl w:val="4"/>
          <w:numId w:val="1"/>
        </w:numPr>
        <w:rPr/>
      </w:pPr>
      <w:r>
        <w:rPr/>
        <w:t xml:space="preserve">Aluminum Extrusions: </w:t>
      </w:r>
      <w:r>
        <w:rPr>
          <w:rStyle w:val="IP"/>
        </w:rPr>
        <w:t>ASTM B221</w:t>
      </w:r>
      <w:r>
        <w:rPr>
          <w:rStyle w:val="SI"/>
        </w:rPr>
        <w:t xml:space="preserve"> (ASTM B221M)</w:t>
      </w:r>
      <w:r>
        <w:rPr/>
        <w:t>, alloy and temper recommended by aluminum producer and finisher for type of use and finish indicated.</w:t>
      </w:r>
    </w:p>
    <w:p>
      <w:pPr>
        <w:pStyle w:val="CMT"/>
        <w:rPr/>
      </w:pPr>
      <w:r>
        <w:rPr/>
        <w:t>Revise "Plastic-Laminate Sheet" Paragraph below if flame-retardant HGF grade is required for surface-burning characteristics and is acceptable to authorities having jurisdiction; verify availability with sign manufacturer.</w:t>
      </w:r>
    </w:p>
    <w:p>
      <w:pPr>
        <w:pStyle w:val="PR1"/>
        <w:numPr>
          <w:ilvl w:val="4"/>
          <w:numId w:val="1"/>
        </w:numPr>
        <w:rPr/>
      </w:pPr>
      <w:r>
        <w:rPr/>
        <w:t>Plastic-Laminate Sheet: ISO 4586-3, Grade HGS.</w:t>
      </w:r>
    </w:p>
    <w:p>
      <w:pPr>
        <w:pStyle w:val="CMT"/>
        <w:rPr/>
      </w:pPr>
      <w:r>
        <w:rPr/>
        <w:t>Retain "Vinyl Film" Paragraph below for surface-applied, die-cut vinyl copy.</w:t>
      </w:r>
    </w:p>
    <w:p>
      <w:pPr>
        <w:pStyle w:val="PR1"/>
        <w:numPr>
          <w:ilvl w:val="4"/>
          <w:numId w:val="1"/>
        </w:numPr>
        <w:rPr/>
      </w:pPr>
      <w:r>
        <w:rPr/>
        <w:t>Vinyl Film: UV-resistant vinyl film of nominal thickness indicated, with pressure-sensitive, permanent adhesive on back; die cut to form copy indicated on Drawings.</w:t>
      </w:r>
    </w:p>
    <w:p>
      <w:pPr>
        <w:pStyle w:val="ART"/>
        <w:numPr>
          <w:ilvl w:val="3"/>
          <w:numId w:val="1"/>
        </w:numPr>
        <w:ind w:hanging="0" w:left="0"/>
        <w:rPr/>
      </w:pPr>
      <w:r>
        <w:rPr/>
        <w:t>ACCESSORIES</w:t>
      </w:r>
    </w:p>
    <w:p>
      <w:pPr>
        <w:pStyle w:val="PR1"/>
        <w:numPr>
          <w:ilvl w:val="4"/>
          <w:numId w:val="1"/>
        </w:numPr>
        <w:rPr/>
      </w:pPr>
      <w:r>
        <w:rPr/>
        <w:t>Fasteners and Anchors: Manufacturer's standard as required for secure anchorage of signs, noncorrosive and compatible with each material joined. Use concealed fasteners and anchors unless indicated to be exposed.</w:t>
      </w:r>
    </w:p>
    <w:p>
      <w:pPr>
        <w:pStyle w:val="PR1"/>
        <w:numPr>
          <w:ilvl w:val="4"/>
          <w:numId w:val="1"/>
        </w:numPr>
        <w:rPr/>
      </w:pPr>
      <w:r>
        <w:rPr/>
        <w:t>Adhesive: As recommended by sign manufacturer.</w:t>
      </w:r>
    </w:p>
    <w:p>
      <w:pPr>
        <w:pStyle w:val="PR2"/>
        <w:numPr>
          <w:ilvl w:val="5"/>
          <w:numId w:val="1"/>
        </w:numPr>
        <w:spacing w:before="240" w:after="0"/>
        <w:rPr/>
      </w:pPr>
      <w:hyperlink r:id="rId5">
        <w:r>
          <w:rPr>
            <w:rStyle w:val="Hyperlink"/>
          </w:rPr>
          <w:t>&lt;Double click to insert sustainable design text for VOC content of adhesive.&gt;</w:t>
        </w:r>
      </w:hyperlink>
    </w:p>
    <w:p>
      <w:pPr>
        <w:pStyle w:val="PR2"/>
        <w:numPr>
          <w:ilvl w:val="5"/>
          <w:numId w:val="1"/>
        </w:numPr>
        <w:rPr/>
      </w:pPr>
      <w:hyperlink r:id="rId6">
        <w:r>
          <w:rPr>
            <w:rStyle w:val="Hyperlink"/>
          </w:rPr>
          <w:t>&lt;Double click to insert sustainable design text for low emitting adhesives.&gt;</w:t>
        </w:r>
      </w:hyperlink>
    </w:p>
    <w:p>
      <w:pPr>
        <w:pStyle w:val="CMT"/>
        <w:rPr/>
      </w:pPr>
      <w:r>
        <w:rPr/>
        <w:t>Use materials in "Two-Face Tape," "Hook-and-Loop Tape," and "Magnetic Tape" paragraphs below for small signs only; they are suitable for smooth, nonporous surfaces. Two-face tape is generally 3M brand's "VHB Heavy Duty Mounting Tape."</w:t>
      </w:r>
    </w:p>
    <w:p>
      <w:pPr>
        <w:pStyle w:val="PR1"/>
        <w:numPr>
          <w:ilvl w:val="4"/>
          <w:numId w:val="1"/>
        </w:numPr>
        <w:rPr/>
      </w:pPr>
      <w:r>
        <w:rPr/>
        <w:t xml:space="preserve">Two-Face Tape: Manufacturer's standard high-bond, foam-core tape, </w:t>
      </w:r>
      <w:r>
        <w:rPr>
          <w:rStyle w:val="IP"/>
        </w:rPr>
        <w:t>0.045 inch</w:t>
      </w:r>
      <w:r>
        <w:rPr>
          <w:rStyle w:val="SI"/>
        </w:rPr>
        <w:t xml:space="preserve"> (1.14 mm)</w:t>
      </w:r>
      <w:r>
        <w:rPr/>
        <w:t xml:space="preserve"> thick, with adhesive on both sides.</w:t>
      </w:r>
    </w:p>
    <w:p>
      <w:pPr>
        <w:pStyle w:val="CMT"/>
        <w:rPr/>
      </w:pPr>
      <w:r>
        <w:rPr/>
        <w:t>Material in "Hook-and-Loop Tape" Paragraph below is suitable for easily removable signs or sign components. Hook side of hook-and-loop tape can be used for mounting signs on some fabrics; consult manufacturer for recommendations.</w:t>
      </w:r>
    </w:p>
    <w:p>
      <w:pPr>
        <w:pStyle w:val="PR1"/>
        <w:numPr>
          <w:ilvl w:val="4"/>
          <w:numId w:val="1"/>
        </w:numPr>
        <w:rPr/>
      </w:pPr>
      <w:r>
        <w:rPr/>
        <w:t>Hook-and-Loop Tape: Manufacturer's standard two-part tape consisting of hooked part on sign back and looped side on mounting surface.</w:t>
      </w:r>
    </w:p>
    <w:p>
      <w:pPr>
        <w:pStyle w:val="CMT"/>
        <w:rPr/>
      </w:pPr>
      <w:r>
        <w:rPr/>
        <w:t>Material in "Magnetic Tape" Paragraph below is suitable for easily removable signs or sign components and for mounting on steel surfaces only.</w:t>
      </w:r>
    </w:p>
    <w:p>
      <w:pPr>
        <w:pStyle w:val="PR1"/>
        <w:numPr>
          <w:ilvl w:val="4"/>
          <w:numId w:val="1"/>
        </w:numPr>
        <w:rPr/>
      </w:pPr>
      <w:r>
        <w:rPr/>
        <w:t>Magnetic Tape: Manufacturer's standard magnetic tape with adhesive on one side.</w:t>
      </w:r>
    </w:p>
    <w:p>
      <w:pPr>
        <w:pStyle w:val="ART"/>
        <w:numPr>
          <w:ilvl w:val="3"/>
          <w:numId w:val="1"/>
        </w:numPr>
        <w:ind w:hanging="0" w:left="0"/>
        <w:rPr/>
      </w:pPr>
      <w:r>
        <w:rPr/>
        <w:t>FABRICATION</w:t>
      </w:r>
    </w:p>
    <w:p>
      <w:pPr>
        <w:pStyle w:val="CMT"/>
        <w:rPr/>
      </w:pPr>
      <w:r>
        <w:rPr/>
        <w:t>Engraved copy in "Surface-Engraved Graphics" Paragraph below does not leave raised text.</w:t>
      </w:r>
    </w:p>
    <w:p>
      <w:pPr>
        <w:pStyle w:val="PR1"/>
        <w:numPr>
          <w:ilvl w:val="4"/>
          <w:numId w:val="1"/>
        </w:numPr>
        <w:rPr/>
      </w:pPr>
      <w:r>
        <w:rPr/>
        <w:t>Surface-Engraved Graphics: Machine engrave characters and other graphic devices into indicated sign surface to produce precisely formed copy, incised to uniform depth.</w:t>
      </w:r>
    </w:p>
    <w:p>
      <w:pPr>
        <w:pStyle w:val="CMT"/>
        <w:rPr/>
      </w:pPr>
      <w:r>
        <w:rPr/>
        <w:t>Retain "Subsurface-Applied Graphics" Paragraph below if graphics are applied to the back of clear face sheet.</w:t>
      </w:r>
    </w:p>
    <w:p>
      <w:pPr>
        <w:pStyle w:val="PR1"/>
        <w:numPr>
          <w:ilvl w:val="4"/>
          <w:numId w:val="1"/>
        </w:numPr>
        <w:rPr/>
      </w:pPr>
      <w:r>
        <w:rPr/>
        <w:t>Subsurface-Applied Graphics: Apply graphics to back of clear face-sheet material to produce precisely formed image. Image to be free of rough edges.</w:t>
      </w:r>
    </w:p>
    <w:p>
      <w:pPr>
        <w:pStyle w:val="CMT"/>
        <w:rPr/>
      </w:pPr>
      <w:r>
        <w:rPr/>
        <w:t>Retain "Subsurface-Engraved Graphics" Paragraph below if graphics are reverse engraved on the back of clear face sheet.</w:t>
      </w:r>
    </w:p>
    <w:p>
      <w:pPr>
        <w:pStyle w:val="PR1"/>
        <w:numPr>
          <w:ilvl w:val="4"/>
          <w:numId w:val="1"/>
        </w:numPr>
        <w:rPr/>
      </w:pPr>
      <w:r>
        <w:rPr/>
        <w:t>Subsurface-Engraved Graphics: Reverse engrave back of clear face-sheet material. Fill resulting copy with manufacturer's standard enamel. Apply opaque manufacturer's standard background color coating over enamel-filled copy.</w:t>
      </w:r>
    </w:p>
    <w:p>
      <w:pPr>
        <w:pStyle w:val="CMT"/>
        <w:rPr/>
      </w:pPr>
      <w:r>
        <w:rPr/>
        <w:t>Retain "Shop- and Subsurface-Applied Vinyl" Paragraph below for applied-copy process.</w:t>
      </w:r>
    </w:p>
    <w:p>
      <w:pPr>
        <w:pStyle w:val="PR1"/>
        <w:numPr>
          <w:ilvl w:val="4"/>
          <w:numId w:val="1"/>
        </w:numPr>
        <w:rPr/>
      </w:pPr>
      <w:r>
        <w:rPr/>
        <w:t>Shop- and Subsurface-Applied Vinyl: Align vinyl film in final position and apply to surface. Firmly press film from the middle outward to obtain good bond without blisters or fishmouths.</w:t>
      </w:r>
    </w:p>
    <w:p>
      <w:pPr>
        <w:pStyle w:val="ART"/>
        <w:numPr>
          <w:ilvl w:val="3"/>
          <w:numId w:val="1"/>
        </w:numPr>
        <w:ind w:hanging="0" w:left="0"/>
        <w:rPr/>
      </w:pPr>
      <w:r>
        <w:rPr/>
        <w:t>GENERAL FINISH REQUIREMENTS</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Noticeable variations in same piece are unacceptable. Variations in appearance of adjoining components are acceptable if they are within the range of approved Samples and are assembled or installed to minimize contrast.</w:t>
      </w:r>
    </w:p>
    <w:p>
      <w:pPr>
        <w:pStyle w:val="CMT"/>
        <w:rPr/>
      </w:pPr>
      <w:r>
        <w:rPr/>
        <w:t>Retain "Directional Finishes" Paragraph below for directional finishes; revise to suit Project.</w:t>
      </w:r>
    </w:p>
    <w:p>
      <w:pPr>
        <w:pStyle w:val="PR1"/>
        <w:numPr>
          <w:ilvl w:val="4"/>
          <w:numId w:val="1"/>
        </w:numPr>
        <w:rPr/>
      </w:pPr>
      <w:r>
        <w:rPr/>
        <w:t>Directional Finishes: Run grain with long dimension of each piece and perpendicular to long dimension of finished trim or border surface unless otherwise indicated.</w:t>
      </w:r>
    </w:p>
    <w:p>
      <w:pPr>
        <w:pStyle w:val="PR1"/>
        <w:numPr>
          <w:ilvl w:val="4"/>
          <w:numId w:val="1"/>
        </w:numPr>
        <w:rPr/>
      </w:pPr>
      <w:r>
        <w:rPr/>
        <w:t>Organic, Anodic, and Chemically Produced Finishes: Apply to formed metal after fabrication but before applying contrasting finishes on raised features unless otherwise indicated.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1"/>
        <w:numPr>
          <w:ilvl w:val="4"/>
          <w:numId w:val="1"/>
        </w:numPr>
        <w:rPr/>
      </w:pPr>
      <w:r>
        <w:rPr/>
        <w:t>Verify that sign-support surfaces are within tolerances to accommodate signs without gaps or irregularities between backs of signs and support surfaces unless otherwise indicated.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signs using mounting methods indicated and in accordance with manufacturer's written instructions.</w:t>
      </w:r>
    </w:p>
    <w:p>
      <w:pPr>
        <w:pStyle w:val="PR1"/>
        <w:numPr>
          <w:ilvl w:val="4"/>
          <w:numId w:val="1"/>
        </w:numPr>
        <w:rPr/>
      </w:pPr>
      <w:r>
        <w:rPr/>
        <w:t>Install signs level, plumb, true to line, and at locations and heights indicated, with sign surfaces free of distortion and other defects in appearance.</w:t>
      </w:r>
    </w:p>
    <w:p>
      <w:pPr>
        <w:pStyle w:val="CMT"/>
        <w:rPr/>
      </w:pPr>
      <w:r>
        <w:rPr/>
        <w:t>Retain "Accessible Signage" Paragraph below if required; revise to suit Project. Delete paragraph if all accessible-sign locations are precisely scheduled or indicated on Drawings.</w:t>
      </w:r>
    </w:p>
    <w:p>
      <w:pPr>
        <w:pStyle w:val="PR1"/>
        <w:numPr>
          <w:ilvl w:val="4"/>
          <w:numId w:val="1"/>
        </w:numPr>
        <w:rPr/>
      </w:pPr>
      <w:r>
        <w:rPr/>
        <w:t>Accessible Signage: Install in locations on walls [</w:t>
      </w:r>
      <w:r>
        <w:rPr>
          <w:b/>
        </w:rPr>
        <w:t>as indicated on Drawings</w:t>
      </w:r>
      <w:r>
        <w:rPr/>
        <w:t>] [</w:t>
      </w:r>
      <w:r>
        <w:rPr>
          <w:b/>
        </w:rPr>
        <w:t>and</w:t>
      </w:r>
      <w:r>
        <w:rPr/>
        <w:t>] [</w:t>
      </w:r>
      <w:r>
        <w:rPr>
          <w:b/>
        </w:rPr>
        <w:t>in accordance with the accessibility standards</w:t>
      </w:r>
      <w:r>
        <w:rPr/>
        <w:t>] &lt;</w:t>
      </w:r>
      <w:r>
        <w:rPr>
          <w:b/>
        </w:rPr>
        <w:t>Insert requirement</w:t>
      </w:r>
      <w:r>
        <w:rPr/>
        <w:t>&gt;.</w:t>
      </w:r>
    </w:p>
    <w:p>
      <w:pPr>
        <w:pStyle w:val="PR1"/>
        <w:numPr>
          <w:ilvl w:val="4"/>
          <w:numId w:val="1"/>
        </w:numPr>
        <w:rPr/>
      </w:pPr>
      <w:r>
        <w:rPr/>
        <w:t>Clean substrate of [</w:t>
      </w:r>
      <w:r>
        <w:rPr>
          <w:b/>
        </w:rPr>
        <w:t>adhesives</w:t>
      </w:r>
      <w:r>
        <w:rPr/>
        <w:t>] [</w:t>
      </w:r>
      <w:r>
        <w:rPr>
          <w:b/>
        </w:rPr>
        <w:t>and</w:t>
      </w:r>
      <w:r>
        <w:rPr/>
        <w:t>] [</w:t>
      </w:r>
      <w:r>
        <w:rPr>
          <w:b/>
        </w:rPr>
        <w:t>tapes</w:t>
      </w:r>
      <w:r>
        <w:rPr/>
        <w:t>] to remove materials that would adversely affect bond. Use materials and quantities sufficient to support weight of sign after cure without slippage. Keep [</w:t>
      </w:r>
      <w:r>
        <w:rPr>
          <w:b/>
        </w:rPr>
        <w:t>adhesives</w:t>
      </w:r>
      <w:r>
        <w:rPr/>
        <w:t>] [</w:t>
      </w:r>
      <w:r>
        <w:rPr>
          <w:b/>
        </w:rPr>
        <w:t>and</w:t>
      </w:r>
      <w:r>
        <w:rPr/>
        <w:t>] [</w:t>
      </w:r>
      <w:r>
        <w:rPr>
          <w:b/>
        </w:rPr>
        <w:t>tapes</w:t>
      </w:r>
      <w:r>
        <w:rPr/>
        <w:t>] away from edges to prevent visibility at sign edges.</w:t>
      </w:r>
    </w:p>
    <w:p>
      <w:pPr>
        <w:pStyle w:val="ART"/>
        <w:numPr>
          <w:ilvl w:val="3"/>
          <w:numId w:val="1"/>
        </w:numPr>
        <w:ind w:hanging="0" w:left="0"/>
        <w:rPr/>
      </w:pPr>
      <w:r>
        <w:rPr/>
        <w:t>ADJUSTING AND CLEANING</w:t>
      </w:r>
    </w:p>
    <w:p>
      <w:pPr>
        <w:pStyle w:val="PR1"/>
        <w:numPr>
          <w:ilvl w:val="4"/>
          <w:numId w:val="1"/>
        </w:numPr>
        <w:rPr/>
      </w:pPr>
      <w:r>
        <w:rPr/>
        <w:t>Touch up factory-applied finishes to restore damaged or soiled areas.</w:t>
      </w:r>
    </w:p>
    <w:p>
      <w:pPr>
        <w:pStyle w:val="PR1"/>
        <w:numPr>
          <w:ilvl w:val="4"/>
          <w:numId w:val="1"/>
        </w:numPr>
        <w:rPr/>
      </w:pPr>
      <w:r>
        <w:rPr/>
        <w:t>Remove temporary protective coverings and strippable films as signs are installed.</w:t>
      </w:r>
    </w:p>
    <w:p>
      <w:pPr>
        <w:pStyle w:val="CMT"/>
        <w:rPr/>
      </w:pPr>
      <w:r>
        <w:rPr/>
        <w:t>Insert a sign schedule here or on Drawings to list each sign type by drawing designation, text, and quantity, coordinated with Drawings. Also include sign size, font, colors, and locations to extent that these items are not indicated on Drawings. See the Evaluations for an example of a sign schedule.</w:t>
      </w:r>
    </w:p>
    <w:p>
      <w:pPr>
        <w:pStyle w:val="EOS"/>
        <w:rPr/>
      </w:pPr>
      <w:r>
        <w:rPr/>
        <w:t>END OF SECTION 101429</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MODULAR SIGNAGE</w:t>
          </w:r>
        </w:p>
      </w:tc>
      <w:tc>
        <w:tcPr>
          <w:tcW w:w="1872" w:type="dxa"/>
          <w:tcBorders/>
        </w:tcPr>
        <w:p>
          <w:pPr>
            <w:pStyle w:val="RJUST"/>
            <w:rPr/>
          </w:pPr>
          <w:r>
            <w:rPr>
              <w:rStyle w:val="NUM"/>
            </w:rPr>
            <w:t>101429</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101429"/>
    <w:docVar w:name="MF95" w:val="10437"/>
    <w:docVar w:name="MFOrigin" w:val="MF04"/>
    <w:docVar w:name="SpecType" w:val="MasterSpec"/>
    <w:docVar w:name="Version" w:val="1648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1429&amp;ver=03-01-22&amp;format=FL&amp;sid=16485&amp;utm_source=MasterSpec&amp;utm_medium=Word" TargetMode="External"/><Relationship Id="rId3" Type="http://schemas.openxmlformats.org/officeDocument/2006/relationships/hyperlink" Target="http://www.arcomnet.com/sustainable_design.aspx?topic=11" TargetMode="External"/><Relationship Id="rId4" Type="http://schemas.openxmlformats.org/officeDocument/2006/relationships/hyperlink" Target="http://www.specagent.com/LookUp/?ulid=13378&amp;mf=&amp;src=wd" TargetMode="External"/><Relationship Id="rId5" Type="http://schemas.openxmlformats.org/officeDocument/2006/relationships/hyperlink" Target="http://www.arcomnet.com/sustainable_design.aspx?topic=143" TargetMode="External"/><Relationship Id="rId6" Type="http://schemas.openxmlformats.org/officeDocument/2006/relationships/hyperlink" Target="http://www.arcomnet.com/sustainable_design.aspx?topic=140"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2022-09-26T02:24:00Z</dcterms:created>
  <dc:creator>Deltek, Inc.</dc:creator>
  <dc:description/>
  <cp:keywords>BAS-12345-MS80</cp:keywords>
  <dc:language>zh-CN</dc:language>
  <cp:lastModifiedBy>Janice Nacional</cp:lastModifiedBy>
  <dcterms:modified xsi:type="dcterms:W3CDTF">2022-09-26T02:24:00Z</dcterms:modified>
  <cp:revision>2</cp:revision>
  <dc:subject>MODULAR SIGNAGE</dc:subject>
  <dc:title>SECTION 101429 - MODULAR SIGNAGE</dc:title>
</cp:coreProperties>
</file>