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101473</w:t>
      </w:r>
      <w:r>
        <w:rPr/>
        <w:t xml:space="preserve"> - </w:t>
      </w:r>
      <w:r>
        <w:rPr>
          <w:rStyle w:val="NAM"/>
        </w:rPr>
        <w:t>PAINTED SIGNAGE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Field-lettered signs painted directly on substrates in good condition.</w:t>
      </w:r>
    </w:p>
    <w:p>
      <w:pPr>
        <w:pStyle w:val="PR2"/>
        <w:numPr>
          <w:ilvl w:val="5"/>
          <w:numId w:val="1"/>
        </w:numPr>
        <w:ind w:hanging="0" w:left="0"/>
        <w:rPr/>
      </w:pPr>
      <w:r>
        <w:rPr/>
        <w:t>Wall-identification signs for fire and smoke assemblies.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015000 "Temporary Facilities and Controls" for temporary Project identification signs and for temporary information and directional signs.</w:t>
      </w:r>
    </w:p>
    <w:p>
      <w:pPr>
        <w:pStyle w:val="PR2"/>
        <w:numPr>
          <w:ilvl w:val="5"/>
          <w:numId w:val="1"/>
        </w:numPr>
        <w:ind w:hanging="0" w:left="0"/>
        <w:rPr/>
      </w:pPr>
      <w:r>
        <w:rPr/>
        <w:t>Section 099423 " Gilding" for gilding surfaces and gilding applied to painted signs.</w:t>
      </w:r>
    </w:p>
    <w:p>
      <w:pPr>
        <w:pStyle w:val="PR2"/>
        <w:numPr>
          <w:ilvl w:val="5"/>
          <w:numId w:val="1"/>
        </w:numPr>
        <w:ind w:hanging="0" w:left="0"/>
        <w:rPr/>
      </w:pPr>
      <w:r>
        <w:rPr/>
        <w:t>Section 101423 "Panel Signage" for field-applied, vinyl-character signs.</w:t>
      </w:r>
    </w:p>
    <w:p>
      <w:pPr>
        <w:pStyle w:val="PR2"/>
        <w:numPr>
          <w:ilvl w:val="5"/>
          <w:numId w:val="1"/>
        </w:numPr>
        <w:ind w:hanging="0" w:left="0"/>
        <w:rPr/>
      </w:pPr>
      <w:r>
        <w:rPr/>
        <w:t>Section 321723 "Pavement Markings" for signage painted on pavements.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PR1"/>
        <w:numPr>
          <w:ilvl w:val="4"/>
          <w:numId w:val="1"/>
        </w:numPr>
        <w:ind w:hanging="0" w:left="0"/>
        <w:rPr/>
      </w:pPr>
      <w:r>
        <w:rPr/>
        <w:t>Allowances for [</w:t>
      </w:r>
      <w:r>
        <w:rPr>
          <w:b/>
        </w:rPr>
        <w:t>signage</w:t>
      </w:r>
      <w:r>
        <w:rPr/>
        <w:t>] [</w:t>
      </w:r>
      <w:r>
        <w:rPr>
          <w:b/>
        </w:rPr>
        <w:t>painted signs</w:t>
      </w:r>
      <w:r>
        <w:rPr/>
        <w:t>] &lt;</w:t>
      </w:r>
      <w:r>
        <w:rPr>
          <w:b/>
        </w:rPr>
        <w:t>Insert item description</w:t>
      </w:r>
      <w:r>
        <w:rPr/>
        <w:t>&gt; are specified in Section 012100 "Allowances."</w:t>
      </w:r>
    </w:p>
    <w:p>
      <w:pPr>
        <w:pStyle w:val="PR1"/>
        <w:numPr>
          <w:ilvl w:val="4"/>
          <w:numId w:val="1"/>
        </w:numPr>
        <w:ind w:hanging="0" w:left="0"/>
        <w:rPr/>
      </w:pPr>
      <w:r>
        <w:rPr/>
        <w:t>&lt;</w:t>
      </w:r>
      <w:r>
        <w:rPr>
          <w:b/>
        </w:rPr>
        <w:t>Insert product or material</w:t>
      </w:r>
      <w:r>
        <w:rPr/>
        <w:t>&gt; [</w:t>
      </w:r>
      <w:r>
        <w:rPr>
          <w:b/>
        </w:rPr>
        <w:t>is</w:t>
      </w:r>
      <w:r>
        <w:rPr/>
        <w:t>] [</w:t>
      </w:r>
      <w:r>
        <w:rPr>
          <w:b/>
        </w:rPr>
        <w:t>are</w:t>
      </w:r>
      <w:r>
        <w:rPr/>
        <w:t>]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ind w:hanging="0" w:left="0"/>
        <w:rPr/>
      </w:pPr>
      <w:r>
        <w:rPr/>
        <w:t>Work of this Section is affected by unit prices specified in Section 012200 "Unit Prices."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Accessible: In accordance with the accessibility standard.</w:t>
      </w:r>
    </w:p>
    <w:p>
      <w:pPr>
        <w:pStyle w:val="CMT"/>
        <w:rPr/>
      </w:pPr>
      <w:r>
        <w:rPr/>
        <w:t>Definitions of gloss levels in first six paragraphs below are based on MPI's standard gloss values.</w:t>
      </w:r>
    </w:p>
    <w:p>
      <w:pPr>
        <w:pStyle w:val="PR1"/>
        <w:numPr>
          <w:ilvl w:val="4"/>
          <w:numId w:val="1"/>
        </w:numPr>
        <w:ind w:hanging="0" w:left="0"/>
        <w:rPr/>
      </w:pPr>
      <w:r>
        <w:rPr/>
        <w:t>Gloss Level 1: Not more than 5 units at 60 degrees and 10 units at 85 degrees, according to ASTM D523.</w:t>
      </w:r>
    </w:p>
    <w:p>
      <w:pPr>
        <w:pStyle w:val="PR1"/>
        <w:numPr>
          <w:ilvl w:val="4"/>
          <w:numId w:val="1"/>
        </w:numPr>
        <w:ind w:hanging="0" w:left="0"/>
        <w:rPr/>
      </w:pPr>
      <w:r>
        <w:rPr/>
        <w:t>Gloss Level 2: Not more than 10 units at 60 degrees and 10 to 35 units at 85 degrees, according to ASTM D523.</w:t>
      </w:r>
    </w:p>
    <w:p>
      <w:pPr>
        <w:pStyle w:val="PR1"/>
        <w:numPr>
          <w:ilvl w:val="4"/>
          <w:numId w:val="1"/>
        </w:numPr>
        <w:ind w:hanging="0" w:left="0"/>
        <w:rPr/>
      </w:pPr>
      <w:r>
        <w:rPr/>
        <w:t>Gloss Level 3: 10 to 25 units at 60 degrees and 10 to 35 units at 85 degrees, according to ASTM D523.</w:t>
      </w:r>
    </w:p>
    <w:p>
      <w:pPr>
        <w:pStyle w:val="PR1"/>
        <w:numPr>
          <w:ilvl w:val="4"/>
          <w:numId w:val="1"/>
        </w:numPr>
        <w:ind w:hanging="0" w:left="0"/>
        <w:rPr/>
      </w:pPr>
      <w:r>
        <w:rPr/>
        <w:t>Gloss Level 4: 20 to 35 units at 60 degrees and not less than 35 units at 85 degrees, according to ASTM D523.</w:t>
      </w:r>
    </w:p>
    <w:p>
      <w:pPr>
        <w:pStyle w:val="PR1"/>
        <w:numPr>
          <w:ilvl w:val="4"/>
          <w:numId w:val="1"/>
        </w:numPr>
        <w:ind w:hanging="0" w:left="0"/>
        <w:rPr/>
      </w:pPr>
      <w:r>
        <w:rPr/>
        <w:t>Gloss Level 5: 35 to 70 units at 60 degrees, according to ASTM D523.</w:t>
      </w:r>
    </w:p>
    <w:p>
      <w:pPr>
        <w:pStyle w:val="PR1"/>
        <w:numPr>
          <w:ilvl w:val="4"/>
          <w:numId w:val="1"/>
        </w:numPr>
        <w:ind w:hanging="0" w:left="0"/>
        <w:rPr/>
      </w:pPr>
      <w:r>
        <w:rPr/>
        <w:t>Gloss Level 6: 70 to 85 units at 60 degrees, according to ASTM D523.</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paints and coatings.&gt;</w:t>
        </w:r>
      </w:hyperlink>
    </w:p>
    <w:p>
      <w:pPr>
        <w:pStyle w:val="PR1"/>
        <w:numPr>
          <w:ilvl w:val="4"/>
          <w:numId w:val="1"/>
        </w:numPr>
        <w:ind w:hanging="0" w:left="0"/>
        <w:rPr/>
      </w:pPr>
      <w:r>
        <w:rPr/>
        <w:t>Shop Drawings: For painted signs.</w:t>
      </w:r>
    </w:p>
    <w:p>
      <w:pPr>
        <w:pStyle w:val="PR2"/>
        <w:numPr>
          <w:ilvl w:val="5"/>
          <w:numId w:val="1"/>
        </w:numPr>
        <w:spacing w:before="240" w:after="0"/>
        <w:ind w:hanging="0" w:left="0"/>
        <w:rPr/>
      </w:pPr>
      <w:r>
        <w:rPr/>
        <w:t>Show sign locations and mounting heights.</w:t>
      </w:r>
    </w:p>
    <w:p>
      <w:pPr>
        <w:pStyle w:val="PR2"/>
        <w:numPr>
          <w:ilvl w:val="5"/>
          <w:numId w:val="1"/>
        </w:numPr>
        <w:ind w:hanging="0" w:left="0"/>
        <w:rPr/>
      </w:pPr>
      <w:r>
        <w:rPr/>
        <w:t>Show message list, typestyles, graphic elements, and layout for each sign at least [</w:t>
      </w:r>
      <w:r>
        <w:rPr>
          <w:b/>
        </w:rPr>
        <w:t>half size</w:t>
      </w:r>
      <w:r>
        <w:rPr/>
        <w:t>] &lt;</w:t>
      </w:r>
      <w:r>
        <w:rPr>
          <w:b/>
        </w:rPr>
        <w:t>Insert scale</w:t>
      </w:r>
      <w:r>
        <w:rPr/>
        <w:t>&gt;.</w:t>
      </w:r>
    </w:p>
    <w:p>
      <w:pPr>
        <w:pStyle w:val="PR1"/>
        <w:numPr>
          <w:ilvl w:val="4"/>
          <w:numId w:val="1"/>
        </w:numPr>
        <w:ind w:hanging="0" w:left="0"/>
        <w:rPr/>
      </w:pPr>
      <w:r>
        <w:rPr/>
        <w:t>Samples: For each type of paint, paint system, color, and gloss; [</w:t>
      </w:r>
      <w:r>
        <w:rPr>
          <w:b/>
        </w:rPr>
        <w:t xml:space="preserve">minimum </w:t>
      </w:r>
      <w:r>
        <w:rPr>
          <w:rStyle w:val="IP"/>
          <w:b/>
        </w:rPr>
        <w:t>4 inches</w:t>
      </w:r>
      <w:r>
        <w:rPr>
          <w:rStyle w:val="SI"/>
          <w:b/>
        </w:rPr>
        <w:t xml:space="preserve"> (100 mm)</w:t>
      </w:r>
      <w:r>
        <w:rPr>
          <w:b/>
        </w:rPr>
        <w:t xml:space="preserve"> long in least dimension</w:t>
      </w:r>
      <w:r>
        <w:rPr/>
        <w:t>] &lt;</w:t>
      </w:r>
      <w:r>
        <w:rPr>
          <w:b/>
        </w:rPr>
        <w:t>Insert dimensions</w:t>
      </w:r>
      <w:r>
        <w:rPr/>
        <w:t>&gt;; on hardboard.</w:t>
      </w:r>
    </w:p>
    <w:p>
      <w:pPr>
        <w:pStyle w:val="PR2"/>
        <w:numPr>
          <w:ilvl w:val="5"/>
          <w:numId w:val="1"/>
        </w:numPr>
        <w:spacing w:before="240" w:after="0"/>
        <w:ind w:hanging="0" w:left="0"/>
        <w:rPr/>
      </w:pPr>
      <w:r>
        <w:rPr/>
        <w:t>Include stepped Samples defining each separate coat, if any. Resubmit until each required sheen, color, and texture is achieved.</w:t>
      </w:r>
    </w:p>
    <w:p>
      <w:pPr>
        <w:pStyle w:val="CMT"/>
        <w:rPr/>
      </w:pPr>
      <w:r>
        <w:rPr/>
        <w:t>Retain first subparagraph below if citing color codes of Munsell, Pantone, or Plochere color systems. See Evaluations.</w:t>
      </w:r>
    </w:p>
    <w:p>
      <w:pPr>
        <w:pStyle w:val="PR2"/>
        <w:numPr>
          <w:ilvl w:val="5"/>
          <w:numId w:val="1"/>
        </w:numPr>
        <w:ind w:hanging="0" w:left="0"/>
        <w:rPr/>
      </w:pPr>
      <w:r>
        <w:rPr/>
        <w:t>For each painted color being matched to a standardized color-coding system, include the color chips from the color-coding-system company with Samples.</w:t>
      </w:r>
    </w:p>
    <w:p>
      <w:pPr>
        <w:pStyle w:val="PR2"/>
        <w:numPr>
          <w:ilvl w:val="5"/>
          <w:numId w:val="1"/>
        </w:numPr>
        <w:ind w:hanging="0" w:left="0"/>
        <w:rPr/>
      </w:pPr>
      <w:r>
        <w:rPr/>
        <w:t>Include a list of materials for each coat of each Sample.</w:t>
      </w:r>
    </w:p>
    <w:p>
      <w:pPr>
        <w:pStyle w:val="PR2"/>
        <w:numPr>
          <w:ilvl w:val="5"/>
          <w:numId w:val="1"/>
        </w:numPr>
        <w:ind w:hanging="0" w:left="0"/>
        <w:rPr/>
      </w:pPr>
      <w:r>
        <w:rPr/>
        <w:t>Label each Sample for location and application.</w:t>
      </w:r>
    </w:p>
    <w:p>
      <w:pPr>
        <w:pStyle w:val="PR1"/>
        <w:numPr>
          <w:ilvl w:val="4"/>
          <w:numId w:val="1"/>
        </w:numPr>
        <w:ind w:hanging="0" w:left="0"/>
        <w:rPr/>
      </w:pPr>
      <w:r>
        <w:rPr/>
        <w:t>Product Schedule: For painted signs. Use same designations indicated on Drawings or specified.</w:t>
      </w:r>
    </w:p>
    <w:p>
      <w:pPr>
        <w:pStyle w:val="ART"/>
        <w:numPr>
          <w:ilvl w:val="3"/>
          <w:numId w:val="1"/>
        </w:numPr>
        <w:ind w:hanging="0" w:left="0"/>
        <w:rPr/>
      </w:pPr>
      <w:r>
        <w:rPr/>
        <w:t>INFORMATIONAL SUBMITTALS</w:t>
      </w:r>
    </w:p>
    <w:p>
      <w:pPr>
        <w:pStyle w:val="PR1"/>
        <w:numPr>
          <w:ilvl w:val="4"/>
          <w:numId w:val="1"/>
        </w:numPr>
        <w:ind w:hanging="0" w:left="0"/>
        <w:rPr/>
      </w:pPr>
      <w:r>
        <w:rPr/>
        <w:t>Color Matching Certificate: For computer color matching of colors.</w:t>
      </w:r>
    </w:p>
    <w:p>
      <w:pPr>
        <w:pStyle w:val="ART"/>
        <w:numPr>
          <w:ilvl w:val="3"/>
          <w:numId w:val="1"/>
        </w:numPr>
        <w:ind w:hanging="0" w:left="0"/>
        <w:rPr/>
      </w:pPr>
      <w:r>
        <w:rPr/>
        <w:t>MAINTENANCE MATERIAL SUBMITTALS</w:t>
      </w:r>
    </w:p>
    <w:p>
      <w:pPr>
        <w:pStyle w:val="PR1"/>
        <w:numPr>
          <w:ilvl w:val="4"/>
          <w:numId w:val="1"/>
        </w:numPr>
        <w:ind w:hanging="0" w:left="0"/>
        <w:rPr/>
      </w:pPr>
      <w:r>
        <w:rPr/>
        <w:t>Furnish extra paint materials, from the same production run, that match products applied and that are packaged with protective covering for storage and identified with labels describing contents, including material, finish, source, and sign location on building.</w:t>
      </w:r>
    </w:p>
    <w:p>
      <w:pPr>
        <w:pStyle w:val="CMT"/>
        <w:rPr/>
      </w:pPr>
      <w:r>
        <w:rPr/>
        <w:t>"Quantity" Subparagraph below is an example only; revise to suit Project. Elaborate on item description or insert additional subparagraphs if some painted sign materials require a greater quantity than do others.</w:t>
      </w:r>
    </w:p>
    <w:p>
      <w:pPr>
        <w:pStyle w:val="PR2"/>
        <w:numPr>
          <w:ilvl w:val="5"/>
          <w:numId w:val="1"/>
        </w:numPr>
        <w:spacing w:before="240" w:after="0"/>
        <w:ind w:hanging="0" w:left="0"/>
        <w:rPr/>
      </w:pPr>
      <w:r>
        <w:rPr/>
        <w:t>Quantity: Furnish Owner with an additional [</w:t>
      </w:r>
      <w:r>
        <w:rPr>
          <w:b/>
        </w:rPr>
        <w:t>3</w:t>
      </w:r>
      <w:r>
        <w:rPr/>
        <w:t>] [</w:t>
      </w:r>
      <w:r>
        <w:rPr>
          <w:b/>
        </w:rPr>
        <w:t>5</w:t>
      </w:r>
      <w:r>
        <w:rPr/>
        <w:t>] [</w:t>
      </w:r>
      <w:r>
        <w:rPr>
          <w:b/>
        </w:rPr>
        <w:t>7</w:t>
      </w:r>
      <w:r>
        <w:rPr/>
        <w:t>] &lt;</w:t>
      </w:r>
      <w:r>
        <w:rPr>
          <w:b/>
        </w:rPr>
        <w:t>Insert number</w:t>
      </w:r>
      <w:r>
        <w:rPr/>
        <w:t>&gt; percent, but not less than [</w:t>
      </w:r>
      <w:r>
        <w:rPr>
          <w:rStyle w:val="IP"/>
          <w:b/>
        </w:rPr>
        <w:t>1 gal.</w:t>
      </w:r>
      <w:r>
        <w:rPr>
          <w:rStyle w:val="SI"/>
          <w:b/>
        </w:rPr>
        <w:t xml:space="preserve"> (3.8 L)</w:t>
      </w:r>
      <w:r>
        <w:rPr/>
        <w:t>] &lt;</w:t>
      </w:r>
      <w:r>
        <w:rPr>
          <w:b/>
        </w:rPr>
        <w:t>Insert quantity</w:t>
      </w:r>
      <w:r>
        <w:rPr/>
        <w:t>&gt; of each material and color applied.</w:t>
      </w:r>
    </w:p>
    <w:p>
      <w:pPr>
        <w:pStyle w:val="ART"/>
        <w:numPr>
          <w:ilvl w:val="3"/>
          <w:numId w:val="1"/>
        </w:numPr>
        <w:ind w:hanging="0" w:left="0"/>
        <w:rPr/>
      </w:pPr>
      <w:r>
        <w:rPr/>
        <w:t>QUALITY ASSURANCE</w:t>
      </w:r>
    </w:p>
    <w:p>
      <w:pPr>
        <w:pStyle w:val="CMT"/>
        <w:rPr/>
      </w:pPr>
      <w:r>
        <w:rPr/>
        <w:t>Retain last option in "Color Matching" Paragraph below if citing color codes of Munsell, Pantone, or Plochere color systems. See the Evaluations.</w:t>
      </w:r>
    </w:p>
    <w:p>
      <w:pPr>
        <w:pStyle w:val="PR1"/>
        <w:numPr>
          <w:ilvl w:val="4"/>
          <w:numId w:val="1"/>
        </w:numPr>
        <w:ind w:hanging="0" w:left="0"/>
        <w:rPr/>
      </w:pPr>
      <w:r>
        <w:rPr/>
        <w:t>Color Matching: Custom computer-match paint colors to colors indicated [</w:t>
      </w:r>
      <w:r>
        <w:rPr>
          <w:b/>
        </w:rPr>
        <w:t>in sign schedule at the end of Part 3</w:t>
      </w:r>
      <w:r>
        <w:rPr/>
        <w:t>] [</w:t>
      </w:r>
      <w:r>
        <w:rPr>
          <w:b/>
        </w:rPr>
        <w:t>on Drawings</w:t>
      </w:r>
      <w:r>
        <w:rPr/>
        <w:t>] &lt;</w:t>
      </w:r>
      <w:r>
        <w:rPr>
          <w:b/>
        </w:rPr>
        <w:t>Insert requirement</w:t>
      </w:r>
      <w:r>
        <w:rPr/>
        <w:t>&gt;.[</w:t>
      </w:r>
      <w:r>
        <w:rPr>
          <w:b/>
        </w:rPr>
        <w:t> For colors indicated by a standardized coding system, obtain a color chip for each color indicated from the color-coding-system company; computer-match paint colors to the color chips.</w:t>
      </w:r>
      <w:r>
        <w:rPr/>
        <w:t>]</w:t>
      </w:r>
    </w:p>
    <w:p>
      <w:pPr>
        <w:pStyle w:val="CMT"/>
        <w:rPr/>
      </w:pPr>
      <w:r>
        <w:rPr/>
        <w:t>Retain required mockups in "Mockups" Paragraph below; insert others to suit Project. Test areas that were prepared or are required as part of a separate contract to evaluate sign painting and processes are not mockups. In some regions, the term "benchmark sample" is used for painted finishes in lieu of "mockup."</w:t>
      </w:r>
    </w:p>
    <w:p>
      <w:pPr>
        <w:pStyle w:val="PR1"/>
        <w:numPr>
          <w:ilvl w:val="4"/>
          <w:numId w:val="1"/>
        </w:numPr>
        <w:ind w:hanging="0" w:left="0"/>
        <w:rPr/>
      </w:pPr>
      <w:r>
        <w:rPr/>
        <w:t>Mockups: Prepare mockups of painted signs for each type of sign material and substrate indicated and each color and finish required to demonstrate aesthetic effects and to set quality standards for materials and execution. Duplicate appearance of approved Sample submittals.</w:t>
      </w:r>
    </w:p>
    <w:p>
      <w:pPr>
        <w:pStyle w:val="PR2"/>
        <w:numPr>
          <w:ilvl w:val="5"/>
          <w:numId w:val="1"/>
        </w:numPr>
        <w:spacing w:before="240" w:after="0"/>
        <w:ind w:hanging="0" w:left="0"/>
        <w:rPr/>
      </w:pPr>
      <w:r>
        <w:rPr/>
        <w:t>Locate mockups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CMT"/>
        <w:rPr/>
      </w:pPr>
      <w:r>
        <w:rPr/>
        <w:t>Consider inserting in "Sign Mockups" Subparagraph below appropriate sizes or texts of mockups to suit Project.</w:t>
      </w:r>
    </w:p>
    <w:p>
      <w:pPr>
        <w:pStyle w:val="PR2"/>
        <w:numPr>
          <w:ilvl w:val="5"/>
          <w:numId w:val="1"/>
        </w:numPr>
        <w:ind w:hanging="0" w:left="0"/>
        <w:rPr/>
      </w:pPr>
      <w:r>
        <w:rPr/>
        <w:t>Sign Mockups: [</w:t>
      </w:r>
      <w:r>
        <w:rPr>
          <w:b/>
        </w:rPr>
        <w:t>Two</w:t>
      </w:r>
      <w:r>
        <w:rPr/>
        <w:t>] &lt;</w:t>
      </w:r>
      <w:r>
        <w:rPr>
          <w:b/>
        </w:rPr>
        <w:t>Insert number</w:t>
      </w:r>
      <w:r>
        <w:rPr/>
        <w:t>&gt; sign texts that represent surfaces and conditions for signage application under same conditions as the completed Work.</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Generally, retain this article; revise to suit Project.</w:t>
      </w:r>
    </w:p>
    <w:p>
      <w:pPr>
        <w:pStyle w:val="PR1"/>
        <w:numPr>
          <w:ilvl w:val="4"/>
          <w:numId w:val="1"/>
        </w:numPr>
        <w:ind w:hanging="0" w:left="0"/>
        <w:rPr/>
      </w:pPr>
      <w:r>
        <w:rPr/>
        <w:t>Weather Limitations: Proceed with painting signs only when existing and forecasted weather conditions are within the environmental limits set by each manufacturer's written instructions and specified requirements.</w:t>
      </w:r>
    </w:p>
    <w:p>
      <w:pPr>
        <w:pStyle w:val="CMT"/>
        <w:rPr/>
      </w:pPr>
      <w:r>
        <w:rPr/>
        <w:t>Revise first two paragraphs below for unique requirements of paint materials and to suit Project.</w:t>
      </w:r>
    </w:p>
    <w:p>
      <w:pPr>
        <w:pStyle w:val="PR1"/>
        <w:numPr>
          <w:ilvl w:val="4"/>
          <w:numId w:val="1"/>
        </w:numPr>
        <w:ind w:hanging="0" w:left="0"/>
        <w:rPr/>
      </w:pPr>
      <w:r>
        <w:rPr/>
        <w:t xml:space="preserve">Apply paints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ind w:hanging="0" w:left="0"/>
        <w:rPr/>
      </w:pPr>
      <w:r>
        <w:rPr/>
        <w:t xml:space="preserve">Do not apply paint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2"/>
        <w:numPr>
          <w:ilvl w:val="5"/>
          <w:numId w:val="1"/>
        </w:numPr>
        <w:spacing w:before="240" w:after="0"/>
        <w:ind w:hanging="0" w:left="0"/>
        <w:rPr/>
      </w:pPr>
      <w:r>
        <w:rPr/>
        <w:t>Painting may continue during inclement weather if surfaces and areas to have painted signs are enclosed and heated within temperature limits specified by manufacturer for surface preparation and during paint application and drying periods.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SIGN-PAINT 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Generally, retain only one of the first two options in the "Accessibility Standard" Paragraph below. Retain the first option for facilities covered under the Americans with Disabilities Act (ADA) of 1990. Retain the second for facilities covered under the Architectural Barriers Act (ABA). Retain last option for compliance with the IBC.</w:t>
      </w:r>
    </w:p>
    <w:p>
      <w:pPr>
        <w:pStyle w:val="PR1"/>
        <w:numPr>
          <w:ilvl w:val="4"/>
          <w:numId w:val="1"/>
        </w:numPr>
        <w:ind w:hanging="0" w:left="0"/>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PAINTED SIGNS</w:t>
      </w:r>
    </w:p>
    <w:p>
      <w:pPr>
        <w:pStyle w:val="CMT"/>
        <w:rPr/>
      </w:pPr>
      <w:r>
        <w:rPr/>
        <w:t>Copy "Painted Sign" Paragraph below and re-edit for each product.</w:t>
      </w:r>
    </w:p>
    <w:p>
      <w:pPr>
        <w:pStyle w:val="CMT"/>
        <w:rPr/>
      </w:pPr>
      <w:r>
        <w:rPr/>
        <w:t>Insert drawing designation. Use these designations on Drawings to identify each sign.</w:t>
      </w:r>
    </w:p>
    <w:p>
      <w:pPr>
        <w:pStyle w:val="PR1"/>
        <w:numPr>
          <w:ilvl w:val="4"/>
          <w:numId w:val="1"/>
        </w:numPr>
        <w:ind w:hanging="0" w:left="0"/>
        <w:rPr/>
      </w:pPr>
      <w:r>
        <w:rPr/>
        <w:t>Painted Sign &lt;</w:t>
      </w:r>
      <w:r>
        <w:rPr>
          <w:b/>
        </w:rPr>
        <w:t>Insert drawing designation</w:t>
      </w:r>
      <w:r>
        <w:rPr/>
        <w:t>&gt;: Sign painted directly on indicated substrate, including primers, sealers, undercoats, and transition coats as required.</w:t>
      </w:r>
    </w:p>
    <w:p>
      <w:pPr>
        <w:pStyle w:val="CMT"/>
        <w:rPr/>
      </w:pPr>
      <w:r>
        <w:rPr/>
        <w:t>Retain one or more subparagraphs below if this information is not fully indicated on Drawings or scheduled.</w:t>
      </w:r>
    </w:p>
    <w:p>
      <w:pPr>
        <w:pStyle w:val="PR2"/>
        <w:numPr>
          <w:ilvl w:val="5"/>
          <w:numId w:val="1"/>
        </w:numPr>
        <w:spacing w:before="240" w:after="0"/>
        <w:ind w:hanging="0" w:left="0"/>
        <w:rPr/>
      </w:pPr>
      <w:r>
        <w:rPr/>
        <w:t>Paint Type: [</w:t>
      </w:r>
      <w:r>
        <w:rPr>
          <w:b/>
        </w:rPr>
        <w:t>Alkyd</w:t>
      </w:r>
      <w:r>
        <w:rPr/>
        <w:t>] [</w:t>
      </w:r>
      <w:r>
        <w:rPr>
          <w:b/>
        </w:rPr>
        <w:t>Epoxy</w:t>
      </w:r>
      <w:r>
        <w:rPr/>
        <w:t>] [</w:t>
      </w:r>
      <w:r>
        <w:rPr>
          <w:b/>
        </w:rPr>
        <w:t>Latex</w:t>
      </w:r>
      <w:r>
        <w:rPr/>
        <w:t>] [</w:t>
      </w:r>
      <w:r>
        <w:rPr>
          <w:b/>
        </w:rPr>
        <w:t>Polyurethane</w:t>
      </w:r>
      <w:r>
        <w:rPr/>
        <w:t>] &lt;</w:t>
      </w:r>
      <w:r>
        <w:rPr>
          <w:b/>
        </w:rPr>
        <w:t>Insert requirement</w:t>
      </w:r>
      <w:r>
        <w:rPr/>
        <w:t>&gt;.</w:t>
      </w:r>
    </w:p>
    <w:p>
      <w:pPr>
        <w:pStyle w:val="PR3"/>
        <w:numPr>
          <w:ilvl w:val="6"/>
          <w:numId w:val="1"/>
        </w:numPr>
        <w:spacing w:before="240" w:after="0"/>
        <w:ind w:hanging="0" w:left="0"/>
        <w:rPr/>
      </w:pPr>
      <w:r>
        <w:rPr/>
        <w:t>Gloss: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w:t>
      </w:r>
    </w:p>
    <w:p>
      <w:pPr>
        <w:pStyle w:val="PR2"/>
        <w:numPr>
          <w:ilvl w:val="5"/>
          <w:numId w:val="1"/>
        </w:numPr>
        <w:spacing w:before="240" w:after="0"/>
        <w:ind w:hanging="0" w:left="0"/>
        <w:rPr/>
      </w:pPr>
      <w:r>
        <w:rPr/>
        <w:t>Substrate: [</w:t>
      </w:r>
      <w:r>
        <w:rPr>
          <w:b/>
        </w:rPr>
        <w:t>As indicated on Drawings</w:t>
      </w:r>
      <w:r>
        <w:rPr/>
        <w:t>] [</w:t>
      </w:r>
      <w:r>
        <w:rPr>
          <w:b/>
        </w:rPr>
        <w:t>As scheduled</w:t>
      </w:r>
      <w:r>
        <w:rPr/>
        <w:t>] [</w:t>
      </w:r>
      <w:r>
        <w:rPr>
          <w:b/>
        </w:rPr>
        <w:t>Painted surface</w:t>
      </w:r>
      <w:r>
        <w:rPr/>
        <w:t>] [</w:t>
      </w:r>
      <w:r>
        <w:rPr>
          <w:b/>
        </w:rPr>
        <w:t>Concrete</w:t>
      </w:r>
      <w:r>
        <w:rPr/>
        <w:t>] [</w:t>
      </w:r>
      <w:r>
        <w:rPr>
          <w:b/>
        </w:rPr>
        <w:t>Stone</w:t>
      </w:r>
      <w:r>
        <w:rPr/>
        <w:t>] [</w:t>
      </w:r>
      <w:r>
        <w:rPr>
          <w:b/>
        </w:rPr>
        <w:t>Glazed block</w:t>
      </w:r>
      <w:r>
        <w:rPr/>
        <w:t>] [</w:t>
      </w:r>
      <w:r>
        <w:rPr>
          <w:b/>
        </w:rPr>
        <w:t>Glass</w:t>
      </w:r>
      <w:r>
        <w:rPr/>
        <w:t>] [</w:t>
      </w:r>
      <w:r>
        <w:rPr>
          <w:b/>
        </w:rPr>
        <w:t>Wood</w:t>
      </w:r>
      <w:r>
        <w:rPr/>
        <w:t>] &lt;</w:t>
      </w:r>
      <w:r>
        <w:rPr>
          <w:b/>
        </w:rPr>
        <w:t>Insert item</w:t>
      </w:r>
      <w:r>
        <w:rPr/>
        <w:t>&gt;.</w:t>
      </w:r>
    </w:p>
    <w:p>
      <w:pPr>
        <w:pStyle w:val="PR2"/>
        <w:numPr>
          <w:ilvl w:val="5"/>
          <w:numId w:val="1"/>
        </w:numPr>
        <w:ind w:hanging="0" w:left="0"/>
        <w:rPr/>
      </w:pPr>
      <w:r>
        <w:rPr/>
        <w:t>Text and Typeface: [</w:t>
      </w:r>
      <w:r>
        <w:rPr>
          <w:b/>
        </w:rPr>
        <w:t>Helvetica</w:t>
      </w:r>
      <w:r>
        <w:rPr/>
        <w:t>] [</w:t>
      </w:r>
      <w:r>
        <w:rPr>
          <w:b/>
        </w:rPr>
        <w:t>Times Roman</w:t>
      </w:r>
      <w:r>
        <w:rPr/>
        <w:t>] [</w:t>
      </w:r>
      <w:r>
        <w:rPr>
          <w:b/>
        </w:rPr>
        <w:t>As indicated on Drawings</w:t>
      </w:r>
      <w:r>
        <w:rPr/>
        <w:t>] [</w:t>
      </w:r>
      <w:r>
        <w:rPr>
          <w:b/>
        </w:rPr>
        <w:t>As scheduled</w:t>
      </w:r>
      <w:r>
        <w:rPr/>
        <w:t>] [</w:t>
      </w:r>
      <w:r>
        <w:rPr>
          <w:b/>
        </w:rPr>
        <w:t>Match Architect's sample</w:t>
      </w:r>
      <w:r>
        <w:rPr/>
        <w:t>] [</w:t>
      </w:r>
      <w:r>
        <w:rPr>
          <w:b/>
        </w:rPr>
        <w:t>Match design reference sample</w:t>
      </w:r>
      <w:r>
        <w:rPr/>
        <w:t>] &lt;</w:t>
      </w:r>
      <w:r>
        <w:rPr>
          <w:b/>
        </w:rPr>
        <w:t>Insert requirement</w:t>
      </w:r>
      <w:r>
        <w:rPr/>
        <w:t>&gt;.</w:t>
      </w:r>
    </w:p>
    <w:p>
      <w:pPr>
        <w:pStyle w:val="PR3"/>
        <w:numPr>
          <w:ilvl w:val="6"/>
          <w:numId w:val="1"/>
        </w:numPr>
        <w:spacing w:before="240" w:after="0"/>
        <w:ind w:hanging="0" w:left="0"/>
        <w:rPr/>
      </w:pPr>
      <w:r>
        <w:rPr/>
        <w:t>Size: [</w:t>
      </w:r>
      <w:r>
        <w:rPr>
          <w:b/>
        </w:rPr>
        <w:t>As indicated on Drawings</w:t>
      </w:r>
      <w:r>
        <w:rPr/>
        <w:t>] [</w:t>
      </w:r>
      <w:r>
        <w:rPr>
          <w:b/>
        </w:rPr>
        <w:t>As scheduled</w:t>
      </w:r>
      <w:r>
        <w:rPr/>
        <w:t>] [</w:t>
      </w:r>
      <w:r>
        <w:rPr>
          <w:rStyle w:val="IP"/>
          <w:b/>
        </w:rPr>
        <w:t>2 in.</w:t>
      </w:r>
      <w:r>
        <w:rPr>
          <w:rStyle w:val="SI"/>
          <w:b/>
        </w:rPr>
        <w:t xml:space="preserve"> (51 mm)</w:t>
      </w:r>
      <w:r>
        <w:rPr>
          <w:b/>
        </w:rPr>
        <w:t xml:space="preserve"> based on height of uppercase "I" letter</w:t>
      </w:r>
      <w:r>
        <w:rPr/>
        <w:t>] &lt;</w:t>
      </w:r>
      <w:r>
        <w:rPr>
          <w:b/>
        </w:rPr>
        <w:t>Insert requirement</w:t>
      </w:r>
      <w:r>
        <w:rPr/>
        <w:t>&gt;.</w:t>
      </w:r>
    </w:p>
    <w:p>
      <w:pPr>
        <w:pStyle w:val="CMT"/>
        <w:rPr/>
      </w:pPr>
      <w:r>
        <w:rPr/>
        <w:t>Insert color or color codes of Munsell, Pantone, or Plochere color systems if required. See Evaluations.</w:t>
      </w:r>
    </w:p>
    <w:p>
      <w:pPr>
        <w:pStyle w:val="PR3"/>
        <w:numPr>
          <w:ilvl w:val="6"/>
          <w:numId w:val="1"/>
        </w:numPr>
        <w:ind w:hanging="0" w:left="0"/>
        <w:rPr/>
      </w:pPr>
      <w:r>
        <w:rPr/>
        <w:t>Color: [</w:t>
      </w:r>
      <w:r>
        <w:rPr>
          <w:b/>
        </w:rPr>
        <w:t>As indicated on Drawings</w:t>
      </w:r>
      <w:r>
        <w:rPr/>
        <w:t>] [</w:t>
      </w:r>
      <w:r>
        <w:rPr>
          <w:b/>
        </w:rPr>
        <w:t>As scheduled</w:t>
      </w:r>
      <w:r>
        <w:rPr/>
        <w:t>] [</w:t>
      </w:r>
      <w:r>
        <w:rPr>
          <w:b/>
        </w:rPr>
        <w:t>Black</w:t>
      </w:r>
      <w:r>
        <w:rPr/>
        <w:t>] &lt;</w:t>
      </w:r>
      <w:r>
        <w:rPr>
          <w:b/>
        </w:rPr>
        <w:t>Insert color</w:t>
      </w:r>
      <w:r>
        <w:rPr/>
        <w:t>&gt;.</w:t>
      </w:r>
    </w:p>
    <w:p>
      <w:pPr>
        <w:pStyle w:val="CMT"/>
        <w:rPr/>
      </w:pPr>
      <w:r>
        <w:rPr/>
        <w:t>Retain "Background" Subparagraph below if required; delete if no background.</w:t>
      </w:r>
    </w:p>
    <w:p>
      <w:pPr>
        <w:pStyle w:val="PR2"/>
        <w:numPr>
          <w:ilvl w:val="5"/>
          <w:numId w:val="1"/>
        </w:numPr>
        <w:spacing w:before="240" w:after="0"/>
        <w:ind w:hanging="0" w:left="0"/>
        <w:rPr/>
      </w:pPr>
      <w:r>
        <w:rPr/>
        <w:t>Background: [</w:t>
      </w:r>
      <w:r>
        <w:rPr>
          <w:b/>
        </w:rPr>
        <w:t>Characters outlined</w:t>
      </w:r>
      <w:r>
        <w:rPr/>
        <w:t>] [</w:t>
      </w:r>
      <w:r>
        <w:rPr>
          <w:b/>
        </w:rPr>
        <w:t>Overall rectangular background</w:t>
      </w:r>
      <w:r>
        <w:rPr/>
        <w:t>] &lt;</w:t>
      </w:r>
      <w:r>
        <w:rPr>
          <w:b/>
        </w:rPr>
        <w:t>Insert requirement</w:t>
      </w:r>
      <w:r>
        <w:rPr/>
        <w:t>&gt;.</w:t>
      </w:r>
    </w:p>
    <w:p>
      <w:pPr>
        <w:pStyle w:val="PR3"/>
        <w:numPr>
          <w:ilvl w:val="6"/>
          <w:numId w:val="1"/>
        </w:numPr>
        <w:spacing w:before="240" w:after="0"/>
        <w:ind w:hanging="0" w:left="0"/>
        <w:rPr/>
      </w:pPr>
      <w:r>
        <w:rPr/>
        <w:t>Thickness or Extent: [</w:t>
      </w:r>
      <w:r>
        <w:rPr>
          <w:b/>
        </w:rPr>
        <w:t>As indicated on Drawings</w:t>
      </w:r>
      <w:r>
        <w:rPr/>
        <w:t>] [</w:t>
      </w:r>
      <w:r>
        <w:rPr>
          <w:b/>
        </w:rPr>
        <w:t>As scheduled</w:t>
      </w:r>
      <w:r>
        <w:rPr/>
        <w:t>] &lt;</w:t>
      </w:r>
      <w:r>
        <w:rPr>
          <w:b/>
        </w:rPr>
        <w:t>Insert requirement</w:t>
      </w:r>
      <w:r>
        <w:rPr/>
        <w:t>&gt;.</w:t>
      </w:r>
    </w:p>
    <w:p>
      <w:pPr>
        <w:pStyle w:val="CMT"/>
        <w:rPr/>
      </w:pPr>
      <w:r>
        <w:rPr/>
        <w:t>Insert color or color codes of Munsell, Pantone, or Plochere color systems if required. See Evaluations.</w:t>
      </w:r>
    </w:p>
    <w:p>
      <w:pPr>
        <w:pStyle w:val="PR3"/>
        <w:numPr>
          <w:ilvl w:val="6"/>
          <w:numId w:val="1"/>
        </w:numPr>
        <w:ind w:hanging="0" w:left="0"/>
        <w:rPr/>
      </w:pPr>
      <w:r>
        <w:rPr/>
        <w:t>Color: [</w:t>
      </w:r>
      <w:r>
        <w:rPr>
          <w:b/>
        </w:rPr>
        <w:t>As indicated on Drawings</w:t>
      </w:r>
      <w:r>
        <w:rPr/>
        <w:t>] [</w:t>
      </w:r>
      <w:r>
        <w:rPr>
          <w:b/>
        </w:rPr>
        <w:t>As scheduled</w:t>
      </w:r>
      <w:r>
        <w:rPr/>
        <w:t>] [</w:t>
      </w:r>
      <w:r>
        <w:rPr>
          <w:b/>
        </w:rPr>
        <w:t>Light gray</w:t>
      </w:r>
      <w:r>
        <w:rPr/>
        <w:t>] &lt;</w:t>
      </w:r>
      <w:r>
        <w:rPr>
          <w:b/>
        </w:rPr>
        <w:t>Insert requirement</w:t>
      </w:r>
      <w:r>
        <w:rPr/>
        <w:t>&gt;.</w:t>
      </w:r>
    </w:p>
    <w:p>
      <w:pPr>
        <w:pStyle w:val="CMT"/>
        <w:rPr/>
      </w:pPr>
      <w:r>
        <w:rPr/>
        <w:t>Retain "Wall-Identification Sign" Paragraph below if fire or smoke assemblies are required and the identification is not specified elsewhere; revise to suit Project.</w:t>
      </w:r>
    </w:p>
    <w:p>
      <w:pPr>
        <w:pStyle w:val="CMT"/>
        <w:rPr/>
      </w:pPr>
      <w:r>
        <w:rPr/>
        <w:t>Copy "Wall-Identification Sign" Paragraph below and re-edit for each product.</w:t>
      </w:r>
    </w:p>
    <w:p>
      <w:pPr>
        <w:pStyle w:val="CMT"/>
        <w:rPr/>
      </w:pPr>
      <w:r>
        <w:rPr/>
        <w:t>Insert drawing designation. Use these designations on Drawings to identify each sign.</w:t>
      </w:r>
    </w:p>
    <w:p>
      <w:pPr>
        <w:pStyle w:val="PR1"/>
        <w:numPr>
          <w:ilvl w:val="4"/>
          <w:numId w:val="1"/>
        </w:numPr>
        <w:ind w:hanging="0" w:left="0"/>
        <w:rPr/>
      </w:pPr>
      <w:r>
        <w:rPr/>
        <w:t>Wall-Identification Sign &lt;</w:t>
      </w:r>
      <w:r>
        <w:rPr>
          <w:b/>
        </w:rPr>
        <w:t>Insert drawing designation</w:t>
      </w:r>
      <w:r>
        <w:rPr/>
        <w:t>&gt;: Sign applied directly on indicated substrate to identify fire and smoke assemblies, including preparatory treatment as required.</w:t>
      </w:r>
    </w:p>
    <w:p>
      <w:pPr>
        <w:pStyle w:val="CMT"/>
        <w:rPr/>
      </w:pPr>
      <w:r>
        <w:rPr/>
        <w:t>Retain one or more subparagraphs below if this information is not fully indicated on Drawings or scheduled.</w:t>
      </w:r>
    </w:p>
    <w:p>
      <w:pPr>
        <w:pStyle w:val="PR2"/>
        <w:numPr>
          <w:ilvl w:val="5"/>
          <w:numId w:val="1"/>
        </w:numPr>
        <w:spacing w:before="240" w:after="0"/>
        <w:ind w:hanging="0" w:left="0"/>
        <w:rPr/>
      </w:pPr>
      <w:r>
        <w:rPr/>
        <w:t>Sign Material: Stenciled-on [</w:t>
      </w:r>
      <w:r>
        <w:rPr>
          <w:b/>
        </w:rPr>
        <w:t>alkyd</w:t>
      </w:r>
      <w:r>
        <w:rPr/>
        <w:t>] [</w:t>
      </w:r>
      <w:r>
        <w:rPr>
          <w:b/>
        </w:rPr>
        <w:t>latex</w:t>
      </w:r>
      <w:r>
        <w:rPr/>
        <w:t>] [</w:t>
      </w:r>
      <w:r>
        <w:rPr>
          <w:b/>
        </w:rPr>
        <w:t>or</w:t>
      </w:r>
      <w:r>
        <w:rPr/>
        <w:t>] [</w:t>
      </w:r>
      <w:r>
        <w:rPr>
          <w:b/>
        </w:rPr>
        <w:t>VOC-compliant spray-applied</w:t>
      </w:r>
      <w:r>
        <w:rPr/>
        <w:t>] &lt;</w:t>
      </w:r>
      <w:r>
        <w:rPr>
          <w:b/>
        </w:rPr>
        <w:t>Insert paint type</w:t>
      </w:r>
      <w:r>
        <w:rPr/>
        <w:t>&gt; paint or preprinted, self-adhesive decals &lt;</w:t>
      </w:r>
      <w:r>
        <w:rPr>
          <w:b/>
        </w:rPr>
        <w:t>Insert requirement</w:t>
      </w:r>
      <w:r>
        <w:rPr/>
        <w:t>&gt;.</w:t>
      </w:r>
    </w:p>
    <w:p>
      <w:pPr>
        <w:pStyle w:val="CMT"/>
        <w:rPr/>
      </w:pPr>
      <w:r>
        <w:rPr/>
        <w:t>Dimensional options and "contrasting color" in "Font" Subparagraph below are required by the IBC.</w:t>
      </w:r>
    </w:p>
    <w:p>
      <w:pPr>
        <w:pStyle w:val="PR2"/>
        <w:numPr>
          <w:ilvl w:val="5"/>
          <w:numId w:val="1"/>
        </w:numPr>
        <w:ind w:hanging="0" w:left="0"/>
        <w:rPr/>
      </w:pPr>
      <w:r>
        <w:rPr/>
        <w:t>Font: Minimum [</w:t>
      </w:r>
      <w:r>
        <w:rPr>
          <w:rStyle w:val="IP"/>
          <w:b/>
        </w:rPr>
        <w:t>3 inches</w:t>
      </w:r>
      <w:r>
        <w:rPr>
          <w:rStyle w:val="SI"/>
          <w:b/>
        </w:rPr>
        <w:t xml:space="preserve"> (76 mm)</w:t>
      </w:r>
      <w:r>
        <w:rPr/>
        <w:t>] &lt;</w:t>
      </w:r>
      <w:r>
        <w:rPr>
          <w:b/>
        </w:rPr>
        <w:t>Insert dimension</w:t>
      </w:r>
      <w:r>
        <w:rPr/>
        <w:t>&gt; high characters in a contrasting color, with minimum [</w:t>
      </w:r>
      <w:r>
        <w:rPr>
          <w:rStyle w:val="IP"/>
          <w:b/>
        </w:rPr>
        <w:t>0.375-inch</w:t>
      </w:r>
      <w:r>
        <w:rPr>
          <w:rStyle w:val="SI"/>
          <w:b/>
        </w:rPr>
        <w:t xml:space="preserve"> (9.5-mm)</w:t>
      </w:r>
      <w:r>
        <w:rPr/>
        <w:t>] &lt;</w:t>
      </w:r>
      <w:r>
        <w:rPr>
          <w:b/>
        </w:rPr>
        <w:t>Insert dimension</w:t>
      </w:r>
      <w:r>
        <w:rPr/>
        <w:t>&gt; wide strokes.</w:t>
      </w:r>
    </w:p>
    <w:p>
      <w:pPr>
        <w:pStyle w:val="CMT"/>
        <w:rPr/>
      </w:pPr>
      <w:r>
        <w:rPr/>
        <w:t>First option in "Text" Subparagraph below is suggested by the IBC.</w:t>
      </w:r>
    </w:p>
    <w:p>
      <w:pPr>
        <w:pStyle w:val="PR2"/>
        <w:numPr>
          <w:ilvl w:val="5"/>
          <w:numId w:val="1"/>
        </w:numPr>
        <w:ind w:hanging="0" w:left="0"/>
        <w:rPr/>
      </w:pPr>
      <w:r>
        <w:rPr/>
        <w:t>Text: [</w:t>
      </w:r>
      <w:r>
        <w:rPr>
          <w:b/>
        </w:rPr>
        <w:t>"FIRE AND/OR SMOKE BARRIER - PROTECT ALL OPENINGS."</w:t>
      </w:r>
      <w:r>
        <w:rPr/>
        <w:t>] [</w:t>
      </w:r>
      <w:r>
        <w:rPr>
          <w:b/>
        </w:rPr>
        <w:t>"1-HOUR FIRE BARRIER - PROTECT ALL OPENINGS."</w:t>
      </w:r>
      <w:r>
        <w:rPr/>
        <w:t>] [</w:t>
      </w:r>
      <w:r>
        <w:rPr>
          <w:b/>
        </w:rPr>
        <w:t>"2-HOUR FIRE BARRIER - PROTECT ALL OPENINGS."</w:t>
      </w:r>
      <w:r>
        <w:rPr/>
        <w:t>] [</w:t>
      </w:r>
      <w:r>
        <w:rPr>
          <w:b/>
        </w:rPr>
        <w:t>"SMOKE BARRIER - PROTECT ALL OPENINGS."</w:t>
      </w:r>
      <w:r>
        <w:rPr/>
        <w:t>] &lt;</w:t>
      </w:r>
      <w:r>
        <w:rPr>
          <w:b/>
        </w:rPr>
        <w:t>Insert text.</w:t>
      </w:r>
      <w:r>
        <w:rPr/>
        <w:t>&gt;</w:t>
      </w:r>
    </w:p>
    <w:p>
      <w:pPr>
        <w:pStyle w:val="ART"/>
        <w:numPr>
          <w:ilvl w:val="3"/>
          <w:numId w:val="1"/>
        </w:numPr>
        <w:ind w:hanging="0" w:left="0"/>
        <w:rPr/>
      </w:pPr>
      <w:r>
        <w:rPr/>
        <w:t>PAINT MATERIALS</w:t>
      </w:r>
    </w:p>
    <w:p>
      <w:pPr>
        <w:pStyle w:val="PR1"/>
        <w:numPr>
          <w:ilvl w:val="4"/>
          <w:numId w:val="1"/>
        </w:numPr>
        <w:ind w:hanging="0" w:left="0"/>
        <w:rPr/>
      </w:pPr>
      <w:r>
        <w:rPr/>
        <w:t>Sign Paints and Coatings: Inks, dyes, and paints that are recommended in writing by manufacturer for optimum adherence to substrate and are UV and water resistant for colors and exposure indicated.</w:t>
      </w:r>
    </w:p>
    <w:p>
      <w:pPr>
        <w:pStyle w:val="PR2"/>
        <w:numPr>
          <w:ilvl w:val="5"/>
          <w:numId w:val="1"/>
        </w:numPr>
        <w:spacing w:before="240" w:after="0"/>
        <w:ind w:hanging="0" w:left="0"/>
        <w:rPr/>
      </w:pPr>
      <w:r>
        <w:rPr/>
        <w:t>Compatibility: Provide paint materials that are compatible with one another and substrates indicated, under conditions of service and application as demonstrated by manufacturer, based on testing and field experience.</w:t>
      </w:r>
    </w:p>
    <w:p>
      <w:pPr>
        <w:pStyle w:val="PR2"/>
        <w:numPr>
          <w:ilvl w:val="5"/>
          <w:numId w:val="1"/>
        </w:numPr>
        <w:ind w:hanging="0" w:left="0"/>
        <w:rPr/>
      </w:pPr>
      <w:r>
        <w:rPr/>
        <w:t>Transition Coat: Paint manufacturer's recommended coating for use where a residual existing coating is incompatible with the paint system.</w:t>
      </w:r>
    </w:p>
    <w:p>
      <w:pPr>
        <w:pStyle w:val="PR1"/>
        <w:numPr>
          <w:ilvl w:val="4"/>
          <w:numId w:val="1"/>
        </w:numPr>
        <w:ind w:hanging="0" w:left="0"/>
        <w:rPr/>
      </w:pPr>
      <w:hyperlink r:id="rId5">
        <w:r>
          <w:rPr>
            <w:rStyle w:val="Hyperlink"/>
          </w:rPr>
          <w:t>&lt;Double click to insert sustainable design text for paints and coatings.&gt;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conditions affecting performance. Comply with paint manufacturer's written instructions for inspection.</w:t>
      </w:r>
    </w:p>
    <w:p>
      <w:pPr>
        <w:pStyle w:val="PR1"/>
        <w:numPr>
          <w:ilvl w:val="4"/>
          <w:numId w:val="1"/>
        </w:numPr>
        <w:ind w:hanging="0" w:left="0"/>
        <w:rPr/>
      </w:pPr>
      <w:r>
        <w:rPr/>
        <w:t>If existing surfaces cannot be prepared to an acceptable condition for proper painting, notify Architect in writing.</w:t>
      </w:r>
    </w:p>
    <w:p>
      <w:pPr>
        <w:pStyle w:val="PR1"/>
        <w:numPr>
          <w:ilvl w:val="4"/>
          <w:numId w:val="1"/>
        </w:numPr>
        <w:ind w:hanging="0" w:left="0"/>
        <w:rPr/>
      </w:pPr>
      <w:r>
        <w:rPr/>
        <w:t>Proceed with installation only after unsatisfactory conditions have been corrected and surface is dry.</w:t>
      </w:r>
    </w:p>
    <w:p>
      <w:pPr>
        <w:pStyle w:val="PR2"/>
        <w:numPr>
          <w:ilvl w:val="5"/>
          <w:numId w:val="1"/>
        </w:numPr>
        <w:spacing w:before="240" w:after="0"/>
        <w:ind w:hanging="0" w:left="0"/>
        <w:rPr/>
      </w:pPr>
      <w:r>
        <w:rPr/>
        <w:t>Beginning coating application constitutes Contractor's acceptance of substrates and conditions.</w:t>
      </w:r>
    </w:p>
    <w:p>
      <w:pPr>
        <w:pStyle w:val="ART"/>
        <w:numPr>
          <w:ilvl w:val="3"/>
          <w:numId w:val="1"/>
        </w:numPr>
        <w:ind w:hanging="0" w:left="0"/>
        <w:rPr/>
      </w:pPr>
      <w:r>
        <w:rPr/>
        <w:t>INSTALLATION</w:t>
      </w:r>
    </w:p>
    <w:p>
      <w:pPr>
        <w:pStyle w:val="CMT"/>
        <w:rPr/>
      </w:pPr>
      <w:r>
        <w:rPr/>
        <w:t>Retain "Appearance Standard" Paragraph below to control overall appearance from a distance; revise to suit Project.</w:t>
      </w:r>
    </w:p>
    <w:p>
      <w:pPr>
        <w:pStyle w:val="PR1"/>
        <w:numPr>
          <w:ilvl w:val="4"/>
          <w:numId w:val="1"/>
        </w:numPr>
        <w:ind w:hanging="0" w:left="0"/>
        <w:rPr/>
      </w:pPr>
      <w:r>
        <w:rPr/>
        <w:t>Appearance Standard: Completed sign work shall have a sharp and uniformly delineated appearance as viewed by Architect from building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from painted surface and from building exterior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from painted surface.</w:t>
      </w:r>
    </w:p>
    <w:p>
      <w:pPr>
        <w:pStyle w:val="PR1"/>
        <w:numPr>
          <w:ilvl w:val="4"/>
          <w:numId w:val="1"/>
        </w:numPr>
        <w:ind w:hanging="0" w:left="0"/>
        <w:rPr/>
      </w:pPr>
      <w:r>
        <w:rPr/>
        <w:t>Comply with manufacturers' written instructions for surface preparation and paint-application for each substrate condition.</w:t>
      </w:r>
    </w:p>
    <w:p>
      <w:pPr>
        <w:pStyle w:val="CMT"/>
        <w:rPr/>
      </w:pPr>
      <w:r>
        <w:rPr/>
        <w:t>Generally, retain first paragraph below for unanticipated conditions where residual existing coating or substrate materials may not be compatible with new paint.</w:t>
      </w:r>
    </w:p>
    <w:p>
      <w:pPr>
        <w:pStyle w:val="PR1"/>
        <w:numPr>
          <w:ilvl w:val="4"/>
          <w:numId w:val="1"/>
        </w:numPr>
        <w:ind w:hanging="0" w:left="0"/>
        <w:rPr/>
      </w:pPr>
      <w:r>
        <w:rPr/>
        <w:t>Apply a transition coat over incompatible existing coatings and substrate materials.</w:t>
      </w:r>
    </w:p>
    <w:p>
      <w:pPr>
        <w:pStyle w:val="PR1"/>
        <w:numPr>
          <w:ilvl w:val="4"/>
          <w:numId w:val="1"/>
        </w:numPr>
        <w:ind w:hanging="0" w:left="0"/>
        <w:rPr/>
      </w:pPr>
      <w:r>
        <w:rPr/>
        <w:t>Apply primers, sealers, undercoats, and transition coats so that they do not extend beyond the limits of the painted signage. Remove excess without damaging the substrate.</w:t>
      </w:r>
    </w:p>
    <w:p>
      <w:pPr>
        <w:pStyle w:val="PR1"/>
        <w:numPr>
          <w:ilvl w:val="4"/>
          <w:numId w:val="1"/>
        </w:numPr>
        <w:ind w:hanging="0" w:left="0"/>
        <w:rPr/>
      </w:pPr>
      <w:r>
        <w:rPr/>
        <w:t>Install signs level, plumb, true to line, with uniform delineation and borders, and at locations and heights indicated.</w:t>
      </w:r>
    </w:p>
    <w:p>
      <w:pPr>
        <w:pStyle w:val="CMT"/>
        <w:rPr/>
      </w:pPr>
      <w:r>
        <w:rPr/>
        <w:t>Revise subparagraph below to suit Project.</w:t>
      </w:r>
    </w:p>
    <w:p>
      <w:pPr>
        <w:pStyle w:val="PR2"/>
        <w:numPr>
          <w:ilvl w:val="5"/>
          <w:numId w:val="1"/>
        </w:numPr>
        <w:spacing w:before="240" w:after="0"/>
        <w:ind w:hanging="0" w:left="0"/>
        <w:rPr/>
      </w:pPr>
      <w:r>
        <w:rPr/>
        <w:t>Prespaced characters with template, cutout stencil, or ruler and straightedge.</w:t>
      </w:r>
    </w:p>
    <w:p>
      <w:pPr>
        <w:pStyle w:val="CMT"/>
        <w:rPr/>
      </w:pPr>
      <w:r>
        <w:rPr/>
        <w:t>Retain "Accessible Signage" Paragraph below if required; revise to suit Project. Delete paragraph if all accessible-sign locations are precisely scheduled or indicated on Drawings.</w:t>
      </w:r>
    </w:p>
    <w:p>
      <w:pPr>
        <w:pStyle w:val="PR1"/>
        <w:numPr>
          <w:ilvl w:val="4"/>
          <w:numId w:val="1"/>
        </w:numPr>
        <w:ind w:hanging="0" w:left="0"/>
        <w:rPr/>
      </w:pPr>
      <w:r>
        <w:rPr/>
        <w:t>Accessible Signage: Install in locations on walls [</w:t>
      </w:r>
      <w:r>
        <w:rPr>
          <w:b/>
        </w:rPr>
        <w:t>as indicated on Drawings</w:t>
      </w:r>
      <w:r>
        <w:rPr/>
        <w:t>] [</w:t>
      </w:r>
      <w:r>
        <w:rPr>
          <w:b/>
        </w:rPr>
        <w:t>and</w:t>
      </w:r>
      <w:r>
        <w:rPr/>
        <w:t>] [</w:t>
      </w:r>
      <w:r>
        <w:rPr>
          <w:b/>
        </w:rPr>
        <w:t>according to accessibility standard</w:t>
      </w:r>
      <w:r>
        <w:rPr/>
        <w:t>] &lt;</w:t>
      </w:r>
      <w:r>
        <w:rPr>
          <w:b/>
        </w:rPr>
        <w:t>Insert requirement</w:t>
      </w:r>
      <w:r>
        <w:rPr/>
        <w:t>&gt;.</w:t>
      </w:r>
    </w:p>
    <w:p>
      <w:pPr>
        <w:pStyle w:val="CMT"/>
        <w:rPr/>
      </w:pPr>
      <w:r>
        <w:rPr/>
        <w:t>Retain "Signs Painted on Glass" Paragraph below if applicable; revise to suit Project.</w:t>
      </w:r>
    </w:p>
    <w:p>
      <w:pPr>
        <w:pStyle w:val="PR1"/>
        <w:numPr>
          <w:ilvl w:val="4"/>
          <w:numId w:val="1"/>
        </w:numPr>
        <w:ind w:hanging="0" w:left="0"/>
        <w:rPr/>
      </w:pPr>
      <w:r>
        <w:rPr/>
        <w:t>Signs Painted on Glass: Provide opaque[</w:t>
      </w:r>
      <w:r>
        <w:rPr>
          <w:b/>
        </w:rPr>
        <w:t>, black</w:t>
      </w:r>
      <w:r>
        <w:rPr/>
        <w:t>] &lt;</w:t>
      </w:r>
      <w:r>
        <w:rPr>
          <w:b/>
        </w:rPr>
        <w:t>Insert color</w:t>
      </w:r>
      <w:r>
        <w:rPr/>
        <w:t>&gt; paint matching painted sign material and finish onto opposite side of glass to conceal back of sign.</w:t>
      </w:r>
    </w:p>
    <w:p>
      <w:pPr>
        <w:pStyle w:val="ART"/>
        <w:numPr>
          <w:ilvl w:val="3"/>
          <w:numId w:val="1"/>
        </w:numPr>
        <w:ind w:hanging="0" w:left="0"/>
        <w:rPr/>
      </w:pPr>
      <w:r>
        <w:rPr/>
        <w:t>MARKING FIRE AND SMOKE ASSEMBLIES</w:t>
      </w:r>
    </w:p>
    <w:p>
      <w:pPr>
        <w:pStyle w:val="CMT"/>
        <w:rPr/>
      </w:pPr>
      <w:r>
        <w:rPr/>
        <w:t>Retain this Article if fire or smoke assemblies are required and the identification is not specified elsewhere; revise to suit Project. Dimensional options below are required by the IBC.</w:t>
      </w:r>
    </w:p>
    <w:p>
      <w:pPr>
        <w:pStyle w:val="PR1"/>
        <w:numPr>
          <w:ilvl w:val="4"/>
          <w:numId w:val="1"/>
        </w:numPr>
        <w:ind w:hanging="0" w:left="0"/>
        <w:rPr/>
      </w:pPr>
      <w:r>
        <w:rPr/>
        <w:t>Wall-Identification Signs: Permanently identify both sides of each fire and smoke assembly indicated on Drawings. Place signs in accessible, concealed floor, floor-ceiling, or attic space at maximum [</w:t>
      </w:r>
      <w:r>
        <w:rPr>
          <w:rStyle w:val="IP"/>
          <w:b/>
        </w:rPr>
        <w:t>15 feet</w:t>
      </w:r>
      <w:r>
        <w:rPr>
          <w:rStyle w:val="SI"/>
          <w:b/>
        </w:rPr>
        <w:t xml:space="preserve"> (4.57 m)</w:t>
      </w:r>
      <w:r>
        <w:rPr/>
        <w:t>] &lt;</w:t>
      </w:r>
      <w:r>
        <w:rPr>
          <w:b/>
        </w:rPr>
        <w:t>Insert dimension</w:t>
      </w:r>
      <w:r>
        <w:rPr/>
        <w:t>&gt; from end of wall and at maximum intervals of [</w:t>
      </w:r>
      <w:r>
        <w:rPr>
          <w:rStyle w:val="IP"/>
          <w:b/>
        </w:rPr>
        <w:t>30 feet</w:t>
      </w:r>
      <w:r>
        <w:rPr>
          <w:rStyle w:val="SI"/>
          <w:b/>
        </w:rPr>
        <w:t xml:space="preserve"> (9.14 m)</w:t>
      </w:r>
      <w:r>
        <w:rPr/>
        <w:t>] &lt;</w:t>
      </w:r>
      <w:r>
        <w:rPr>
          <w:b/>
        </w:rPr>
        <w:t>Insert dimension</w:t>
      </w:r>
      <w:r>
        <w:rPr/>
        <w:t>&gt;, measured horizontally along the assembly. Locate signs for greatest visibility in the space.</w:t>
      </w:r>
    </w:p>
    <w:p>
      <w:pPr>
        <w:pStyle w:val="ART"/>
        <w:numPr>
          <w:ilvl w:val="3"/>
          <w:numId w:val="1"/>
        </w:numPr>
        <w:ind w:hanging="0" w:left="0"/>
        <w:rPr/>
      </w:pPr>
      <w:r>
        <w:rPr/>
        <w:t>ADJUSTING AND CLEANING</w:t>
      </w:r>
    </w:p>
    <w:p>
      <w:pPr>
        <w:pStyle w:val="PR1"/>
        <w:numPr>
          <w:ilvl w:val="4"/>
          <w:numId w:val="1"/>
        </w:numPr>
        <w:ind w:hanging="0" w:left="0"/>
        <w:rPr/>
      </w:pPr>
      <w:r>
        <w:rPr/>
        <w:t>Remove and reapply damaged or deformed signs and signs that do not comply with specified requirements. Reapply signs with damaged or deteriorated finishes that cannot be successfully repaired by finish touchup or similar minor repair procedures.</w:t>
      </w:r>
    </w:p>
    <w:p>
      <w:pPr>
        <w:pStyle w:val="PR1"/>
        <w:numPr>
          <w:ilvl w:val="4"/>
          <w:numId w:val="1"/>
        </w:numPr>
        <w:ind w:hanging="0" w:left="0"/>
        <w:rPr/>
      </w:pPr>
      <w:r>
        <w:rPr/>
        <w:t>After completing sign application, clean spattered surfaces. Remove spattered paints by washing, scraping, or other methods. Do not scratch or damage adjacent finished surfaces.</w:t>
      </w:r>
    </w:p>
    <w:p>
      <w:pPr>
        <w:pStyle w:val="PR1"/>
        <w:numPr>
          <w:ilvl w:val="4"/>
          <w:numId w:val="1"/>
        </w:numPr>
        <w:ind w:hanging="0" w:left="0"/>
        <w:rPr/>
      </w:pPr>
      <w:r>
        <w:rPr/>
        <w:t>Protect work of other trades against damage from paint application. Correct damage to work of other trades by cleaning, repairing, replacing, and refinishing, as approved by Architect, and leave in an undamaged condition.</w:t>
      </w:r>
    </w:p>
    <w:p>
      <w:pPr>
        <w:pStyle w:val="PR1"/>
        <w:numPr>
          <w:ilvl w:val="4"/>
          <w:numId w:val="1"/>
        </w:numPr>
        <w:ind w:hanging="0" w:left="0"/>
        <w:rPr/>
      </w:pPr>
      <w:r>
        <w:rPr/>
        <w:t>Remove temporary protective coverings and strippable films as signs are installed.</w:t>
      </w:r>
    </w:p>
    <w:p>
      <w:pPr>
        <w:pStyle w:val="CMT"/>
        <w:rPr/>
      </w:pPr>
      <w:r>
        <w:rPr/>
        <w:t>Insert a sign schedule here or on Drawings to list each sign type by drawing designation, text, and quantity, coordinated with Drawings. Also include sign size, font, colors, and locations to the extent that these items are not shown on Drawings. See Evaluations for an example of a sign schedule.</w:t>
      </w:r>
    </w:p>
    <w:p>
      <w:pPr>
        <w:pStyle w:val="EOS"/>
        <w:rPr/>
      </w:pPr>
      <w:r>
        <w:rPr/>
        <w:t>END OF SECTION 101473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PAINTED SIGNAGE</w:t>
          </w:r>
        </w:p>
      </w:tc>
      <w:tc>
        <w:tcPr>
          <w:tcW w:w="1872" w:type="dxa"/>
          <w:tcBorders/>
        </w:tcPr>
        <w:p>
          <w:pPr>
            <w:pStyle w:val="RJUST"/>
            <w:rPr/>
          </w:pPr>
          <w:r>
            <w:rPr>
              <w:rStyle w:val="NUM"/>
            </w:rPr>
            <w:t>101473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101473"/>
    <w:docVar w:name="MF95" w:val="10439"/>
    <w:docVar w:name="MFOrigin" w:val="MF04"/>
    <w:docVar w:name="SpecType" w:val="MasterSpec"/>
    <w:docVar w:name="Version" w:val="136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473&amp;ver=03-01-17&amp;format=FL&amp;sid=13671&amp;utm_source=MasterSpec&amp;utm_medium=Word" TargetMode="External"/><Relationship Id="rId3" Type="http://schemas.openxmlformats.org/officeDocument/2006/relationships/hyperlink" Target="http://www.arcomnet.com/sustainable_design.aspx?topic=14" TargetMode="External"/><Relationship Id="rId4" Type="http://schemas.openxmlformats.org/officeDocument/2006/relationships/hyperlink" Target="http://www.specagent.com/LookUp/?ulid=12674&amp;mf=04&amp;src=wd" TargetMode="External"/><Relationship Id="rId5" Type="http://schemas.openxmlformats.org/officeDocument/2006/relationships/hyperlink" Target="http://www.arcomnet.com/sustainable_design.aspx?topic=54"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2022-09-26T02:25:00Z</dcterms:created>
  <dc:creator>Deltek, Inc.</dc:creator>
  <dc:description/>
  <cp:keywords>BAS-12345-MS80</cp:keywords>
  <dc:language>zh-CN</dc:language>
  <cp:lastModifiedBy>Janice Nacional</cp:lastModifiedBy>
  <dcterms:modified xsi:type="dcterms:W3CDTF">2022-09-26T02:25:00Z</dcterms:modified>
  <cp:revision>2</cp:revision>
  <dc:subject>PAINTED SIGNAGE</dc:subject>
  <dc:title>SECTION 101473 - PAINTED SIGNAGE</dc:title>
</cp:coreProperties>
</file>