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102116.17</w:t>
      </w:r>
      <w:r>
        <w:rPr/>
        <w:t xml:space="preserve"> - </w:t>
      </w:r>
      <w:r>
        <w:rPr>
          <w:rStyle w:val="NAM"/>
        </w:rPr>
        <w:t>PHENOLIC-CORE SHOWER AND DRESSING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Phenolic-core compartments.</w:t>
      </w:r>
    </w:p>
    <w:p>
      <w:pPr>
        <w:pStyle w:val="PR2"/>
        <w:numPr>
          <w:ilvl w:val="5"/>
          <w:numId w:val="1"/>
        </w:numPr>
        <w:rPr/>
      </w:pPr>
      <w:r>
        <w:rPr/>
        <w:t>Shower receptors.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supports that attach floor-and-ceiling-anchored compartments to the overhead structural system.</w:t>
      </w:r>
    </w:p>
    <w:p>
      <w:pPr>
        <w:pStyle w:val="CMT"/>
        <w:rPr/>
      </w:pPr>
      <w:r>
        <w:rPr/>
        <w:t>Wood may provide adequate overhead support for floor-and-ceiling-anchored compartments; delete last option in first subparagraph below if retaining subparagraph above. Consult manufacturers for recommendations.</w:t>
      </w:r>
    </w:p>
    <w:p>
      <w:pPr>
        <w:pStyle w:val="PR2"/>
        <w:numPr>
          <w:ilvl w:val="5"/>
          <w:numId w:val="1"/>
        </w:numPr>
        <w:rPr/>
      </w:pPr>
      <w:r>
        <w:rPr/>
        <w:t>Section 061000 "Rough Carpentry" for [</w:t>
      </w:r>
      <w:r>
        <w:rPr>
          <w:b/>
        </w:rPr>
        <w:t>blocking</w:t>
      </w:r>
      <w:r>
        <w:rPr/>
        <w:t>] [</w:t>
      </w:r>
      <w:r>
        <w:rPr>
          <w:b/>
        </w:rPr>
        <w:t>and</w:t>
      </w:r>
      <w:r>
        <w:rPr/>
        <w:t>] [</w:t>
      </w:r>
      <w:r>
        <w:rPr>
          <w:b/>
        </w:rPr>
        <w:t>overhead support of floor-and-ceiling-anchored compartments</w:t>
      </w:r>
      <w:r>
        <w:rPr/>
        <w:t>].</w:t>
      </w:r>
    </w:p>
    <w:p>
      <w:pPr>
        <w:pStyle w:val="CMT"/>
        <w:rPr/>
      </w:pPr>
      <w:r>
        <w:rPr/>
        <w:t>Retain first subparagraph below unless accessories are inserted in this Section. Some manufacturers offer a limited number of standard accessory items. Verify availability with manufacturers.</w:t>
      </w:r>
    </w:p>
    <w:p>
      <w:pPr>
        <w:pStyle w:val="PR2"/>
        <w:numPr>
          <w:ilvl w:val="5"/>
          <w:numId w:val="1"/>
        </w:numPr>
        <w:rPr/>
      </w:pPr>
      <w:r>
        <w:rPr/>
        <w:t>Section 102800 "Toilet, Bath, and Laundry Accessories" for grab bars, purse shelves, and similar accessories.</w:t>
      </w:r>
    </w:p>
    <w:p>
      <w:pPr>
        <w:pStyle w:val="PR2"/>
        <w:numPr>
          <w:ilvl w:val="5"/>
          <w:numId w:val="1"/>
        </w:numPr>
        <w:rPr/>
      </w:pPr>
      <w:r>
        <w:rPr/>
        <w:t>Section 224100 "Residential Plumbing Fixtures" for shower heads, valves, and controls.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 For shower and dressing compartments.</w:t>
      </w:r>
    </w:p>
    <w:p>
      <w:pPr>
        <w:pStyle w:val="PR2"/>
        <w:numPr>
          <w:ilvl w:val="5"/>
          <w:numId w:val="1"/>
        </w:numPr>
        <w:spacing w:before="240" w:after="0"/>
        <w:rPr/>
      </w:pPr>
      <w:r>
        <w:rPr/>
        <w:t>Include plans, elevations, sections,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accessories.</w:t>
      </w:r>
    </w:p>
    <w:p>
      <w:pPr>
        <w:pStyle w:val="PR2"/>
        <w:numPr>
          <w:ilvl w:val="5"/>
          <w:numId w:val="1"/>
        </w:numPr>
        <w:rPr/>
      </w:pPr>
      <w:r>
        <w:rPr/>
        <w:t>Show locations of centerlines of drains.</w:t>
      </w:r>
    </w:p>
    <w:p>
      <w:pPr>
        <w:pStyle w:val="CMT"/>
        <w:rPr/>
      </w:pPr>
      <w:r>
        <w:rPr/>
        <w:t>Retain subparagraph below for floor-and-ceiling-anchored compartments.</w:t>
      </w:r>
    </w:p>
    <w:p>
      <w:pPr>
        <w:pStyle w:val="PR2"/>
        <w:numPr>
          <w:ilvl w:val="5"/>
          <w:numId w:val="1"/>
        </w:numPr>
        <w:rPr/>
      </w:pPr>
      <w:r>
        <w:rPr/>
        <w:t>Show[</w:t>
      </w:r>
      <w:r>
        <w:rPr>
          <w:b/>
        </w:rPr>
        <w:t> ceiling grid, ceiling-mounted items, and</w:t>
      </w:r>
      <w:r>
        <w:rPr/>
        <w:t>] overhead support or bracing locations.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compartment material indicated.</w:t>
      </w:r>
    </w:p>
    <w:p>
      <w:pPr>
        <w:pStyle w:val="PR2"/>
        <w:numPr>
          <w:ilvl w:val="5"/>
          <w:numId w:val="1"/>
        </w:numPr>
        <w:spacing w:before="240" w:after="0"/>
        <w:rPr/>
      </w:pPr>
      <w:r>
        <w:rPr/>
        <w:t>Include Samples of hardware and accessories for material and color selection.</w:t>
      </w:r>
    </w:p>
    <w:p>
      <w:pPr>
        <w:pStyle w:val="PR1"/>
        <w:numPr>
          <w:ilvl w:val="4"/>
          <w:numId w:val="1"/>
        </w:numPr>
        <w:rPr/>
      </w:pPr>
      <w:r>
        <w:rPr/>
        <w:t>Samples for Verification: For the following products, in manufacturer's standard sizes unless otherwise indicated:</w:t>
      </w:r>
    </w:p>
    <w:p>
      <w:pPr>
        <w:pStyle w:val="PR2"/>
        <w:numPr>
          <w:ilvl w:val="5"/>
          <w:numId w:val="1"/>
        </w:numPr>
        <w:spacing w:before="240" w:after="0"/>
        <w:rPr/>
      </w:pPr>
      <w:r>
        <w:rPr/>
        <w:t xml:space="preserve">Each type of material, color, and finish required for compartments, prepared on </w:t>
      </w:r>
      <w:r>
        <w:rPr>
          <w:rStyle w:val="IP"/>
        </w:rPr>
        <w:t>6-inch-</w:t>
      </w:r>
      <w:r>
        <w:rPr>
          <w:rStyle w:val="SI"/>
        </w:rPr>
        <w:t xml:space="preserve"> (152-mm-)</w:t>
      </w:r>
      <w:r>
        <w:rPr/>
        <w:t xml:space="preserve"> square Samples of same thickness and material indicated for the Work.</w:t>
      </w:r>
    </w:p>
    <w:p>
      <w:pPr>
        <w:pStyle w:val="PR2"/>
        <w:numPr>
          <w:ilvl w:val="5"/>
          <w:numId w:val="1"/>
        </w:numPr>
        <w:rPr/>
      </w:pPr>
      <w:r>
        <w:rPr/>
        <w:t>Each type of hardware and accessory.</w:t>
      </w:r>
    </w:p>
    <w:p>
      <w:pPr>
        <w:pStyle w:val="PR2"/>
        <w:numPr>
          <w:ilvl w:val="5"/>
          <w:numId w:val="1"/>
        </w:numPr>
        <w:rPr/>
      </w:pPr>
      <w:r>
        <w:rPr/>
        <w:t xml:space="preserve">Curtain Fabric: </w:t>
      </w:r>
      <w:r>
        <w:rPr>
          <w:rStyle w:val="IP"/>
        </w:rPr>
        <w:t>12-inch-</w:t>
      </w:r>
      <w:r>
        <w:rPr>
          <w:rStyle w:val="SI"/>
        </w:rPr>
        <w:t xml:space="preserve"> (305-mm-)</w:t>
      </w:r>
      <w:r>
        <w:rPr/>
        <w:t xml:space="preserve"> square swatch or larger as required to show complete pattern repeat, from dye lot used for the Work, with specified treatments applied. Mark top and face of material.</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shower and dressing compartment.</w:t>
      </w:r>
    </w:p>
    <w:p>
      <w:pPr>
        <w:pStyle w:val="ART"/>
        <w:numPr>
          <w:ilvl w:val="3"/>
          <w:numId w:val="1"/>
        </w:numPr>
        <w:ind w:hanging="0" w:left="0"/>
        <w:rPr/>
      </w:pPr>
      <w:r>
        <w:rPr/>
        <w:t>CLOSEOUT SUBMITTALS</w:t>
      </w:r>
    </w:p>
    <w:p>
      <w:pPr>
        <w:pStyle w:val="PR1"/>
        <w:numPr>
          <w:ilvl w:val="4"/>
          <w:numId w:val="1"/>
        </w:numPr>
        <w:rPr/>
      </w:pPr>
      <w:r>
        <w:rPr/>
        <w:t>Maintenance Data: For shower and dressing compartments to include in maintenance manuals.</w:t>
      </w:r>
    </w:p>
    <w:p>
      <w:pPr>
        <w:pStyle w:val="ART"/>
        <w:numPr>
          <w:ilvl w:val="3"/>
          <w:numId w:val="1"/>
        </w:numPr>
        <w:ind w:hanging="0" w:left="0"/>
        <w:rPr/>
      </w:pPr>
      <w:r>
        <w:rPr/>
        <w:t>MAINTENANCE MATERIAL SUBMITTALS</w:t>
      </w:r>
    </w:p>
    <w:p>
      <w:pPr>
        <w:pStyle w:val="CMT"/>
        <w:rPr/>
      </w:pPr>
      <w:r>
        <w:rPr/>
        <w:t>Retain this article if required. Revise item list to suit Project.</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door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Clothing Hook: [</w:t>
      </w:r>
      <w:r>
        <w:rPr>
          <w:b/>
        </w:rPr>
        <w:t>One</w:t>
      </w:r>
      <w:r>
        <w:rPr/>
        <w:t>] &lt;</w:t>
      </w:r>
      <w:r>
        <w:rPr>
          <w:b/>
        </w:rPr>
        <w:t>Insert number</w:t>
      </w:r>
      <w:r>
        <w:rPr/>
        <w:t>&gt; clothing hook(s)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PR2"/>
        <w:numPr>
          <w:ilvl w:val="5"/>
          <w:numId w:val="1"/>
        </w:numPr>
        <w:rPr/>
      </w:pPr>
      <w:r>
        <w:rPr/>
        <w:t>Curtain Rod: [</w:t>
      </w:r>
      <w:r>
        <w:rPr>
          <w:b/>
        </w:rPr>
        <w:t>One</w:t>
      </w:r>
      <w:r>
        <w:rPr/>
        <w:t>] &lt;</w:t>
      </w:r>
      <w:r>
        <w:rPr>
          <w:b/>
        </w:rPr>
        <w:t>Insert number</w:t>
      </w:r>
      <w:r>
        <w:rPr/>
        <w:t>&gt; curtain rod(s) with associated fasteners.</w:t>
      </w:r>
    </w:p>
    <w:p>
      <w:pPr>
        <w:pStyle w:val="PR2"/>
        <w:numPr>
          <w:ilvl w:val="5"/>
          <w:numId w:val="1"/>
        </w:numPr>
        <w:rPr/>
      </w:pPr>
      <w:r>
        <w:rPr/>
        <w:t>Curtain Hooks: [</w:t>
      </w:r>
      <w:r>
        <w:rPr>
          <w:b/>
        </w:rPr>
        <w:t>Five</w:t>
      </w:r>
      <w:r>
        <w:rPr/>
        <w:t>] &lt;</w:t>
      </w:r>
      <w:r>
        <w:rPr>
          <w:b/>
        </w:rPr>
        <w:t>Insert number</w:t>
      </w:r>
      <w:r>
        <w:rPr/>
        <w:t>&gt; curtain hooks.</w:t>
      </w:r>
    </w:p>
    <w:p>
      <w:pPr>
        <w:pStyle w:val="PR2"/>
        <w:numPr>
          <w:ilvl w:val="5"/>
          <w:numId w:val="1"/>
        </w:numPr>
        <w:rPr/>
      </w:pPr>
      <w:r>
        <w:rPr/>
        <w:t>Soap Holder: [</w:t>
      </w:r>
      <w:r>
        <w:rPr>
          <w:b/>
        </w:rPr>
        <w:t>One</w:t>
      </w:r>
      <w:r>
        <w:rPr/>
        <w:t>] &lt;</w:t>
      </w:r>
      <w:r>
        <w:rPr>
          <w:b/>
        </w:rPr>
        <w:t>Insert number</w:t>
      </w:r>
      <w:r>
        <w:rPr/>
        <w:t>&gt; soap holder(s) with associated fasteners.</w:t>
      </w:r>
    </w:p>
    <w:p>
      <w:pPr>
        <w:pStyle w:val="PR2"/>
        <w:numPr>
          <w:ilvl w:val="5"/>
          <w:numId w:val="1"/>
        </w:numPr>
        <w:rPr/>
      </w:pPr>
      <w:r>
        <w:rPr/>
        <w:t>Seat: [</w:t>
      </w:r>
      <w:r>
        <w:rPr>
          <w:b/>
        </w:rPr>
        <w:t>One</w:t>
      </w:r>
      <w:r>
        <w:rPr/>
        <w:t>] &lt;</w:t>
      </w:r>
      <w:r>
        <w:rPr>
          <w:b/>
        </w:rPr>
        <w:t>Insert number</w:t>
      </w:r>
      <w:r>
        <w:rPr/>
        <w:t>&gt; seat(s) with associated fasteners.</w:t>
      </w:r>
    </w:p>
    <w:p>
      <w:pPr>
        <w:pStyle w:val="ART"/>
        <w:numPr>
          <w:ilvl w:val="3"/>
          <w:numId w:val="1"/>
        </w:numPr>
        <w:ind w:hanging="0" w:left="0"/>
        <w:rPr/>
      </w:pPr>
      <w:r>
        <w:rPr/>
        <w:t>FIELD CONDITIONS</w:t>
      </w:r>
    </w:p>
    <w:p>
      <w:pPr>
        <w:pStyle w:val="PR1"/>
        <w:numPr>
          <w:ilvl w:val="4"/>
          <w:numId w:val="1"/>
        </w:numPr>
        <w:rPr/>
      </w:pPr>
      <w:r>
        <w:rPr/>
        <w:t>Field Measurements: Verify actual locations of fixtures, drains, walls, columns, ceilings, and other construction contiguous with shower and dressing compartments by field measurements before fabrication.</w:t>
      </w:r>
    </w:p>
    <w:p>
      <w:pPr>
        <w:pStyle w:val="CMT"/>
        <w:rPr/>
      </w:pPr>
      <w:r>
        <w:rPr/>
        <w:t>Insert article for warranty requirements if required. Availability of warranties varies among manufacturers and by type of compartment. When warranties are required, verify with Owner's counsel that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"Surface-Burning Characteristics" Paragraph below if Owner or authorities having jurisdiction require that shower and dressing compartments made of combustible materials comply with surface-burning requirements. See "Fire-Test-Response Characteristics" Article in the Evaluations.</w:t>
      </w:r>
    </w:p>
    <w:p>
      <w:pPr>
        <w:pStyle w:val="PR1"/>
        <w:numPr>
          <w:ilvl w:val="4"/>
          <w:numId w:val="1"/>
        </w:numPr>
        <w:rPr/>
      </w:pPr>
      <w:r>
        <w:rPr/>
        <w:t>Surface-Burning Characteristics: Comply with ASTM E84 or UL 723; testing by a qualified testing agency. Identify products with appropriate markings of applicable testing agency.</w:t>
      </w:r>
    </w:p>
    <w:p>
      <w:pPr>
        <w:pStyle w:val="PR2"/>
        <w:numPr>
          <w:ilvl w:val="5"/>
          <w:numId w:val="1"/>
        </w:numPr>
        <w:spacing w:before="240" w:after="0"/>
        <w:rPr/>
      </w:pPr>
      <w:r>
        <w:rPr/>
        <w:t>Flame-Spread Index: [</w:t>
      </w:r>
      <w:r>
        <w:rPr>
          <w:b/>
        </w:rPr>
        <w:t>25</w:t>
      </w:r>
      <w:r>
        <w:rPr/>
        <w:t>] [</w:t>
      </w:r>
      <w:r>
        <w:rPr>
          <w:b/>
        </w:rPr>
        <w:t>75</w:t>
      </w:r>
      <w:r>
        <w:rPr/>
        <w:t>] [</w:t>
      </w:r>
      <w:r>
        <w:rPr>
          <w:b/>
        </w:rPr>
        <w:t>200</w:t>
      </w:r>
      <w:r>
        <w:rPr/>
        <w:t>] or less.</w:t>
      </w:r>
    </w:p>
    <w:p>
      <w:pPr>
        <w:pStyle w:val="PR2"/>
        <w:numPr>
          <w:ilvl w:val="5"/>
          <w:numId w:val="1"/>
        </w:numPr>
        <w:rPr/>
      </w:pPr>
      <w:r>
        <w:rPr/>
        <w:t>Smoke-Developed Index: 450 or less.</w:t>
      </w:r>
    </w:p>
    <w:p>
      <w:pPr>
        <w:pStyle w:val="PR1"/>
        <w:numPr>
          <w:ilvl w:val="4"/>
          <w:numId w:val="1"/>
        </w:numPr>
        <w:rPr/>
      </w:pPr>
      <w:hyperlink r:id="rId4">
        <w:r>
          <w:rPr>
            <w:rStyle w:val="Hyperlink"/>
          </w:rPr>
          <w:t>&lt;Double click to insert sustainable design text for recycled content.&gt;</w:t>
        </w:r>
      </w:hyperlink>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Accessibility Standard: Comply with applicable provisions in [</w:t>
      </w:r>
      <w:r>
        <w:rPr>
          <w:b/>
        </w:rPr>
        <w:t>the U.S. Architectural &amp; Transportation Barriers Compliance Board's ADA-ABA Accessibility Guidelines for Buildings and Facilities</w:t>
      </w:r>
      <w:r>
        <w:rPr/>
        <w:t>] [</w:t>
      </w:r>
      <w:r>
        <w:rPr>
          <w:b/>
        </w:rPr>
        <w:t>and</w:t>
      </w:r>
      <w:r>
        <w:rPr/>
        <w:t>] [</w:t>
      </w:r>
      <w:r>
        <w:rPr>
          <w:b/>
        </w:rPr>
        <w:t>ICC A117.1</w:t>
      </w:r>
      <w:r>
        <w:rPr/>
        <w:t>] for shower and dressing compartments designated as accessible.</w:t>
      </w:r>
    </w:p>
    <w:p>
      <w:pPr>
        <w:pStyle w:val="ART"/>
        <w:numPr>
          <w:ilvl w:val="3"/>
          <w:numId w:val="1"/>
        </w:numPr>
        <w:ind w:hanging="0" w:left="0"/>
        <w:rPr/>
      </w:pPr>
      <w:r>
        <w:rPr/>
        <w:t>PHENOLIC-CORE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Configuration: [</w:t>
      </w:r>
      <w:r>
        <w:rPr>
          <w:b/>
        </w:rPr>
        <w:t>Shower compartment</w:t>
      </w:r>
      <w:r>
        <w:rPr/>
        <w:t>] [</w:t>
      </w:r>
      <w:r>
        <w:rPr>
          <w:b/>
        </w:rPr>
        <w:t>Shower and dressing compartments</w:t>
      </w:r>
      <w:r>
        <w:rPr/>
        <w:t>] [</w:t>
      </w:r>
      <w:r>
        <w:rPr>
          <w:b/>
        </w:rPr>
        <w:t>Shower compartment with two dressing compartments</w:t>
      </w:r>
      <w:r>
        <w:rPr/>
        <w:t>] [</w:t>
      </w:r>
      <w:r>
        <w:rPr>
          <w:b/>
        </w:rPr>
        <w:t>As indicated on Drawings</w:t>
      </w:r>
      <w:r>
        <w:rPr/>
        <w:t>].</w:t>
      </w:r>
    </w:p>
    <w:p>
      <w:pPr>
        <w:pStyle w:val="CMT"/>
        <w:rPr/>
      </w:pPr>
      <w:r>
        <w:rPr/>
        <w:t>Insert another enclosure style, such as ceiling hung or floor anchored, in "Enclosure Style" Paragraph below if required; verify availability and recommended use with manufacturers.</w:t>
      </w:r>
    </w:p>
    <w:p>
      <w:pPr>
        <w:pStyle w:val="PR1"/>
        <w:numPr>
          <w:ilvl w:val="4"/>
          <w:numId w:val="1"/>
        </w:numPr>
        <w:rPr/>
      </w:pPr>
      <w:r>
        <w:rPr/>
        <w:t>Enclosure Style: [</w:t>
      </w:r>
      <w:r>
        <w:rPr>
          <w:b/>
        </w:rPr>
        <w:t>Overhead braced</w:t>
      </w:r>
      <w:r>
        <w:rPr/>
        <w:t>] [</w:t>
      </w:r>
      <w:r>
        <w:rPr>
          <w:b/>
        </w:rPr>
        <w:t>Floor and ceiling anchored</w:t>
      </w:r>
      <w:r>
        <w:rPr/>
        <w:t>] &lt;</w:t>
      </w:r>
      <w:r>
        <w:rPr>
          <w:b/>
        </w:rPr>
        <w:t>Insert style</w:t>
      </w:r>
      <w:r>
        <w:rPr/>
        <w:t>&gt;.</w:t>
      </w:r>
    </w:p>
    <w:p>
      <w:pPr>
        <w:pStyle w:val="PR1"/>
        <w:numPr>
          <w:ilvl w:val="4"/>
          <w:numId w:val="1"/>
        </w:numPr>
        <w:rPr/>
      </w:pPr>
      <w:r>
        <w:rPr/>
        <w:t xml:space="preserve">Panel and Pilaster Construction: Solid phenolic-core panel material with melamine facing on both sides fused together during panel manufacture (not separately laminated) and with eased and polished edges. Provide minimum </w:t>
      </w:r>
      <w:r>
        <w:rPr>
          <w:rStyle w:val="IP"/>
        </w:rPr>
        <w:t>3/4-inch-</w:t>
      </w:r>
      <w:r>
        <w:rPr>
          <w:rStyle w:val="SI"/>
        </w:rPr>
        <w:t xml:space="preserve"> (19-mm-)</w:t>
      </w:r>
      <w:r>
        <w:rPr/>
        <w:t xml:space="preserve"> thick pilasters and minimum </w:t>
      </w:r>
      <w:r>
        <w:rPr>
          <w:rStyle w:val="IP"/>
        </w:rPr>
        <w:t>1/2-inch-</w:t>
      </w:r>
      <w:r>
        <w:rPr>
          <w:rStyle w:val="SI"/>
        </w:rPr>
        <w:t xml:space="preserve"> (13-mm-)</w:t>
      </w:r>
      <w:r>
        <w:rPr/>
        <w:t xml:space="preserve"> thick panels.</w:t>
      </w:r>
    </w:p>
    <w:p>
      <w:pPr>
        <w:pStyle w:val="CMT"/>
        <w:rPr/>
      </w:pPr>
      <w:r>
        <w:rPr/>
        <w:t>Retain "Door Construction" Paragraph below if doors are required; delete if only curtains are required. Before retaining option, verify availability with manufacturers.</w:t>
      </w:r>
    </w:p>
    <w:p>
      <w:pPr>
        <w:pStyle w:val="PR1"/>
        <w:numPr>
          <w:ilvl w:val="4"/>
          <w:numId w:val="1"/>
        </w:numPr>
        <w:rPr/>
      </w:pPr>
      <w:r>
        <w:rPr/>
        <w:t xml:space="preserve">Door Construction: Match panels; </w:t>
      </w:r>
      <w:r>
        <w:rPr>
          <w:rStyle w:val="IP"/>
        </w:rPr>
        <w:t>3/4-inch</w:t>
      </w:r>
      <w:r>
        <w:rPr>
          <w:rStyle w:val="SI"/>
        </w:rPr>
        <w:t xml:space="preserve"> (19-mm)</w:t>
      </w:r>
      <w:r>
        <w:rPr/>
        <w:t xml:space="preserve"> minimum thickness.[</w:t>
      </w:r>
      <w:r>
        <w:rPr>
          <w:b/>
        </w:rPr>
        <w:t> Equip door and pilasters with manufacturer's standard no-sightline system.</w:t>
      </w:r>
      <w:r>
        <w:rPr/>
        <w:t>]</w:t>
      </w:r>
    </w:p>
    <w:p>
      <w:pPr>
        <w:pStyle w:val="CMT"/>
        <w:rPr/>
      </w:pPr>
      <w:r>
        <w:rPr/>
        <w:t>Retain "Pilaster Shoes" Paragraph below if applicable.</w:t>
      </w:r>
    </w:p>
    <w:p>
      <w:pPr>
        <w:pStyle w:val="PR1"/>
        <w:numPr>
          <w:ilvl w:val="4"/>
          <w:numId w:val="1"/>
        </w:numPr>
        <w:rPr/>
      </w:pPr>
      <w:r>
        <w:rPr/>
        <w:t xml:space="preserve">Pilaster Shoes: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"Pilaster Sleeves (Caps)" Paragraph below if applicable.</w:t>
      </w:r>
    </w:p>
    <w:p>
      <w:pPr>
        <w:pStyle w:val="PR1"/>
        <w:numPr>
          <w:ilvl w:val="4"/>
          <w:numId w:val="1"/>
        </w:numPr>
        <w:rPr/>
      </w:pPr>
      <w:r>
        <w:rPr/>
        <w:t xml:space="preserve">Pilaster Sleeves (Caps):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PR1"/>
        <w:numPr>
          <w:ilvl w:val="4"/>
          <w:numId w:val="1"/>
        </w:numPr>
        <w:rPr/>
      </w:pPr>
      <w:r>
        <w:rPr/>
        <w:t>Brackets (Fittings):</w:t>
      </w:r>
    </w:p>
    <w:p>
      <w:pPr>
        <w:pStyle w:val="CMT"/>
        <w:rPr/>
      </w:pPr>
      <w:r>
        <w:rPr/>
        <w:t>Retain "Full-Height (Continuous) Type" Subparagraph below for shower compartments; verify availability with manufacturers if inserting material other than aluminum. Retain "Full-Height (Continuous) Type," "Stirrup Type," or "Dressing-Compartment Brackets" Subparagraph below for dressing compartments; if retaining more than one, indicate locations of each type of fitting on Drawings or by inserts.</w:t>
      </w:r>
    </w:p>
    <w:p>
      <w:pPr>
        <w:pStyle w:val="PR2"/>
        <w:numPr>
          <w:ilvl w:val="5"/>
          <w:numId w:val="1"/>
        </w:numPr>
        <w:spacing w:before="240" w:after="0"/>
        <w:rPr/>
      </w:pPr>
      <w:r>
        <w:rPr/>
        <w:t>Full-Height (Continuous) Type: Manufacturer's standard design; [</w:t>
      </w:r>
      <w:r>
        <w:rPr>
          <w:b/>
        </w:rPr>
        <w:t>clear-anodized aluminum</w:t>
      </w:r>
      <w:r>
        <w:rPr/>
        <w:t>] &lt;</w:t>
      </w:r>
      <w:r>
        <w:rPr>
          <w:b/>
        </w:rPr>
        <w:t>Insert material</w:t>
      </w:r>
      <w:r>
        <w:rPr/>
        <w:t>&gt;.</w:t>
      </w:r>
    </w:p>
    <w:p>
      <w:pPr>
        <w:pStyle w:val="PR2"/>
        <w:numPr>
          <w:ilvl w:val="5"/>
          <w:numId w:val="1"/>
        </w:numPr>
        <w:rPr/>
      </w:pPr>
      <w:r>
        <w:rPr/>
        <w:t>Stirrup Type: Ear or U-brackets; [</w:t>
      </w:r>
      <w:r>
        <w:rPr>
          <w:b/>
        </w:rPr>
        <w:t>clear-anodized aluminum</w:t>
      </w:r>
      <w:r>
        <w:rPr/>
        <w:t>] [</w:t>
      </w:r>
      <w:r>
        <w:rPr>
          <w:b/>
        </w:rPr>
        <w:t>stainless steel</w:t>
      </w:r>
      <w:r>
        <w:rPr/>
        <w:t>] [</w:t>
      </w:r>
      <w:r>
        <w:rPr>
          <w:b/>
        </w:rPr>
        <w:t>chrome-plated brass</w:t>
      </w:r>
      <w:r>
        <w:rPr/>
        <w:t>].</w:t>
      </w:r>
    </w:p>
    <w:p>
      <w:pPr>
        <w:pStyle w:val="PR2"/>
        <w:numPr>
          <w:ilvl w:val="5"/>
          <w:numId w:val="1"/>
        </w:numPr>
        <w:rPr/>
      </w:pPr>
      <w:r>
        <w:rPr/>
        <w:t>Dressing-Compartment Brackets: Match toilet-compartment brackets specified in Section 102113.17 "Phenolic-Core Toilet Compartments."</w:t>
      </w:r>
    </w:p>
    <w:p>
      <w:pPr>
        <w:pStyle w:val="PR1"/>
        <w:numPr>
          <w:ilvl w:val="4"/>
          <w:numId w:val="1"/>
        </w:numPr>
        <w:rPr/>
      </w:pPr>
      <w:r>
        <w:rPr/>
        <w:t>Phenolic-Panel Finish:</w:t>
      </w:r>
    </w:p>
    <w:p>
      <w:pPr>
        <w:pStyle w:val="PR2"/>
        <w:numPr>
          <w:ilvl w:val="5"/>
          <w:numId w:val="1"/>
        </w:numPr>
        <w:spacing w:before="240" w:after="0"/>
        <w:rPr/>
      </w:pPr>
      <w:r>
        <w:rPr/>
        <w:t>Facing Sheet Finish: [</w:t>
      </w:r>
      <w:r>
        <w:rPr>
          <w:b/>
        </w:rPr>
        <w:t>One color and pattern</w:t>
      </w:r>
      <w:r>
        <w:rPr/>
        <w:t>] [</w:t>
      </w:r>
      <w:r>
        <w:rPr>
          <w:b/>
        </w:rPr>
        <w:t>Two colors and patterns</w:t>
      </w:r>
      <w:r>
        <w:rPr/>
        <w:t>] in each room.</w:t>
      </w:r>
    </w:p>
    <w:p>
      <w:pPr>
        <w:pStyle w:val="PR2"/>
        <w:numPr>
          <w:ilvl w:val="5"/>
          <w:numId w:val="1"/>
        </w:numPr>
        <w:rPr/>
      </w:pPr>
      <w:r>
        <w:rPr/>
        <w:t>Color and Pattern: [</w:t>
      </w:r>
      <w:r>
        <w:rPr>
          <w:b/>
        </w:rPr>
        <w:t>As indicated by manufacturer's designations,</w:t>
      </w:r>
      <w:r>
        <w:rPr/>
        <w:t>] [</w:t>
      </w:r>
      <w:r>
        <w:rPr>
          <w:b/>
        </w:rPr>
        <w:t>As selected by Architect from manufacturer's full range,</w:t>
      </w:r>
      <w:r>
        <w:rPr/>
        <w:t>] [</w:t>
      </w:r>
      <w:r>
        <w:rPr>
          <w:b/>
        </w:rPr>
        <w:t>Match toilet compartments specified in Section 102113.17 "Phenolic-Core Toilet Compartments"</w:t>
      </w:r>
      <w:r>
        <w:rPr/>
        <w:t>] &lt;</w:t>
      </w:r>
      <w:r>
        <w:rPr>
          <w:b/>
        </w:rPr>
        <w:t>Insert color and pattern</w:t>
      </w:r>
      <w:r>
        <w:rPr/>
        <w:t>&gt; with manufacturer's standard [</w:t>
      </w:r>
      <w:r>
        <w:rPr>
          <w:b/>
        </w:rPr>
        <w:t>dark-color core</w:t>
      </w:r>
      <w:r>
        <w:rPr/>
        <w:t>] [</w:t>
      </w:r>
      <w:r>
        <w:rPr>
          <w:b/>
        </w:rPr>
        <w:t>through-color core matching face sheet</w:t>
      </w:r>
      <w:r>
        <w:rPr/>
        <w:t>].</w:t>
      </w:r>
    </w:p>
    <w:p>
      <w:pPr>
        <w:pStyle w:val="ART"/>
        <w:numPr>
          <w:ilvl w:val="3"/>
          <w:numId w:val="1"/>
        </w:numPr>
        <w:ind w:hanging="0" w:left="0"/>
        <w:rPr/>
      </w:pPr>
      <w:r>
        <w:rPr/>
        <w:t>SHOWER RECEPTORS</w:t>
      </w:r>
    </w:p>
    <w:p>
      <w:pPr>
        <w:pStyle w:val="CMT"/>
        <w:rPr/>
      </w:pPr>
      <w:r>
        <w:rPr/>
        <w:t>Retain this article if shower receptors are prefabricated units; delete if receptors are fabricated on-site or if entire floor is drained. Revise if other materials are required; verify availability with manufacturers.</w:t>
      </w:r>
    </w:p>
    <w:p>
      <w:pPr>
        <w:pStyle w:val="PR1"/>
        <w:numPr>
          <w:ilvl w:val="4"/>
          <w:numId w:val="1"/>
        </w:numPr>
        <w:rPr/>
      </w:pPr>
      <w:r>
        <w:rPr/>
        <w:t>General: Manufacturer's standard, prefabricated, terrazzo receptor complete with integral drain.</w:t>
      </w:r>
    </w:p>
    <w:p>
      <w:pPr>
        <w:pStyle w:val="CMT"/>
        <w:rPr/>
      </w:pPr>
      <w:r>
        <w:rPr/>
        <w:t>Retain one of or both "Curb" and "Floor" subparagraphs below if required; revise to suit Project. Dimensional requirements are based on the International Plumbing Code. Retain option in "Curb" Subparagraph if required for accessible compartments.</w:t>
      </w:r>
    </w:p>
    <w:p>
      <w:pPr>
        <w:pStyle w:val="PR2"/>
        <w:numPr>
          <w:ilvl w:val="5"/>
          <w:numId w:val="1"/>
        </w:numPr>
        <w:spacing w:before="240" w:after="0"/>
        <w:rPr/>
      </w:pPr>
      <w:r>
        <w:rPr/>
        <w:t xml:space="preserve">Curb: Not less than </w:t>
      </w:r>
      <w:r>
        <w:rPr>
          <w:rStyle w:val="IP"/>
        </w:rPr>
        <w:t>2 inches</w:t>
      </w:r>
      <w:r>
        <w:rPr>
          <w:rStyle w:val="SI"/>
        </w:rPr>
        <w:t xml:space="preserve"> (51 mm)</w:t>
      </w:r>
      <w:r>
        <w:rPr/>
        <w:t xml:space="preserve"> and not more than </w:t>
      </w:r>
      <w:r>
        <w:rPr>
          <w:rStyle w:val="IP"/>
        </w:rPr>
        <w:t>9 inches</w:t>
      </w:r>
      <w:r>
        <w:rPr>
          <w:rStyle w:val="SI"/>
        </w:rPr>
        <w:t xml:space="preserve"> (229 mm)</w:t>
      </w:r>
      <w:r>
        <w:rPr/>
        <w:t xml:space="preserve"> deep when measured from the top of the curb to the top of the drain; with curb threshold not less than </w:t>
      </w:r>
      <w:r>
        <w:rPr>
          <w:rStyle w:val="IP"/>
        </w:rPr>
        <w:t>1 inch</w:t>
      </w:r>
      <w:r>
        <w:rPr>
          <w:rStyle w:val="SI"/>
        </w:rPr>
        <w:t xml:space="preserve"> (25 mm)</w:t>
      </w:r>
      <w:r>
        <w:rPr/>
        <w:t xml:space="preserve"> below the sides and back of the receptor[</w:t>
      </w:r>
      <w:r>
        <w:rPr>
          <w:b/>
        </w:rPr>
        <w:t>; and with a ramped entrance surface for accessible compartments</w:t>
      </w:r>
      <w:r>
        <w:rPr/>
        <w:t>].</w:t>
      </w:r>
    </w:p>
    <w:p>
      <w:pPr>
        <w:pStyle w:val="PR2"/>
        <w:numPr>
          <w:ilvl w:val="5"/>
          <w:numId w:val="1"/>
        </w:numPr>
        <w:rPr/>
      </w:pPr>
      <w:r>
        <w:rPr/>
        <w:t xml:space="preserve">Floor: Finished, sloping uniformly toward the drain and not less than 1/4 unit vertical in 12 units horizontal and not more than </w:t>
      </w:r>
      <w:r>
        <w:rPr>
          <w:rStyle w:val="IP"/>
        </w:rPr>
        <w:t>1/2 inch</w:t>
      </w:r>
      <w:r>
        <w:rPr>
          <w:rStyle w:val="SI"/>
        </w:rPr>
        <w:t xml:space="preserve"> (13 mm)</w:t>
      </w:r>
      <w:r>
        <w:rPr/>
        <w:t>.</w:t>
      </w:r>
    </w:p>
    <w:p>
      <w:pPr>
        <w:pStyle w:val="PR2"/>
        <w:numPr>
          <w:ilvl w:val="5"/>
          <w:numId w:val="1"/>
        </w:numPr>
        <w:rPr/>
      </w:pPr>
      <w:r>
        <w:rPr/>
        <w:t>Drain Strainer: Manufacturer's standard, removable [</w:t>
      </w:r>
      <w:r>
        <w:rPr>
          <w:b/>
        </w:rPr>
        <w:t>brass strainer</w:t>
      </w:r>
      <w:r>
        <w:rPr/>
        <w:t>] [</w:t>
      </w:r>
      <w:r>
        <w:rPr>
          <w:b/>
        </w:rPr>
        <w:t>chrome strainer</w:t>
      </w:r>
      <w:r>
        <w:rPr/>
        <w:t>] [</w:t>
      </w:r>
      <w:r>
        <w:rPr>
          <w:b/>
        </w:rPr>
        <w:t>stainless steel strainer</w:t>
      </w:r>
      <w:r>
        <w:rPr/>
        <w:t>] [</w:t>
      </w:r>
      <w:r>
        <w:rPr>
          <w:b/>
        </w:rPr>
        <w:t>plastic strainer, matching the receptor</w:t>
      </w:r>
      <w:r>
        <w:rPr/>
        <w:t>] &lt;</w:t>
      </w:r>
      <w:r>
        <w:rPr>
          <w:b/>
        </w:rPr>
        <w:t>Insert description</w:t>
      </w:r>
      <w:r>
        <w:rPr/>
        <w:t>&gt;.</w:t>
      </w:r>
    </w:p>
    <w:p>
      <w:pPr>
        <w:pStyle w:val="PR2"/>
        <w:numPr>
          <w:ilvl w:val="5"/>
          <w:numId w:val="1"/>
        </w:numPr>
        <w:rPr/>
      </w:pPr>
      <w:r>
        <w:rPr/>
        <w:t>Drain Gasket: Manufacturer's standard gasket sized to fit waste pipe.</w:t>
      </w:r>
    </w:p>
    <w:p>
      <w:pPr>
        <w:pStyle w:val="CMT"/>
        <w:rPr/>
      </w:pPr>
      <w:r>
        <w:rPr/>
        <w:t>Revise "Waterstop" Subparagraph below to suit Project or delete if detailed on Drawings. Details of waterstop vary among manufacturers.</w:t>
      </w:r>
    </w:p>
    <w:p>
      <w:pPr>
        <w:pStyle w:val="PR2"/>
        <w:numPr>
          <w:ilvl w:val="5"/>
          <w:numId w:val="1"/>
        </w:numPr>
        <w:rPr/>
      </w:pPr>
      <w:r>
        <w:rPr/>
        <w:t>Waterstop: Manufacturer's standard, continuous [</w:t>
      </w:r>
      <w:r>
        <w:rPr>
          <w:b/>
        </w:rPr>
        <w:t>galvanized-steel flange</w:t>
      </w:r>
      <w:r>
        <w:rPr/>
        <w:t>] [</w:t>
      </w:r>
      <w:r>
        <w:rPr>
          <w:b/>
        </w:rPr>
        <w:t>or</w:t>
      </w:r>
      <w:r>
        <w:rPr/>
        <w:t>] [</w:t>
      </w:r>
      <w:r>
        <w:rPr>
          <w:b/>
        </w:rPr>
        <w:t>rabbeted groove</w:t>
      </w:r>
      <w:r>
        <w:rPr/>
        <w:t>] to receive panels and create a waterstop when panels are in place.</w:t>
      </w:r>
    </w:p>
    <w:p>
      <w:pPr>
        <w:pStyle w:val="PR1"/>
        <w:numPr>
          <w:ilvl w:val="4"/>
          <w:numId w:val="1"/>
        </w:numPr>
        <w:rPr/>
      </w:pPr>
      <w:r>
        <w:rPr/>
        <w:t>Finish: Manufacturer's standard finish on exposed surfaces, [</w:t>
      </w:r>
      <w:r>
        <w:rPr>
          <w:b/>
        </w:rPr>
        <w:t>matching color of enclosure panels</w:t>
      </w:r>
      <w:r>
        <w:rPr/>
        <w:t>] [</w:t>
      </w:r>
      <w:r>
        <w:rPr>
          <w:b/>
        </w:rPr>
        <w:t>as indicated by manufacturer's designations</w:t>
      </w:r>
      <w:r>
        <w:rPr/>
        <w:t>] [</w:t>
      </w:r>
      <w:r>
        <w:rPr>
          <w:b/>
        </w:rPr>
        <w:t>as selected by Architect from manufacturer's full range</w:t>
      </w:r>
      <w:r>
        <w:rPr/>
        <w:t>] &lt;</w:t>
      </w:r>
      <w:r>
        <w:rPr>
          <w:b/>
        </w:rPr>
        <w:t>Insert requirement</w:t>
      </w:r>
      <w:r>
        <w:rPr/>
        <w:t>&gt; and with slip-resistant floor surface texture.</w:t>
      </w:r>
    </w:p>
    <w:p>
      <w:pPr>
        <w:pStyle w:val="ART"/>
        <w:numPr>
          <w:ilvl w:val="3"/>
          <w:numId w:val="1"/>
        </w:numPr>
        <w:ind w:hanging="0" w:left="0"/>
        <w:rPr/>
      </w:pPr>
      <w:r>
        <w:rPr/>
        <w:t>MATERIALS</w:t>
      </w:r>
    </w:p>
    <w:p>
      <w:pPr>
        <w:pStyle w:val="CMT"/>
        <w:rPr/>
      </w:pPr>
      <w:r>
        <w:rPr/>
        <w:t>In this article, retain only those materials that are required for specific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PR1"/>
        <w:numPr>
          <w:ilvl w:val="4"/>
          <w:numId w:val="1"/>
        </w:numPr>
        <w:rPr/>
      </w:pPr>
      <w:r>
        <w:rPr/>
        <w:t>Brass Castings: ASTM B584.</w:t>
      </w:r>
    </w:p>
    <w:p>
      <w:pPr>
        <w:pStyle w:val="PR1"/>
        <w:numPr>
          <w:ilvl w:val="4"/>
          <w:numId w:val="1"/>
        </w:numPr>
        <w:rPr/>
      </w:pPr>
      <w:r>
        <w:rPr/>
        <w:t>Brass Extrusions: ASTM B455.</w:t>
      </w:r>
    </w:p>
    <w:p>
      <w:pPr>
        <w:pStyle w:val="CMT"/>
        <w:rPr/>
      </w:pPr>
      <w:r>
        <w:rPr/>
        <w:t>Retain "Stainless Steel Sheet" and "Stainless Steel Castings" paragraphs below for stainless steel brackets (fittings), pilaster shoes, and sleeves (caps).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ART"/>
        <w:numPr>
          <w:ilvl w:val="3"/>
          <w:numId w:val="1"/>
        </w:numPr>
        <w:ind w:hanging="0" w:left="0"/>
        <w:rPr/>
      </w:pPr>
      <w:r>
        <w:rPr/>
        <w:t>ACCESSORIES</w:t>
      </w:r>
    </w:p>
    <w:p>
      <w:pPr>
        <w:pStyle w:val="CMT"/>
        <w:rPr/>
      </w:pPr>
      <w:r>
        <w:rPr/>
        <w:t>Retain "Door Hardware and Accessories" Paragraph below if doors are required; before revising, verify requirements of authorities having jurisdiction for accessible facilities. Retain option if required; revise to suit Project.</w:t>
      </w:r>
    </w:p>
    <w:p>
      <w:pPr>
        <w:pStyle w:val="PR1"/>
        <w:numPr>
          <w:ilvl w:val="4"/>
          <w:numId w:val="1"/>
        </w:numPr>
        <w:rPr/>
      </w:pPr>
      <w:r>
        <w:rPr/>
        <w:t>Door Hardware and Accessories: Manufacturer's standard design, heavy-duty, operating hardware and accessories.[</w:t>
      </w:r>
      <w:r>
        <w:rPr>
          <w:b/>
        </w:rPr>
        <w:t> Mount to panels with through-bolts.</w:t>
      </w:r>
      <w:r>
        <w:rPr/>
        <w:t>]</w:t>
      </w:r>
    </w:p>
    <w:p>
      <w:pPr>
        <w:pStyle w:val="CMT"/>
        <w:rPr/>
      </w:pPr>
      <w:r>
        <w:rPr/>
        <w:t>Retain "Material," "Hinges," "Latch and Keeper," "Clothing Hooks," "Door Bumper," and "Door Pull" subparagraphs below, or revise to suit Project.</w:t>
      </w:r>
    </w:p>
    <w:p>
      <w:pPr>
        <w:pStyle w:val="PR2"/>
        <w:numPr>
          <w:ilvl w:val="5"/>
          <w:numId w:val="1"/>
        </w:numPr>
        <w:spacing w:before="240" w:after="0"/>
        <w:rPr/>
      </w:pPr>
      <w:r>
        <w:rPr/>
        <w:t>Material: [</w:t>
      </w:r>
      <w:r>
        <w:rPr>
          <w:b/>
        </w:rPr>
        <w:t>Clear-anodized aluminum</w:t>
      </w:r>
      <w:r>
        <w:rPr/>
        <w:t>] [</w:t>
      </w:r>
      <w:r>
        <w:rPr>
          <w:b/>
        </w:rPr>
        <w:t>Stainless steel</w:t>
      </w:r>
      <w:r>
        <w:rPr/>
        <w:t>] [</w:t>
      </w:r>
      <w:r>
        <w:rPr>
          <w:b/>
        </w:rPr>
        <w:t>Chrome-plated brass</w:t>
      </w:r>
      <w:r>
        <w:rPr/>
        <w:t>].</w:t>
      </w:r>
    </w:p>
    <w:p>
      <w:pPr>
        <w:pStyle w:val="CMT"/>
        <w:rPr/>
      </w:pPr>
      <w:r>
        <w:rPr/>
        <w:t>Hinge types vary in availability among manufacturers; most offer paired hinges indicated in first option in "Hinges" Subparagraph below. Paired hinges can be either preset or adjustable; for preset hinges, insert requirements for hold-open angle.</w:t>
      </w:r>
    </w:p>
    <w:p>
      <w:pPr>
        <w:pStyle w:val="PR2"/>
        <w:numPr>
          <w:ilvl w:val="5"/>
          <w:numId w:val="1"/>
        </w:numPr>
        <w:rPr/>
      </w:pPr>
      <w:r>
        <w:rPr/>
        <w:t>Hinges: Manufacturer's standard, [</w:t>
      </w:r>
      <w:r>
        <w:rPr>
          <w:b/>
        </w:rPr>
        <w:t>paired, self-closing type that can be adjusted to hold doors open at any angle up to 90 degrees</w:t>
      </w:r>
      <w:r>
        <w:rPr/>
        <w:t>] [</w:t>
      </w:r>
      <w:r>
        <w:rPr>
          <w:b/>
        </w:rPr>
        <w:t>continuous, cam type that swings to a closed or partially open position</w:t>
      </w:r>
      <w:r>
        <w:rPr/>
        <w:t>] [</w:t>
      </w:r>
      <w:r>
        <w:rPr>
          <w:b/>
        </w:rPr>
        <w:t>continuous, spring-loaded type</w:t>
      </w:r>
      <w:r>
        <w:rPr/>
        <w:t>] &lt;</w:t>
      </w:r>
      <w:r>
        <w:rPr>
          <w:b/>
        </w:rPr>
        <w:t>Insert requirement</w:t>
      </w:r>
      <w:r>
        <w:rPr/>
        <w:t>&gt;, allowing emergency access by lifting door.</w:t>
      </w:r>
    </w:p>
    <w:p>
      <w:pPr>
        <w:pStyle w:val="CMT"/>
        <w:rPr/>
      </w:pPr>
      <w:r>
        <w:rPr/>
        <w:t>Recessed latch-operating devices that are accessible to people with disabilities are available.</w:t>
      </w:r>
    </w:p>
    <w:p>
      <w:pPr>
        <w:pStyle w:val="PR2"/>
        <w:numPr>
          <w:ilvl w:val="5"/>
          <w:numId w:val="1"/>
        </w:numPr>
        <w:rPr/>
      </w:pPr>
      <w:r>
        <w:rPr/>
        <w:t>Latch and Keeper: Manufacturer's standard, [</w:t>
      </w:r>
      <w:r>
        <w:rPr>
          <w:b/>
        </w:rPr>
        <w:t>recessed</w:t>
      </w:r>
      <w:r>
        <w:rPr/>
        <w:t>] [</w:t>
      </w:r>
      <w:r>
        <w:rPr>
          <w:b/>
        </w:rPr>
        <w:t>surface-mounted</w:t>
      </w:r>
      <w:r>
        <w:rPr/>
        <w:t>] latch unit designed for emergency access and with combination rubber-faced door strike and keeper. Provide units that comply with regulatory requirements for accessibility[</w:t>
      </w:r>
      <w:r>
        <w:rPr>
          <w:b/>
        </w:rPr>
        <w:t> at each compartment, accessible or not</w:t>
      </w:r>
      <w:r>
        <w:rPr/>
        <w:t>] [</w:t>
      </w:r>
      <w:r>
        <w:rPr>
          <w:b/>
        </w:rPr>
        <w:t> at compartments designated as accessible</w:t>
      </w:r>
      <w:r>
        <w:rPr/>
        <w:t>].</w:t>
      </w:r>
    </w:p>
    <w:p>
      <w:pPr>
        <w:pStyle w:val="CMT"/>
        <w:rPr/>
      </w:pPr>
      <w:r>
        <w:rPr/>
        <w:t>Retain option in "Clothing Hooks" Subparagraph below if inswinging doors are required.</w:t>
      </w:r>
    </w:p>
    <w:p>
      <w:pPr>
        <w:pStyle w:val="PR2"/>
        <w:numPr>
          <w:ilvl w:val="5"/>
          <w:numId w:val="1"/>
        </w:numPr>
        <w:rPr/>
      </w:pPr>
      <w:r>
        <w:rPr/>
        <w:t>Clothing Hooks: Manufacturer's standard clothing hooks in each dressing compartment[</w:t>
      </w:r>
      <w:r>
        <w:rPr>
          <w:b/>
        </w:rPr>
        <w:t>; include one combination hook and rubber-tipped bumper at inswinging doors, sized to prevent door from hitting wall panel or compartment-mounted accessories</w:t>
      </w:r>
      <w:r>
        <w:rPr/>
        <w:t>].</w:t>
      </w:r>
    </w:p>
    <w:p>
      <w:pPr>
        <w:pStyle w:val="CMT"/>
        <w:rPr/>
      </w:pPr>
      <w:r>
        <w:rPr/>
        <w:t>Retain "Door Bumper" Subparagraph below if outswinging doors are required.</w:t>
      </w:r>
    </w:p>
    <w:p>
      <w:pPr>
        <w:pStyle w:val="PR2"/>
        <w:numPr>
          <w:ilvl w:val="5"/>
          <w:numId w:val="1"/>
        </w:numPr>
        <w:rPr/>
      </w:pPr>
      <w:r>
        <w:rPr/>
        <w:t>Door Bumper: Manufacturer's standard, rubber-tipped bumper at outswinging doors.</w:t>
      </w:r>
    </w:p>
    <w:p>
      <w:pPr>
        <w:pStyle w:val="PR2"/>
        <w:numPr>
          <w:ilvl w:val="5"/>
          <w:numId w:val="1"/>
        </w:numPr>
        <w:rPr/>
      </w:pPr>
      <w:r>
        <w:rPr/>
        <w:t>Door Pull: Manufacturer's standard unit at outswinging doors that complies with regulatory requirements for accessibility. Provide units on both sides of doors at compartments designated as accessible.</w:t>
      </w:r>
    </w:p>
    <w:p>
      <w:pPr>
        <w:pStyle w:val="CMT"/>
        <w:rPr/>
      </w:pPr>
      <w:r>
        <w:rPr/>
        <w:t>Retain "Overhead Bracing" Paragraph below for shower compartments and overhead-braced dressing compartments. Generally, clear-anodized finish is provided; revise if specific finish is required.</w:t>
      </w:r>
    </w:p>
    <w:p>
      <w:pPr>
        <w:pStyle w:val="PR1"/>
        <w:numPr>
          <w:ilvl w:val="4"/>
          <w:numId w:val="1"/>
        </w:numPr>
        <w:rPr/>
      </w:pPr>
      <w:r>
        <w:rPr/>
        <w:t>Overhead Bracing: Manufacturer's standard, continuous, extruded-aluminum headrail or cap with antigrip profile; in manufacturer's standard finish.</w:t>
      </w:r>
    </w:p>
    <w:p>
      <w:pPr>
        <w:pStyle w:val="CMT"/>
        <w:rPr/>
      </w:pPr>
      <w:r>
        <w:rPr/>
        <w:t>Retain "Headrail with Hooks" or "Curtain Rod with Hooks" Paragraph below for openings into shower compartments and for curtained openings into dressing compartments; delete if only doors or shower dividers without curtains are required. Generally, clear-anodized finish is provided for aluminum headrails; revise if specific finish is required.</w:t>
      </w:r>
    </w:p>
    <w:p>
      <w:pPr>
        <w:pStyle w:val="PR1"/>
        <w:numPr>
          <w:ilvl w:val="4"/>
          <w:numId w:val="1"/>
        </w:numPr>
        <w:rPr/>
      </w:pPr>
      <w:r>
        <w:rPr/>
        <w:t>Headrail with Hooks: Manufacturer's standard, continuous, extruded-aluminum headrail or cap with curtain hooks running in concealed track; with antigrip profile; in manufacturer's standard finish.</w:t>
      </w:r>
    </w:p>
    <w:p>
      <w:pPr>
        <w:pStyle w:val="PR1"/>
        <w:numPr>
          <w:ilvl w:val="4"/>
          <w:numId w:val="1"/>
        </w:numPr>
        <w:rPr/>
      </w:pPr>
      <w:r>
        <w:rPr/>
        <w:t xml:space="preserve">Curtain Rod with Hooks: Manufacturer's standard, </w:t>
      </w:r>
      <w:r>
        <w:rPr>
          <w:rStyle w:val="IP"/>
        </w:rPr>
        <w:t>1-inch-</w:t>
      </w:r>
      <w:r>
        <w:rPr>
          <w:rStyle w:val="SI"/>
        </w:rPr>
        <w:t xml:space="preserve"> (25-mm-)</w:t>
      </w:r>
      <w:r>
        <w:rPr/>
        <w:t xml:space="preserve"> diameter, [</w:t>
      </w:r>
      <w:r>
        <w:rPr>
          <w:b/>
        </w:rPr>
        <w:t>stainless steel</w:t>
      </w:r>
      <w:r>
        <w:rPr/>
        <w:t>] &lt;</w:t>
      </w:r>
      <w:r>
        <w:rPr>
          <w:b/>
        </w:rPr>
        <w:t>Insert material</w:t>
      </w:r>
      <w:r>
        <w:rPr/>
        <w:t>&gt; curtain rod with matching hooks.</w:t>
      </w:r>
    </w:p>
    <w:p>
      <w:pPr>
        <w:pStyle w:val="CMT"/>
        <w:rPr/>
      </w:pPr>
      <w:r>
        <w:rPr/>
        <w:t>Retain "Curtain" Paragraph below if required. Insert another fabric if required; coordinate washing temperature with fabric.</w:t>
      </w:r>
    </w:p>
    <w:p>
      <w:pPr>
        <w:pStyle w:val="PR1"/>
        <w:numPr>
          <w:ilvl w:val="4"/>
          <w:numId w:val="1"/>
        </w:numPr>
        <w:rPr/>
      </w:pPr>
      <w:r>
        <w:rPr/>
        <w:t>Curtain: Flame-resistant, [</w:t>
      </w:r>
      <w:r>
        <w:rPr>
          <w:b/>
        </w:rPr>
        <w:t>polyester-reinforced vinyl fabric</w:t>
      </w:r>
      <w:r>
        <w:rPr/>
        <w:t>] [</w:t>
      </w:r>
      <w:r>
        <w:rPr>
          <w:b/>
        </w:rPr>
        <w:t>manufacturer's standard fabric</w:t>
      </w:r>
      <w:r>
        <w:rPr/>
        <w:t>] &lt;</w:t>
      </w:r>
      <w:r>
        <w:rPr>
          <w:b/>
        </w:rPr>
        <w:t>Insert fabric</w:t>
      </w:r>
      <w:r>
        <w:rPr/>
        <w:t>&gt; that is stain resistant, self-sanitizing, antistatic, antimicrobial, and launderable to a temperature of not less than [</w:t>
      </w:r>
      <w:r>
        <w:rPr>
          <w:rStyle w:val="IP"/>
          <w:b/>
        </w:rPr>
        <w:t>90 deg F</w:t>
      </w:r>
      <w:r>
        <w:rPr>
          <w:rStyle w:val="SI"/>
          <w:b/>
        </w:rPr>
        <w:t xml:space="preserve"> (32 deg C)</w:t>
      </w:r>
      <w:r>
        <w:rPr/>
        <w:t>] &lt;</w:t>
      </w:r>
      <w:r>
        <w:rPr>
          <w:b/>
        </w:rPr>
        <w:t>Insert temperature</w:t>
      </w:r>
      <w:r>
        <w:rPr/>
        <w:t>&gt;.</w:t>
      </w:r>
    </w:p>
    <w:p>
      <w:pPr>
        <w:pStyle w:val="CMT"/>
        <w:rPr/>
      </w:pPr>
      <w:r>
        <w:rPr/>
        <w:t>Revise "Flame Resistance," "Labeling," "Curtain Grommets," "Width," "Length," and "Color and Pattern" subparagraphs below to suit Project.</w:t>
      </w:r>
    </w:p>
    <w:p>
      <w:pPr>
        <w:pStyle w:val="PR2"/>
        <w:numPr>
          <w:ilvl w:val="5"/>
          <w:numId w:val="1"/>
        </w:numPr>
        <w:spacing w:before="240" w:after="0"/>
        <w:rPr/>
      </w:pPr>
      <w:r>
        <w:rPr/>
        <w:t>Flame Resistance: Passes NFPA 701 tests when tested by a testing and inspecting agency acceptable to authorities having jurisdiction.</w:t>
      </w:r>
    </w:p>
    <w:p>
      <w:pPr>
        <w:pStyle w:val="PR2"/>
        <w:numPr>
          <w:ilvl w:val="5"/>
          <w:numId w:val="1"/>
        </w:numPr>
        <w:rPr/>
      </w:pPr>
      <w:r>
        <w:rPr/>
        <w:t>Labeling: Identify fabrics with appropriate markings of applicable testing and inspecting agency.</w:t>
      </w:r>
    </w:p>
    <w:p>
      <w:pPr>
        <w:pStyle w:val="PR2"/>
        <w:numPr>
          <w:ilvl w:val="5"/>
          <w:numId w:val="1"/>
        </w:numPr>
        <w:rPr/>
      </w:pPr>
      <w:r>
        <w:rPr/>
        <w:t xml:space="preserve">Curtain Grommets: Two-piece, rolled-edge, rustproof, nickel-plated brass; spaced not more than </w:t>
      </w:r>
      <w:r>
        <w:rPr>
          <w:rStyle w:val="IP"/>
        </w:rPr>
        <w:t>6 inches</w:t>
      </w:r>
      <w:r>
        <w:rPr>
          <w:rStyle w:val="SI"/>
        </w:rPr>
        <w:t xml:space="preserve"> (152 mm)</w:t>
      </w:r>
      <w:r>
        <w:rPr/>
        <w:t xml:space="preserve"> o.c.; machined into top hem.</w:t>
      </w:r>
    </w:p>
    <w:p>
      <w:pPr>
        <w:pStyle w:val="CMT"/>
        <w:rPr/>
      </w:pPr>
      <w:r>
        <w:rPr/>
        <w:t>Curtains that are 12 inches (305 mm) wider than opening are recommended for shower openings 48 inches (1219 mm) wide and wider.</w:t>
      </w:r>
    </w:p>
    <w:p>
      <w:pPr>
        <w:pStyle w:val="PR2"/>
        <w:numPr>
          <w:ilvl w:val="5"/>
          <w:numId w:val="1"/>
        </w:numPr>
        <w:rPr/>
      </w:pPr>
      <w:r>
        <w:rPr/>
        <w:t>Width: Minimum [</w:t>
      </w:r>
      <w:r>
        <w:rPr>
          <w:rStyle w:val="IP"/>
          <w:b/>
        </w:rPr>
        <w:t>6 inches</w:t>
      </w:r>
      <w:r>
        <w:rPr>
          <w:rStyle w:val="SI"/>
          <w:b/>
        </w:rPr>
        <w:t xml:space="preserve"> (152 mm)</w:t>
      </w:r>
      <w:r>
        <w:rPr/>
        <w:t>] [</w:t>
      </w:r>
      <w:r>
        <w:rPr>
          <w:rStyle w:val="IP"/>
          <w:b/>
        </w:rPr>
        <w:t>12 inches</w:t>
      </w:r>
      <w:r>
        <w:rPr>
          <w:rStyle w:val="SI"/>
          <w:b/>
        </w:rPr>
        <w:t xml:space="preserve"> (305 mm)</w:t>
      </w:r>
      <w:r>
        <w:rPr/>
        <w:t>] wider than opening.</w:t>
      </w:r>
    </w:p>
    <w:p>
      <w:pPr>
        <w:pStyle w:val="CMT"/>
        <w:rPr/>
      </w:pPr>
      <w:r>
        <w:rPr/>
        <w:t>Revise "Length" Subparagraph below to suit Project.</w:t>
      </w:r>
    </w:p>
    <w:p>
      <w:pPr>
        <w:pStyle w:val="PR2"/>
        <w:numPr>
          <w:ilvl w:val="5"/>
          <w:numId w:val="1"/>
        </w:numPr>
        <w:rPr/>
      </w:pPr>
      <w:r>
        <w:rPr/>
        <w:t xml:space="preserve">Length: Where curtain extends to a floor surface, size so that bottom hem clears finished floor by not more than </w:t>
      </w:r>
      <w:r>
        <w:rPr>
          <w:rStyle w:val="IP"/>
        </w:rPr>
        <w:t>1 inch</w:t>
      </w:r>
      <w:r>
        <w:rPr>
          <w:rStyle w:val="SI"/>
        </w:rPr>
        <w:t xml:space="preserve"> (25 mm)</w:t>
      </w:r>
      <w:r>
        <w:rPr/>
        <w:t xml:space="preserve"> and not less than </w:t>
      </w:r>
      <w:r>
        <w:rPr>
          <w:rStyle w:val="IP"/>
        </w:rPr>
        <w:t>1/2 inch</w:t>
      </w:r>
      <w:r>
        <w:rPr>
          <w:rStyle w:val="SI"/>
        </w:rPr>
        <w:t xml:space="preserve"> (13 mm)</w:t>
      </w:r>
      <w:r>
        <w:rPr/>
        <w:t xml:space="preserve"> above floor surface. Where curtains extend to a shower-receptor curb, size so that bottom hem hangs above curb line and clears curb line by not more than </w:t>
      </w:r>
      <w:r>
        <w:rPr>
          <w:rStyle w:val="IP"/>
        </w:rPr>
        <w:t>1/2 inch</w:t>
      </w:r>
      <w:r>
        <w:rPr>
          <w:rStyle w:val="SI"/>
        </w:rPr>
        <w:t xml:space="preserve"> (13 mm)</w:t>
      </w:r>
      <w:r>
        <w:rPr/>
        <w:t>.</w:t>
      </w:r>
    </w:p>
    <w:p>
      <w:pPr>
        <w:pStyle w:val="PR2"/>
        <w:numPr>
          <w:ilvl w:val="5"/>
          <w:numId w:val="1"/>
        </w:numPr>
        <w:rPr/>
      </w:pPr>
      <w:r>
        <w:rPr/>
        <w:t>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1"/>
        <w:numPr>
          <w:ilvl w:val="4"/>
          <w:numId w:val="1"/>
        </w:numPr>
        <w:rPr/>
      </w:pPr>
      <w:r>
        <w:rPr/>
        <w:t>Soap Holder: [</w:t>
      </w:r>
      <w:r>
        <w:rPr>
          <w:b/>
        </w:rPr>
        <w:t>Surface-mounted</w:t>
      </w:r>
      <w:r>
        <w:rPr/>
        <w:t>] [</w:t>
      </w:r>
      <w:r>
        <w:rPr>
          <w:b/>
        </w:rPr>
        <w:t>Recessed</w:t>
      </w:r>
      <w:r>
        <w:rPr/>
        <w:t>], seamless [</w:t>
      </w:r>
      <w:r>
        <w:rPr>
          <w:b/>
        </w:rPr>
        <w:t>stainless steel</w:t>
      </w:r>
      <w:r>
        <w:rPr/>
        <w:t>] &lt;</w:t>
      </w:r>
      <w:r>
        <w:rPr>
          <w:b/>
        </w:rPr>
        <w:t>Insert material</w:t>
      </w:r>
      <w:r>
        <w:rPr/>
        <w:t>&gt; soap dish.</w:t>
      </w:r>
    </w:p>
    <w:p>
      <w:pPr>
        <w:pStyle w:val="CMT"/>
        <w:rPr/>
      </w:pPr>
      <w:r>
        <w:rPr/>
        <w:t>Seat types in "Seats" Paragraph below vary among manufacturers. Verify availability before specifying.</w:t>
      </w:r>
    </w:p>
    <w:p>
      <w:pPr>
        <w:pStyle w:val="PR1"/>
        <w:numPr>
          <w:ilvl w:val="4"/>
          <w:numId w:val="1"/>
        </w:numPr>
        <w:rPr/>
      </w:pPr>
      <w:r>
        <w:rPr/>
        <w:t>Seats: Manufacturer's standard, [</w:t>
      </w:r>
      <w:r>
        <w:rPr>
          <w:b/>
        </w:rPr>
        <w:t>panel-mounted</w:t>
      </w:r>
      <w:r>
        <w:rPr/>
        <w:t>] [</w:t>
      </w:r>
      <w:r>
        <w:rPr>
          <w:b/>
        </w:rPr>
        <w:t>wall-mounted</w:t>
      </w:r>
      <w:r>
        <w:rPr/>
        <w:t>] [</w:t>
      </w:r>
      <w:r>
        <w:rPr>
          <w:b/>
        </w:rPr>
        <w:t>or</w:t>
      </w:r>
      <w:r>
        <w:rPr/>
        <w:t>] [</w:t>
      </w:r>
      <w:r>
        <w:rPr>
          <w:b/>
        </w:rPr>
        <w:t>floor-mounted</w:t>
      </w:r>
      <w:r>
        <w:rPr/>
        <w:t>] benches.</w:t>
      </w:r>
    </w:p>
    <w:p>
      <w:pPr>
        <w:pStyle w:val="PR2"/>
        <w:numPr>
          <w:ilvl w:val="5"/>
          <w:numId w:val="1"/>
        </w:numPr>
        <w:spacing w:before="240" w:after="0"/>
        <w:rPr/>
      </w:pPr>
      <w:r>
        <w:rPr/>
        <w:t>Material: [</w:t>
      </w:r>
      <w:r>
        <w:rPr>
          <w:b/>
        </w:rPr>
        <w:t>Wood</w:t>
      </w:r>
      <w:r>
        <w:rPr/>
        <w:t>] [</w:t>
      </w:r>
      <w:r>
        <w:rPr>
          <w:b/>
        </w:rPr>
        <w:t>Solid phenolic</w:t>
      </w:r>
      <w:r>
        <w:rPr/>
        <w:t>] [</w:t>
      </w:r>
      <w:r>
        <w:rPr>
          <w:b/>
        </w:rPr>
        <w:t>Molded plastic</w:t>
      </w:r>
      <w:r>
        <w:rPr/>
        <w:t>] [</w:t>
      </w:r>
      <w:r>
        <w:rPr>
          <w:b/>
        </w:rPr>
        <w:t>Stainless steel</w:t>
      </w:r>
      <w:r>
        <w:rPr/>
        <w:t>] &lt;</w:t>
      </w:r>
      <w:r>
        <w:rPr>
          <w:b/>
        </w:rPr>
        <w:t>Insert material</w:t>
      </w:r>
      <w:r>
        <w:rPr/>
        <w:t>&gt;.</w:t>
      </w:r>
    </w:p>
    <w:p>
      <w:pPr>
        <w:pStyle w:val="PR2"/>
        <w:numPr>
          <w:ilvl w:val="5"/>
          <w:numId w:val="1"/>
        </w:numPr>
        <w:rPr/>
      </w:pPr>
      <w:r>
        <w:rPr/>
        <w:t>Operation: [</w:t>
      </w:r>
      <w:r>
        <w:rPr>
          <w:b/>
        </w:rPr>
        <w:t>Fixed</w:t>
      </w:r>
      <w:r>
        <w:rPr/>
        <w:t>] [</w:t>
      </w:r>
      <w:r>
        <w:rPr>
          <w:b/>
        </w:rPr>
        <w:t>Folding</w:t>
      </w:r>
      <w:r>
        <w:rPr/>
        <w:t>].</w:t>
      </w:r>
    </w:p>
    <w:p>
      <w:pPr>
        <w:pStyle w:val="PR2"/>
        <w:numPr>
          <w:ilvl w:val="5"/>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w:t>
      </w:r>
      <w:r>
        <w:rPr>
          <w:b/>
        </w:rPr>
        <w:t>Match enclosure panels</w:t>
      </w:r>
      <w:r>
        <w:rPr/>
        <w:t>] &lt;</w:t>
      </w:r>
      <w:r>
        <w:rPr>
          <w:b/>
        </w:rPr>
        <w:t>Insert finish</w:t>
      </w:r>
      <w:r>
        <w:rPr/>
        <w:t>&gt;.</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chrome-plated steel, or solid brass, finished to match the items they are securing; with theft-resistant-type heads. Provide sex-type bolts for through-bolt applications. Use countersunk, flush-type bolt heads or otherwise make fasteners inconspicuous if exposed on opposite side of panel from hardware or accessory item. For concealed anchors, use stainless steel, hot-dip galvanized steel, or other rust-resistant, protective-coated steel.</w:t>
      </w:r>
    </w:p>
    <w:p>
      <w:pPr>
        <w:pStyle w:val="ART"/>
        <w:numPr>
          <w:ilvl w:val="3"/>
          <w:numId w:val="1"/>
        </w:numPr>
        <w:ind w:hanging="0" w:left="0"/>
        <w:rPr/>
      </w:pPr>
      <w:r>
        <w:rPr/>
        <w:t>FABRICATION</w:t>
      </w:r>
    </w:p>
    <w:p>
      <w:pPr>
        <w:pStyle w:val="CMT"/>
        <w:rPr/>
      </w:pPr>
      <w:r>
        <w:rPr/>
        <w:t>Retain one of or both "Overhead-Braced Compartments" and "Floor-and-Ceiling-Anchored Compartments" paragraphs below to suit Project.</w:t>
      </w:r>
    </w:p>
    <w:p>
      <w:pPr>
        <w:pStyle w:val="PR1"/>
        <w:numPr>
          <w:ilvl w:val="4"/>
          <w:numId w:val="1"/>
        </w:numPr>
        <w:rPr/>
      </w:pPr>
      <w:r>
        <w:rPr/>
        <w:t>Overhead-Braced Compartments: Manufacturer's standard, corrosion-resistant supports, leveling method, and anchors at pilasters and walls to suit floor and wall conditions. Provide shoes at pilasters to conceal supports and leveling method.</w:t>
      </w:r>
    </w:p>
    <w:p>
      <w:pPr>
        <w:pStyle w:val="PR1"/>
        <w:numPr>
          <w:ilvl w:val="4"/>
          <w:numId w:val="1"/>
        </w:numPr>
        <w:rPr/>
      </w:pPr>
      <w:r>
        <w:rPr/>
        <w:t>Floor-and-Ceiling-Anchored Compartments: Manufacturer's standard, corrosion-resistant anchoring assemblies at pilasters and walls, with leveling adjustment at tops and bottoms of pilasters. Provide shoes and sleeves (caps) at pilasters to conceal anchorage.</w:t>
      </w:r>
    </w:p>
    <w:p>
      <w:pPr>
        <w:pStyle w:val="CMT"/>
        <w:rPr/>
      </w:pPr>
      <w:r>
        <w:rPr/>
        <w:t>Retain "Door Sizes and Swings" Paragraph below if doors are required; revise to suit Project if door sizes and swings are not indicated on Drawings; verify accessibility requirements of authorities having jurisdiction.</w:t>
      </w:r>
    </w:p>
    <w:p>
      <w:pPr>
        <w:pStyle w:val="PR1"/>
        <w:numPr>
          <w:ilvl w:val="4"/>
          <w:numId w:val="1"/>
        </w:numPr>
        <w:rPr/>
      </w:pPr>
      <w:r>
        <w:rPr/>
        <w:t xml:space="preserve">Door Sizes and Swings: Unless otherwise indicated, provide </w:t>
      </w:r>
      <w:r>
        <w:rPr>
          <w:rStyle w:val="IP"/>
        </w:rPr>
        <w:t>24-inch-</w:t>
      </w:r>
      <w:r>
        <w:rPr>
          <w:rStyle w:val="SI"/>
        </w:rPr>
        <w:t xml:space="preserve"> (610-mm-)</w:t>
      </w:r>
      <w:r>
        <w:rPr/>
        <w:t xml:space="preserve"> wide, inswinging doors for standard shower and dressing compartments,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compartments designated as accessible.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compartments rigid, straight, level, and plumb. Secure compartments in position with manufacturer's recommended anchoring devices.</w:t>
      </w:r>
    </w:p>
    <w:p>
      <w:pPr>
        <w:pStyle w:val="PR2"/>
        <w:numPr>
          <w:ilvl w:val="5"/>
          <w:numId w:val="1"/>
        </w:numPr>
        <w:spacing w:before="240" w:after="0"/>
        <w:rPr/>
      </w:pPr>
      <w:r>
        <w:rPr/>
        <w:t xml:space="preserve">Clearances for Dressing Compartments: Maximum </w:t>
      </w:r>
      <w:r>
        <w:rPr>
          <w:rStyle w:val="IP"/>
        </w:rPr>
        <w:t>1/2 inch</w:t>
      </w:r>
      <w:r>
        <w:rPr>
          <w:rStyle w:val="SI"/>
        </w:rPr>
        <w:t xml:space="preserve"> (13 mm)</w:t>
      </w:r>
      <w:r>
        <w:rPr/>
        <w:t xml:space="preserve"> between pilasters and panels; </w:t>
      </w:r>
      <w:r>
        <w:rPr>
          <w:rStyle w:val="IP"/>
        </w:rPr>
        <w:t>1 inch</w:t>
      </w:r>
      <w:r>
        <w:rPr>
          <w:rStyle w:val="SI"/>
        </w:rPr>
        <w:t xml:space="preserve"> (25 mm)</w:t>
      </w:r>
      <w:r>
        <w:rPr/>
        <w:t xml:space="preserve"> between panels and walls.</w:t>
      </w:r>
    </w:p>
    <w:p>
      <w:pPr>
        <w:pStyle w:val="CMT"/>
        <w:rPr/>
      </w:pPr>
      <w:r>
        <w:rPr/>
        <w:t>Retain applicable bracket types in "Stirrup Brackets for Dressing Compartments" and "Full-Height (Continuous) Brackets for Dressing Compartments" subparagraphs below.</w:t>
      </w:r>
    </w:p>
    <w:p>
      <w:pPr>
        <w:pStyle w:val="PR2"/>
        <w:numPr>
          <w:ilvl w:val="5"/>
          <w:numId w:val="1"/>
        </w:numPr>
        <w:rPr/>
      </w:pPr>
      <w:r>
        <w:rPr/>
        <w:t>Stirrup Brackets for Dressing Compartments: Secure panels to walls and to pilasters with no fewer than [</w:t>
      </w:r>
      <w:r>
        <w:rPr>
          <w:b/>
        </w:rPr>
        <w:t>two brackets attached</w:t>
      </w:r>
      <w:r>
        <w:rPr/>
        <w:t>] [</w:t>
      </w:r>
      <w:r>
        <w:rPr>
          <w:b/>
        </w:rPr>
        <w:t>three brackets attached at midpoint and</w:t>
      </w:r>
      <w:r>
        <w:rPr/>
        <w:t>] near top and bottom of panel.</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for Dressing Compartments: Secure panels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one of or both "Overhead-Braced Compartments" and "Floor-and-Ceiling-Anchored Compartments" paragraphs below to suit Project; retain options in both paragraphs if doors are required.</w:t>
      </w:r>
    </w:p>
    <w:p>
      <w:pPr>
        <w:pStyle w:val="PR1"/>
        <w:numPr>
          <w:ilvl w:val="4"/>
          <w:numId w:val="1"/>
        </w:numPr>
        <w:rPr/>
      </w:pPr>
      <w:r>
        <w:rPr/>
        <w:t xml:space="preserve">Overhead-Braced Compartments: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headrail to each pilaster with no fewer than two fasteners.[</w:t>
      </w:r>
      <w:r>
        <w:rPr>
          <w:b/>
        </w:rPr>
        <w:t> Hang doors to align tops of doors with tops of panels, and adjust so tops of doors are parallel with overhead brace when doors are in closed position.</w:t>
      </w:r>
      <w:r>
        <w:rPr/>
        <w:t>]</w:t>
      </w:r>
    </w:p>
    <w:p>
      <w:pPr>
        <w:pStyle w:val="PR1"/>
        <w:numPr>
          <w:ilvl w:val="4"/>
          <w:numId w:val="1"/>
        </w:numPr>
        <w:rPr/>
      </w:pPr>
      <w:r>
        <w:rPr/>
        <w:t>Floor-and-Ceiling-Anchored Compartments: Secure pilasters to supporting construction, and level, plumb, and tighten.[</w:t>
      </w:r>
      <w:r>
        <w:rPr>
          <w:b/>
        </w:rPr>
        <w:t> Hang doors and adjust so doors are level and aligned with panels when doors are in closed position.</w:t>
      </w:r>
      <w:r>
        <w:rPr/>
        <w:t>]</w:t>
      </w:r>
    </w:p>
    <w:p>
      <w:pPr>
        <w:pStyle w:val="CMT"/>
        <w:rPr/>
      </w:pPr>
      <w:r>
        <w:rPr/>
        <w:t>Retain "Curtains" Paragraph below if required.</w:t>
      </w:r>
    </w:p>
    <w:p>
      <w:pPr>
        <w:pStyle w:val="PR1"/>
        <w:numPr>
          <w:ilvl w:val="4"/>
          <w:numId w:val="1"/>
        </w:numPr>
        <w:rPr/>
      </w:pPr>
      <w:r>
        <w:rPr/>
        <w:t>Curtains: Install curtains to specified length, and verify that they hang vertically without stress points or diagonal folds.</w:t>
      </w:r>
    </w:p>
    <w:p>
      <w:pPr>
        <w:pStyle w:val="CMT"/>
        <w:rPr/>
      </w:pPr>
      <w:r>
        <w:rPr/>
        <w:t>Retain "Shower Receptors" Paragraph below for prefabricated shower receptors.</w:t>
      </w:r>
    </w:p>
    <w:p>
      <w:pPr>
        <w:pStyle w:val="PR1"/>
        <w:numPr>
          <w:ilvl w:val="4"/>
          <w:numId w:val="1"/>
        </w:numPr>
        <w:rPr/>
      </w:pPr>
      <w:r>
        <w:rPr/>
        <w:t>Shower Receptors: Install prefabricated shower receptors with drain gasket compression fit to OD of waste pipe.</w:t>
      </w:r>
    </w:p>
    <w:p>
      <w:pPr>
        <w:pStyle w:val="ART"/>
        <w:numPr>
          <w:ilvl w:val="3"/>
          <w:numId w:val="1"/>
        </w:numPr>
        <w:ind w:hanging="0" w:left="0"/>
        <w:rPr/>
      </w:pPr>
      <w:r>
        <w:rPr/>
        <w:t>ADJUSTING</w:t>
      </w:r>
    </w:p>
    <w:p>
      <w:pPr>
        <w:pStyle w:val="CMT"/>
        <w:rPr/>
      </w:pPr>
      <w:r>
        <w:rPr/>
        <w:t>Retain this article if curtains or doors are required. Revise hinge adjustment requirements to suit Project. Verify accessibility requirements of authorities having jurisdiction.</w:t>
      </w:r>
    </w:p>
    <w:p>
      <w:pPr>
        <w:pStyle w:val="PR1"/>
        <w:numPr>
          <w:ilvl w:val="4"/>
          <w:numId w:val="1"/>
        </w:numPr>
        <w:rPr/>
      </w:pPr>
      <w:r>
        <w:rPr/>
        <w:t>Curtain Adjustment: After hanging curtains, test and adjust each track or rod to produce unencumbered, smooth operation. Steam and dress down curtains as required to produce crease- and wrinkle-free installation. Remove and replace curtains that are stained or soiled or that have stress points or diagonal folds.</w:t>
      </w:r>
    </w:p>
    <w:p>
      <w:pPr>
        <w:pStyle w:val="PR1"/>
        <w:numPr>
          <w:ilvl w:val="4"/>
          <w:numId w:val="1"/>
        </w:numPr>
        <w:rPr/>
      </w:pPr>
      <w:r>
        <w:rPr/>
        <w:t>Hardware Adjustment: Adjust and lubricate hardware according to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102116.17</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PHENOLIC-CORE SHOWER AND DRESSING COMPARTMENTS</w:t>
          </w:r>
        </w:p>
      </w:tc>
      <w:tc>
        <w:tcPr>
          <w:tcW w:w="1872" w:type="dxa"/>
          <w:tcBorders/>
        </w:tcPr>
        <w:p>
          <w:pPr>
            <w:pStyle w:val="RJUST"/>
            <w:rPr/>
          </w:pPr>
          <w:r>
            <w:rPr>
              <w:rStyle w:val="NUM"/>
            </w:rPr>
            <w:t>102116.17</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211617"/>
    <w:docVar w:name="MF95" w:val="10188"/>
    <w:docVar w:name="MFOrigin" w:val="MF04"/>
    <w:docVar w:name="SectionID" w:val="3523"/>
    <w:docVar w:name="SpecType" w:val="MasterSpec"/>
    <w:docVar w:name="Version" w:val="160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617&amp;ver=09-01-21&amp;format=FL&amp;sid=1607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0" TargetMode="External"/><Relationship Id="rId5" Type="http://schemas.openxmlformats.org/officeDocument/2006/relationships/hyperlink" Target="http://www.specagent.com/LookUp/?ulid=620&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2022-09-26T02:27:00Z</dcterms:created>
  <dc:creator>Deltek, Inc.</dc:creator>
  <dc:description/>
  <cp:keywords>BAS-12345-MS80</cp:keywords>
  <dc:language>zh-CN</dc:language>
  <cp:lastModifiedBy>Janice Nacional</cp:lastModifiedBy>
  <dcterms:modified xsi:type="dcterms:W3CDTF">2022-09-26T02:27:00Z</dcterms:modified>
  <cp:revision>2</cp:revision>
  <dc:subject>PHENOLIC-CORE SHOWER AND DRESSING COMPARTMENTS</dc:subject>
  <dc:title>SECTION 102116.17 - PHENOLIC-CORE SHOWER AND DRESSING COMPARTMENTS</dc:title>
</cp:coreProperties>
</file>