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102233</w:t>
      </w:r>
      <w:r>
        <w:rPr/>
        <w:t xml:space="preserve"> - </w:t>
      </w:r>
      <w:r>
        <w:rPr>
          <w:rStyle w:val="NAM"/>
        </w:rPr>
        <w:t>ACCORDION FOLDING PARTITIONS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Manually operated, accordion folding partitions.</w:t>
      </w:r>
    </w:p>
    <w:p>
      <w:pPr>
        <w:pStyle w:val="PR2"/>
        <w:numPr>
          <w:ilvl w:val="5"/>
          <w:numId w:val="1"/>
        </w:numPr>
        <w:ind w:hanging="0" w:left="0"/>
        <w:rPr/>
      </w:pPr>
      <w:r>
        <w:rPr/>
        <w:t>Manually operated, fire-rated accordion folding partitions.</w:t>
      </w:r>
    </w:p>
    <w:p>
      <w:pPr>
        <w:pStyle w:val="PR2"/>
        <w:numPr>
          <w:ilvl w:val="5"/>
          <w:numId w:val="1"/>
        </w:numPr>
        <w:ind w:hanging="0" w:left="0"/>
        <w:rPr/>
      </w:pPr>
      <w:r>
        <w:rPr/>
        <w:t>Electrically operated, accordion folding partitions.</w:t>
      </w:r>
    </w:p>
    <w:p>
      <w:pPr>
        <w:pStyle w:val="PR2"/>
        <w:numPr>
          <w:ilvl w:val="5"/>
          <w:numId w:val="1"/>
        </w:numPr>
        <w:ind w:hanging="0" w:left="0"/>
        <w:rPr/>
      </w:pPr>
      <w:r>
        <w:rPr/>
        <w:t>Electrically operated, fire-rated accordion folding partitions.</w:t>
      </w:r>
    </w:p>
    <w:p>
      <w:pPr>
        <w:pStyle w:val="PR1"/>
        <w:numPr>
          <w:ilvl w:val="4"/>
          <w:numId w:val="1"/>
        </w:numPr>
        <w:ind w:hanging="0" w:left="0"/>
        <w:rPr/>
      </w:pPr>
      <w:r>
        <w:rPr/>
        <w:t>Related Sections: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supports that attach supporting tracks to overhead structural system.</w:t>
      </w:r>
    </w:p>
    <w:p>
      <w:pPr>
        <w:pStyle w:val="PR2"/>
        <w:numPr>
          <w:ilvl w:val="5"/>
          <w:numId w:val="1"/>
        </w:numPr>
        <w:ind w:hanging="0" w:left="0"/>
        <w:rPr/>
      </w:pPr>
      <w:r>
        <w:rPr/>
        <w:t>Section 083513 "Folding Doors" for small-size, non-acoustically rated, fire-rated, and non-fire-rated accordion folding doors.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NIC: Noise Isolation Class.</w:t>
      </w:r>
    </w:p>
    <w:p>
      <w:pPr>
        <w:pStyle w:val="PR1"/>
        <w:numPr>
          <w:ilvl w:val="4"/>
          <w:numId w:val="1"/>
        </w:numPr>
        <w:ind w:hanging="0" w:left="0"/>
        <w:rPr/>
      </w:pPr>
      <w:r>
        <w:rPr/>
        <w:t>NRC: Noise Reduction Coefficient.</w:t>
      </w:r>
    </w:p>
    <w:p>
      <w:pPr>
        <w:pStyle w:val="PR1"/>
        <w:numPr>
          <w:ilvl w:val="4"/>
          <w:numId w:val="1"/>
        </w:numPr>
        <w:ind w:hanging="0" w:left="0"/>
        <w:rPr/>
      </w:pPr>
      <w:r>
        <w:rPr/>
        <w:t>STC: Sound Transmission Class.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certified wood.&gt;</w:t>
        </w:r>
      </w:hyperlink>
    </w:p>
    <w:p>
      <w:pPr>
        <w:pStyle w:val="PR2"/>
        <w:numPr>
          <w:ilvl w:val="5"/>
          <w:numId w:val="1"/>
        </w:numPr>
        <w:ind w:hanging="0" w:left="0"/>
        <w:rPr/>
      </w:pPr>
      <w:hyperlink r:id="rId4">
        <w:r>
          <w:rPr>
            <w:rStyle w:val="Hyperlink"/>
          </w:rPr>
          <w:t>&lt;Double click to insert sustainable design text for certified wood.&gt;</w:t>
        </w:r>
      </w:hyperlink>
    </w:p>
    <w:p>
      <w:pPr>
        <w:pStyle w:val="PR2"/>
        <w:numPr>
          <w:ilvl w:val="5"/>
          <w:numId w:val="1"/>
        </w:numPr>
        <w:ind w:hanging="0" w:left="0"/>
        <w:rPr/>
      </w:pPr>
      <w:hyperlink r:id="rId5">
        <w:r>
          <w:rPr>
            <w:rStyle w:val="Hyperlink"/>
          </w:rPr>
          <w:t>&lt;Double click to insert sustainable design text for adhesives.&gt;</w:t>
        </w:r>
      </w:hyperlink>
    </w:p>
    <w:p>
      <w:pPr>
        <w:pStyle w:val="PR2"/>
        <w:numPr>
          <w:ilvl w:val="5"/>
          <w:numId w:val="1"/>
        </w:numPr>
        <w:ind w:hanging="0" w:left="0"/>
        <w:rPr/>
      </w:pPr>
      <w:hyperlink r:id="rId6">
        <w:r>
          <w:rPr>
            <w:rStyle w:val="Hyperlink"/>
          </w:rPr>
          <w:t>&lt;Double click to insert sustainable design text for composite wood.&gt;</w:t>
        </w:r>
      </w:hyperlink>
    </w:p>
    <w:p>
      <w:pPr>
        <w:pStyle w:val="PR1"/>
        <w:numPr>
          <w:ilvl w:val="4"/>
          <w:numId w:val="1"/>
        </w:numPr>
        <w:ind w:hanging="0" w:left="0"/>
        <w:rPr/>
      </w:pPr>
      <w:r>
        <w:rPr/>
        <w:t>Shop Drawings: For accordion folding partitions.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Indicate storage and operating clearances.</w:t>
      </w:r>
    </w:p>
    <w:p>
      <w:pPr>
        <w:pStyle w:val="PR2"/>
        <w:numPr>
          <w:ilvl w:val="5"/>
          <w:numId w:val="1"/>
        </w:numPr>
        <w:ind w:hanging="0" w:left="0"/>
        <w:rPr/>
      </w:pPr>
      <w:r>
        <w:rPr/>
        <w:t>Indicate location and installation requirements for hardware and track, blocking, and direction of travel.</w:t>
      </w:r>
    </w:p>
    <w:p>
      <w:pPr>
        <w:pStyle w:val="PR2"/>
        <w:numPr>
          <w:ilvl w:val="5"/>
          <w:numId w:val="1"/>
        </w:numPr>
        <w:ind w:hanging="0" w:left="0"/>
        <w:rPr/>
      </w:pPr>
      <w:r>
        <w:rPr/>
        <w:t>Indicate facing-material seam locations if any.</w:t>
      </w:r>
    </w:p>
    <w:p>
      <w:pPr>
        <w:pStyle w:val="PR2"/>
        <w:numPr>
          <w:ilvl w:val="5"/>
          <w:numId w:val="1"/>
        </w:numPr>
        <w:ind w:hanging="0" w:left="0"/>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exposed material, facing material, and finish indicated.</w:t>
      </w:r>
    </w:p>
    <w:p>
      <w:pPr>
        <w:pStyle w:val="PR2"/>
        <w:numPr>
          <w:ilvl w:val="5"/>
          <w:numId w:val="1"/>
        </w:numPr>
        <w:spacing w:before="240" w:after="0"/>
        <w:ind w:hanging="0" w:left="0"/>
        <w:rPr/>
      </w:pPr>
      <w:r>
        <w:rPr/>
        <w:t>Include similar Samples of accessories involving color selection.</w:t>
      </w:r>
    </w:p>
    <w:p>
      <w:pPr>
        <w:pStyle w:val="PR1"/>
        <w:numPr>
          <w:ilvl w:val="4"/>
          <w:numId w:val="1"/>
        </w:numPr>
        <w:ind w:hanging="0" w:left="0"/>
        <w:rPr/>
      </w:pPr>
      <w:r>
        <w:rPr/>
        <w:t>Samples for Verification: For each type of exposed material, facing material, and finish indicated, prepared on Samples of size indicated below:</w:t>
      </w:r>
    </w:p>
    <w:p>
      <w:pPr>
        <w:pStyle w:val="CMT"/>
        <w:rPr/>
      </w:pPr>
      <w:r>
        <w:rPr/>
        <w:t>Retain "Textile Facing Material" Subparagraph below for textile wall coverings.</w:t>
      </w:r>
    </w:p>
    <w:p>
      <w:pPr>
        <w:pStyle w:val="PR2"/>
        <w:numPr>
          <w:ilvl w:val="5"/>
          <w:numId w:val="1"/>
        </w:numPr>
        <w:spacing w:before="240" w:after="0"/>
        <w:ind w:hanging="0" w:left="0"/>
        <w:rPr/>
      </w:pPr>
      <w:r>
        <w:rPr/>
        <w:t xml:space="preserve">Textile Facing Material: Full width by not less than </w:t>
      </w:r>
      <w:r>
        <w:rPr>
          <w:rStyle w:val="IP"/>
        </w:rPr>
        <w:t>36-inch-</w:t>
      </w:r>
      <w:r>
        <w:rPr>
          <w:rStyle w:val="SI"/>
        </w:rPr>
        <w:t xml:space="preserve"> (914-mm-)</w:t>
      </w:r>
      <w:r>
        <w:rPr/>
        <w:t xml:space="preserve"> long section of [</w:t>
      </w:r>
      <w:r>
        <w:rPr>
          <w:b/>
        </w:rPr>
        <w:t>fabric</w:t>
      </w:r>
      <w:r>
        <w:rPr/>
        <w:t>] [</w:t>
      </w:r>
      <w:r>
        <w:rPr>
          <w:b/>
        </w:rPr>
        <w:t>carpet</w:t>
      </w:r>
      <w:r>
        <w:rPr/>
        <w:t>] from dye lot to be used for the Work, with specified treatments applied. Show complete pattern repeat.</w:t>
      </w:r>
    </w:p>
    <w:p>
      <w:pPr>
        <w:pStyle w:val="CMT"/>
        <w:rPr/>
      </w:pPr>
      <w:r>
        <w:rPr/>
        <w:t>Retain "Facing Material Other Than Textile" Subparagraph below for facing material other than textiles.</w:t>
      </w:r>
    </w:p>
    <w:p>
      <w:pPr>
        <w:pStyle w:val="PR2"/>
        <w:numPr>
          <w:ilvl w:val="5"/>
          <w:numId w:val="1"/>
        </w:numPr>
        <w:ind w:hanging="0" w:left="0"/>
        <w:rPr/>
      </w:pPr>
      <w:r>
        <w:rPr/>
        <w:t xml:space="preserve">Facing Material Other Than Textile: Manufacturer's standard-size unit, not less than </w:t>
      </w:r>
      <w:r>
        <w:rPr>
          <w:rStyle w:val="IP"/>
        </w:rPr>
        <w:t>3 inches</w:t>
      </w:r>
      <w:r>
        <w:rPr>
          <w:rStyle w:val="SI"/>
        </w:rPr>
        <w:t xml:space="preserve"> (75 mm)</w:t>
      </w:r>
      <w:r>
        <w:rPr/>
        <w:t xml:space="preserve"> square.</w:t>
      </w:r>
    </w:p>
    <w:p>
      <w:pPr>
        <w:pStyle w:val="PR2"/>
        <w:numPr>
          <w:ilvl w:val="5"/>
          <w:numId w:val="1"/>
        </w:numPr>
        <w:ind w:hanging="0" w:left="0"/>
        <w:rPr/>
      </w:pPr>
      <w:r>
        <w:rPr/>
        <w:t xml:space="preserve">Edge Material: Not less than full width by </w:t>
      </w:r>
      <w:r>
        <w:rPr>
          <w:rStyle w:val="IP"/>
        </w:rPr>
        <w:t>3 inches</w:t>
      </w:r>
      <w:r>
        <w:rPr>
          <w:rStyle w:val="SI"/>
        </w:rPr>
        <w:t xml:space="preserve"> (75 mm)</w:t>
      </w:r>
      <w:r>
        <w:rPr/>
        <w:t xml:space="preserve"> long.</w:t>
      </w:r>
    </w:p>
    <w:p>
      <w:pPr>
        <w:pStyle w:val="PR2"/>
        <w:numPr>
          <w:ilvl w:val="5"/>
          <w:numId w:val="1"/>
        </w:numPr>
        <w:ind w:hanging="0" w:left="0"/>
        <w:rPr/>
      </w:pPr>
      <w:r>
        <w:rPr/>
        <w:t>Hardware: Manufacturer's standard exposed door-operating device.</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seismic bracing of accordion folding partitions.</w:t>
      </w:r>
    </w:p>
    <w:p>
      <w:pPr>
        <w:pStyle w:val="PR2"/>
        <w:numPr>
          <w:ilvl w:val="5"/>
          <w:numId w:val="1"/>
        </w:numPr>
        <w:spacing w:before="240" w:after="0"/>
        <w:ind w:hanging="0" w:left="0"/>
        <w:rPr/>
      </w:pPr>
      <w:r>
        <w:rPr/>
        <w:t>Include design calculations for seismic restraints that brace tracks to structure above.</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based on input from installers of the items involved:</w:t>
      </w:r>
    </w:p>
    <w:p>
      <w:pPr>
        <w:pStyle w:val="CMT"/>
        <w:rPr/>
      </w:pPr>
      <w:r>
        <w:rPr/>
        <w:t>Retain option in first subparagraph below if design of seismic bracing is delegated to the Contractor.</w:t>
      </w:r>
    </w:p>
    <w:p>
      <w:pPr>
        <w:pStyle w:val="PR2"/>
        <w:numPr>
          <w:ilvl w:val="5"/>
          <w:numId w:val="1"/>
        </w:numPr>
        <w:spacing w:before="240" w:after="0"/>
        <w:ind w:hanging="0" w:left="0"/>
        <w:rPr/>
      </w:pPr>
      <w:r>
        <w:rPr/>
        <w:t>Partition track, track supports[</w:t>
      </w:r>
      <w:r>
        <w:rPr>
          <w:b/>
        </w:rPr>
        <w:t> and seismic bracing</w:t>
      </w:r>
      <w:r>
        <w:rPr/>
        <w:t>], switches, turning space, and storage layout.</w:t>
      </w:r>
    </w:p>
    <w:p>
      <w:pPr>
        <w:pStyle w:val="PR2"/>
        <w:numPr>
          <w:ilvl w:val="5"/>
          <w:numId w:val="1"/>
        </w:numPr>
        <w:ind w:hanging="0" w:left="0"/>
        <w:rPr/>
      </w:pPr>
      <w:r>
        <w:rPr/>
        <w:t>Suspended ceiling components.</w:t>
      </w:r>
    </w:p>
    <w:p>
      <w:pPr>
        <w:pStyle w:val="PR2"/>
        <w:numPr>
          <w:ilvl w:val="5"/>
          <w:numId w:val="1"/>
        </w:numPr>
        <w:ind w:hanging="0" w:left="0"/>
        <w:rPr/>
      </w:pPr>
      <w:r>
        <w:rPr/>
        <w:t>Structural members to which suspension systems will be attached.</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HVAC ductwork,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Smoke detectors.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Plenum [</w:t>
      </w:r>
      <w:r>
        <w:rPr>
          <w:b/>
        </w:rPr>
        <w:t>fire</w:t>
      </w:r>
      <w:r>
        <w:rPr/>
        <w:t>] [</w:t>
      </w:r>
      <w:r>
        <w:rPr>
          <w:b/>
        </w:rPr>
        <w:t>smoke</w:t>
      </w:r>
      <w:r>
        <w:rPr/>
        <w:t>] [</w:t>
      </w:r>
      <w:r>
        <w:rPr>
          <w:b/>
        </w:rPr>
        <w:t>and</w:t>
      </w:r>
      <w:r>
        <w:rPr/>
        <w:t>] [</w:t>
      </w:r>
      <w:r>
        <w:rPr>
          <w:b/>
        </w:rPr>
        <w:t>acoustical</w:t>
      </w:r>
      <w:r>
        <w:rPr/>
        <w:t>] barriers.</w:t>
      </w:r>
    </w:p>
    <w:p>
      <w:pPr>
        <w:pStyle w:val="CMT"/>
        <w:rPr/>
      </w:pPr>
      <w:r>
        <w:rPr/>
        <w:t>Revise "Setting Drawings" Paragraph below to suit Project.</w:t>
      </w:r>
    </w:p>
    <w:p>
      <w:pPr>
        <w:pStyle w:val="PR1"/>
        <w:numPr>
          <w:ilvl w:val="4"/>
          <w:numId w:val="1"/>
        </w:numPr>
        <w:ind w:hanging="0" w:left="0"/>
        <w:rPr/>
      </w:pPr>
      <w:r>
        <w:rPr/>
        <w:t>Setting Drawings: For embedded items and cutouts required in other work[</w:t>
      </w:r>
      <w:r>
        <w:rPr>
          <w:b/>
        </w:rPr>
        <w:t>, including support-beam, mounting-hole template</w:t>
      </w:r>
      <w:r>
        <w:rPr/>
        <w: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manufacturer or vendor</w:t>
      </w:r>
      <w:r>
        <w:rPr/>
        <w:t>] [</w:t>
      </w:r>
      <w:r>
        <w:rPr>
          <w:b/>
        </w:rPr>
        <w:t>Installer</w:t>
      </w:r>
      <w:r>
        <w:rPr/>
        <w:t>] [</w:t>
      </w:r>
      <w:r>
        <w:rPr>
          <w:b/>
        </w:rPr>
        <w:t>and</w:t>
      </w:r>
      <w:r>
        <w:rPr/>
        <w:t>] [</w:t>
      </w:r>
      <w:r>
        <w:rPr>
          <w:b/>
        </w:rPr>
        <w:t>testing agency</w:t>
      </w:r>
      <w:r>
        <w:rPr/>
        <w:t>].</w:t>
      </w:r>
    </w:p>
    <w:p>
      <w:pPr>
        <w:pStyle w:val="CMT"/>
        <w:rPr/>
      </w:pPr>
      <w:r>
        <w:rPr/>
        <w:t>Retain "Product Certificates" Paragraph below to require submittal of product certificates from manufacturer.</w:t>
      </w:r>
    </w:p>
    <w:p>
      <w:pPr>
        <w:pStyle w:val="PR1"/>
        <w:numPr>
          <w:ilvl w:val="4"/>
          <w:numId w:val="1"/>
        </w:numPr>
        <w:ind w:hanging="0" w:left="0"/>
        <w:rPr/>
      </w:pPr>
      <w:r>
        <w:rPr/>
        <w:t>Product Certificates: For each type of accordion folding partition, from manufacturer.</w:t>
      </w:r>
    </w:p>
    <w:p>
      <w:pPr>
        <w:pStyle w:val="CMT"/>
        <w:rPr/>
      </w:pPr>
      <w:r>
        <w:rPr/>
        <w:t>Retain "Material Certificates" Paragraph below if matching textile for several accordion folding partitions.</w:t>
      </w:r>
    </w:p>
    <w:p>
      <w:pPr>
        <w:pStyle w:val="PR1"/>
        <w:numPr>
          <w:ilvl w:val="4"/>
          <w:numId w:val="1"/>
        </w:numPr>
        <w:ind w:hanging="0" w:left="0"/>
        <w:rPr/>
      </w:pPr>
      <w:r>
        <w:rPr/>
        <w:t>Material Certificates: For each textile dye lot, signed by manufacturers.</w:t>
      </w:r>
    </w:p>
    <w:p>
      <w:pPr>
        <w:pStyle w:val="PR1"/>
        <w:numPr>
          <w:ilvl w:val="4"/>
          <w:numId w:val="1"/>
        </w:numPr>
        <w:ind w:hanging="0" w:left="0"/>
        <w:rPr/>
      </w:pPr>
      <w:r>
        <w:rPr/>
        <w:t>Product Test Reports: For each accordion folding partition,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manufacturer's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accordion folding partitions to include in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Facing materials and finishes for exposed trim and accessories. Include precautions for cleaning materials and methods that could be detrimental to finishes and performance.</w:t>
      </w:r>
    </w:p>
    <w:p>
      <w:pPr>
        <w:pStyle w:val="PR3"/>
        <w:numPr>
          <w:ilvl w:val="6"/>
          <w:numId w:val="1"/>
        </w:numPr>
        <w:ind w:hanging="0" w:left="0"/>
        <w:rPr/>
      </w:pPr>
      <w:r>
        <w:rPr/>
        <w:t>Seals, hardware, track, carriers, and other operating components.</w:t>
      </w:r>
    </w:p>
    <w:p>
      <w:pPr>
        <w:pStyle w:val="CMT"/>
        <w:rPr/>
      </w:pPr>
      <w:r>
        <w:rPr/>
        <w:t>Retain subparagraph below if electric operation is required.</w:t>
      </w:r>
    </w:p>
    <w:p>
      <w:pPr>
        <w:pStyle w:val="PR3"/>
        <w:numPr>
          <w:ilvl w:val="6"/>
          <w:numId w:val="1"/>
        </w:numPr>
        <w:ind w:hanging="0" w:left="0"/>
        <w:rPr/>
      </w:pPr>
      <w:r>
        <w:rPr/>
        <w:t>Electric operator and controls.</w:t>
      </w:r>
    </w:p>
    <w:p>
      <w:pPr>
        <w:pStyle w:val="ART"/>
        <w:numPr>
          <w:ilvl w:val="3"/>
          <w:numId w:val="1"/>
        </w:numPr>
        <w:ind w:hanging="0" w:left="0"/>
        <w:rPr/>
      </w:pPr>
      <w:r>
        <w:rPr/>
        <w:t>QUALITY ASSURANCE</w:t>
      </w:r>
    </w:p>
    <w:p>
      <w:pPr>
        <w:pStyle w:val="PR1"/>
        <w:numPr>
          <w:ilvl w:val="4"/>
          <w:numId w:val="1"/>
        </w:numPr>
        <w:ind w:hanging="0" w:left="0"/>
        <w:rPr/>
      </w:pPr>
      <w:hyperlink r:id="rId7">
        <w:r>
          <w:rPr>
            <w:rStyle w:val="Hyperlink"/>
          </w:rPr>
          <w:t>&lt;Double click to insert sustainable design text for manufacturer qualifications.&gt;</w:t>
        </w:r>
      </w:hyperlink>
    </w:p>
    <w:p>
      <w:pPr>
        <w:pStyle w:val="PR1"/>
        <w:numPr>
          <w:ilvl w:val="4"/>
          <w:numId w:val="1"/>
        </w:numPr>
        <w:ind w:hanging="0" w:left="0"/>
        <w:rPr/>
      </w:pPr>
      <w:hyperlink r:id="rId8">
        <w:r>
          <w:rPr>
            <w:rStyle w:val="Hyperlink"/>
          </w:rPr>
          <w:t>&lt;Double click to insert sustainable design text for vendor qualifications.&gt;</w:t>
        </w:r>
      </w:hyperlink>
    </w:p>
    <w:p>
      <w:pPr>
        <w:pStyle w:val="PR1"/>
        <w:numPr>
          <w:ilvl w:val="4"/>
          <w:numId w:val="1"/>
        </w:numPr>
        <w:ind w:hanging="0" w:left="0"/>
        <w:rPr/>
      </w:pPr>
      <w:r>
        <w:rPr/>
        <w:t>Installer Qualifications: An entity that employs installers and supervisors who are trained and approved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accordion folding partitions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Faulty operation of accordion folding partitions.</w:t>
      </w:r>
    </w:p>
    <w:p>
      <w:pPr>
        <w:pStyle w:val="PR3"/>
        <w:numPr>
          <w:ilvl w:val="6"/>
          <w:numId w:val="1"/>
        </w:numPr>
        <w:ind w:hanging="0" w:left="0"/>
        <w:rPr/>
      </w:pPr>
      <w:r>
        <w:rPr/>
        <w:t>Deterioration of metals, metal finishes, and other materials beyond normal use.</w:t>
      </w:r>
    </w:p>
    <w:p>
      <w:pPr>
        <w:pStyle w:val="CMT"/>
        <w:rPr/>
      </w:pPr>
      <w:r>
        <w:rPr/>
        <w:t>Verify available warranties and warranty periods.</w:t>
      </w:r>
    </w:p>
    <w:p>
      <w:pPr>
        <w:pStyle w:val="PR2"/>
        <w:numPr>
          <w:ilvl w:val="5"/>
          <w:numId w:val="1"/>
        </w:numPr>
        <w:spacing w:before="240" w:after="0"/>
        <w:ind w:hanging="0" w:left="0"/>
        <w:rPr/>
      </w:pPr>
      <w:r>
        <w:rPr/>
        <w:t>Warranty Period: [</w:t>
      </w:r>
      <w:r>
        <w:rPr>
          <w:b/>
        </w:rPr>
        <w:t>Two</w:t>
      </w:r>
      <w:r>
        <w:rPr/>
        <w:t>] [</w:t>
      </w:r>
      <w:r>
        <w:rPr>
          <w:b/>
        </w:rPr>
        <w:t>Five</w:t>
      </w:r>
      <w:r>
        <w:rPr/>
        <w:t>] &lt;</w:t>
      </w:r>
      <w:r>
        <w:rPr>
          <w:b/>
        </w:rPr>
        <w:t>Insert number</w:t>
      </w:r>
      <w:r>
        <w:rPr/>
        <w:t>&gt; years from date of Substantial Completion.</w:t>
      </w:r>
    </w:p>
    <w:p>
      <w:pPr>
        <w:pStyle w:val="CMT"/>
        <w:rPr/>
      </w:pPr>
      <w:r>
        <w:rPr/>
        <w:t>Warranty in "Warranty Period for Pantographic Frames, Trolleys, and Tracks" Subparagraph below is offered by some manufacturers; revise to suit Project.</w:t>
      </w:r>
    </w:p>
    <w:p>
      <w:pPr>
        <w:pStyle w:val="PR2"/>
        <w:numPr>
          <w:ilvl w:val="5"/>
          <w:numId w:val="1"/>
        </w:numPr>
        <w:ind w:hanging="0" w:left="0"/>
        <w:rPr/>
      </w:pPr>
      <w:r>
        <w:rPr/>
        <w:t>Warranty Period for Pantographic Frames, Trolleys, and Tracks: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seismic bracing of tracks to structure above, according to the seismic performance requirements.</w:t>
      </w:r>
    </w:p>
    <w:p>
      <w:pPr>
        <w:pStyle w:val="CMT"/>
        <w:rPr/>
      </w:pPr>
      <w:r>
        <w:rPr/>
        <w:t>Retain "Seismic Performance" Paragraph below if seismic design of accordion folding partitions is required for Project. Revise to indicate specific loads determined by Project's structural engineer, or refer to loads indicated on Drawings. Model building codes and ASCE/SEI 7 establish criteria for buildings and components subject to earthquake motions. Coordinate requirements with Project's structural engineer.</w:t>
      </w:r>
    </w:p>
    <w:p>
      <w:pPr>
        <w:pStyle w:val="PR1"/>
        <w:numPr>
          <w:ilvl w:val="4"/>
          <w:numId w:val="1"/>
        </w:numPr>
        <w:ind w:hanging="0" w:left="0"/>
        <w:rPr/>
      </w:pPr>
      <w:r>
        <w:rPr/>
        <w:t>Seismic Performance: Accordion folding partitions shall withstand the effects of earthquake motions determined according to [</w:t>
      </w:r>
      <w:r>
        <w:rPr>
          <w:b/>
        </w:rPr>
        <w:t>ASCE/SEI 7</w:t>
      </w:r>
      <w:r>
        <w:rPr/>
        <w:t>] &lt;</w:t>
      </w:r>
      <w:r>
        <w:rPr>
          <w:b/>
        </w:rPr>
        <w:t>Insert requirement</w:t>
      </w:r>
      <w:r>
        <w:rPr/>
        <w:t>&gt;.</w:t>
      </w:r>
    </w:p>
    <w:p>
      <w:pPr>
        <w:pStyle w:val="PR1"/>
        <w:numPr>
          <w:ilvl w:val="4"/>
          <w:numId w:val="1"/>
        </w:numPr>
        <w:ind w:hanging="0" w:left="0"/>
        <w:rPr/>
      </w:pPr>
      <w:r>
        <w:rPr/>
        <w:t>Acoustical Performance: Provide accordion folding partitions tested by a qualified testing agency for the following acoustical properties, according to test methods indicated:</w:t>
      </w:r>
    </w:p>
    <w:p>
      <w:pPr>
        <w:pStyle w:val="CMT"/>
        <w:rPr/>
      </w:pPr>
      <w:r>
        <w:rPr/>
        <w:t>If retaining "Sound-Transmission Requirements" or "Noise-Reduction Requirements" Subparagraph below, or both, indicate ratings in Part 2 or on Drawings. Verify, with manufacturer, that values for STC and NRC are available for required products.</w:t>
      </w:r>
    </w:p>
    <w:p>
      <w:pPr>
        <w:pStyle w:val="PR2"/>
        <w:numPr>
          <w:ilvl w:val="5"/>
          <w:numId w:val="1"/>
        </w:numPr>
        <w:spacing w:before="240" w:after="0"/>
        <w:ind w:hanging="0" w:left="0"/>
        <w:rPr/>
      </w:pPr>
      <w:r>
        <w:rPr/>
        <w:t>Sound-Transmission Requirements: Accordion folding partition assembly tested in a laboratory for sound-transmission loss performance according to ASTM E90, calculated according to ASTM E413, and rated for not less than the STC value indicated.</w:t>
      </w:r>
    </w:p>
    <w:p>
      <w:pPr>
        <w:pStyle w:val="CMT"/>
        <w:rPr/>
      </w:pPr>
      <w:r>
        <w:rPr/>
        <w:t>Retain "Noise-Reduction Requirements" Subparagraph below only if NRC rating is required; substitute SAA for NRC if required; see the Evaluations.</w:t>
      </w:r>
    </w:p>
    <w:p>
      <w:pPr>
        <w:pStyle w:val="PR2"/>
        <w:numPr>
          <w:ilvl w:val="5"/>
          <w:numId w:val="1"/>
        </w:numPr>
        <w:ind w:hanging="0" w:left="0"/>
        <w:rPr/>
      </w:pPr>
      <w:r>
        <w:rPr/>
        <w:t>Noise-Reduction Requirements: Accordion folding partition assembly, identical to partition tested for STC, tested for sound-absorption performance according to ASTM C423, and rated for not less than the NRC indicated.</w:t>
      </w:r>
    </w:p>
    <w:p>
      <w:pPr>
        <w:pStyle w:val="CMT"/>
        <w:rPr/>
      </w:pPr>
      <w:r>
        <w:rPr/>
        <w:t>Retain "Noise-Isolation Requirements" Subparagraph below only if NIC rating is required for installed accordion folding partitions. Verify, with manufacturer, that values retained for NIC and STC are possible and practical for required products as they will be installed. Testing is required in "Field Quality Control" Article. See the Evaluations.</w:t>
      </w:r>
    </w:p>
    <w:p>
      <w:pPr>
        <w:pStyle w:val="PR2"/>
        <w:numPr>
          <w:ilvl w:val="5"/>
          <w:numId w:val="1"/>
        </w:numPr>
        <w:ind w:hanging="0" w:left="0"/>
        <w:rPr/>
      </w:pPr>
      <w:r>
        <w:rPr/>
        <w:t>Noise-Isolation Requirements: Installed accordion folding partition assembly, identical to partition tested for STC, tested for NIC according to ASTM E336, determined by ASTM E413, and rated for [</w:t>
      </w:r>
      <w:r>
        <w:rPr>
          <w:b/>
        </w:rPr>
        <w:t>10 dB less than STC value indicated</w:t>
      </w:r>
      <w:r>
        <w:rPr/>
        <w:t>] &lt;</w:t>
      </w:r>
      <w:r>
        <w:rPr>
          <w:b/>
        </w:rPr>
        <w:t>Insert value</w:t>
      </w:r>
      <w:r>
        <w:rPr/>
        <w:t>&gt;.</w:t>
      </w:r>
    </w:p>
    <w:p>
      <w:pPr>
        <w:pStyle w:val="CMT"/>
        <w:rPr/>
      </w:pPr>
      <w:r>
        <w:rPr/>
        <w:t>Revise "Fire-Test-Response Characteristics" Paragraph below as required by governing code for partition location, occupancy classification, and whether facility is sprinklered or not. Verify and insert requirements of authorities having jurisdiction.</w:t>
      </w:r>
    </w:p>
    <w:p>
      <w:pPr>
        <w:pStyle w:val="CMT"/>
        <w:rPr/>
      </w:pPr>
      <w:r>
        <w:rPr/>
        <w:t>The IBC requires that textiles used as wall finishes are tested according to ASTM E84 and that automatic sprinklers are present, or that the textiles are tested as intended for use according to NFPA 265 Method B Protocol or to NFPA 286. Finishes other than textiles and having a thickness of 0.036 inch (0.9 mm) or more must be tested according to ASTM E84 or NFPA 286.</w:t>
      </w:r>
    </w:p>
    <w:p>
      <w:pPr>
        <w:pStyle w:val="PR1"/>
        <w:numPr>
          <w:ilvl w:val="4"/>
          <w:numId w:val="1"/>
        </w:numPr>
        <w:ind w:hanging="0" w:left="0"/>
        <w:rPr/>
      </w:pPr>
      <w:r>
        <w:rPr/>
        <w:t>Fire-Test-Response Characteristics: Provide partitions with finishes complying with one of the following, as determined by testing identical products by a testing and inspecting agency acceptable to authorities having jurisdiction:</w:t>
      </w:r>
    </w:p>
    <w:p>
      <w:pPr>
        <w:pStyle w:val="PR2"/>
        <w:numPr>
          <w:ilvl w:val="5"/>
          <w:numId w:val="1"/>
        </w:numPr>
        <w:spacing w:before="240" w:after="0"/>
        <w:ind w:hanging="0" w:left="0"/>
        <w:rPr/>
      </w:pPr>
      <w:r>
        <w:rPr/>
        <w:t>Surface-Burning Characteristics: Comply with ASTM E84; testing by a qualified testing agency. Identify products with appropriate markings of applicable testing agency.</w:t>
      </w:r>
    </w:p>
    <w:p>
      <w:pPr>
        <w:pStyle w:val="CMT"/>
        <w:rPr/>
      </w:pPr>
      <w:r>
        <w:rPr/>
        <w:t>Option in "Flame-Spread Index" Subparagraph below applies to textile-finished (fabric and carpet) wall surfaces.</w:t>
      </w:r>
    </w:p>
    <w:p>
      <w:pPr>
        <w:pStyle w:val="PR3"/>
        <w:numPr>
          <w:ilvl w:val="6"/>
          <w:numId w:val="1"/>
        </w:numPr>
        <w:spacing w:before="240" w:after="0"/>
        <w:ind w:hanging="0" w:left="0"/>
        <w:rPr/>
      </w:pPr>
      <w:r>
        <w:rPr/>
        <w:t>Flame-Spread Index: [</w:t>
      </w:r>
      <w:r>
        <w:rPr>
          <w:b/>
        </w:rPr>
        <w:t>25</w:t>
      </w:r>
      <w:r>
        <w:rPr/>
        <w:t>] &lt;</w:t>
      </w:r>
      <w:r>
        <w:rPr>
          <w:b/>
        </w:rPr>
        <w:t>Insert value</w:t>
      </w:r>
      <w:r>
        <w:rPr/>
        <w:t>&gt; or less.</w:t>
      </w:r>
    </w:p>
    <w:p>
      <w:pPr>
        <w:pStyle w:val="PR3"/>
        <w:numPr>
          <w:ilvl w:val="6"/>
          <w:numId w:val="1"/>
        </w:numPr>
        <w:ind w:hanging="0" w:left="0"/>
        <w:rPr/>
      </w:pPr>
      <w:r>
        <w:rPr/>
        <w:t>Smoke-Developed Index: [</w:t>
      </w:r>
      <w:r>
        <w:rPr>
          <w:b/>
        </w:rPr>
        <w:t>450</w:t>
      </w:r>
      <w:r>
        <w:rPr/>
        <w:t>] &lt;</w:t>
      </w:r>
      <w:r>
        <w:rPr>
          <w:b/>
        </w:rPr>
        <w:t>Insert value</w:t>
      </w:r>
      <w:r>
        <w:rPr/>
        <w:t>&gt; or less.</w:t>
      </w:r>
    </w:p>
    <w:p>
      <w:pPr>
        <w:pStyle w:val="PR2"/>
        <w:numPr>
          <w:ilvl w:val="5"/>
          <w:numId w:val="1"/>
        </w:numPr>
        <w:spacing w:before="240" w:after="0"/>
        <w:ind w:hanging="0" w:left="0"/>
        <w:rPr/>
      </w:pPr>
      <w:r>
        <w:rPr/>
        <w:t>Fire Growth Contribution: Complying with acceptance criteria of local code and authorities having jurisdiction when tested according to [</w:t>
      </w:r>
      <w:r>
        <w:rPr>
          <w:b/>
        </w:rPr>
        <w:t>NFPA 265 Method B Protocol</w:t>
      </w:r>
      <w:r>
        <w:rPr/>
        <w:t>] [</w:t>
      </w:r>
      <w:r>
        <w:rPr>
          <w:b/>
        </w:rPr>
        <w:t>or</w:t>
      </w:r>
      <w:r>
        <w:rPr/>
        <w:t>] [</w:t>
      </w:r>
      <w:r>
        <w:rPr>
          <w:b/>
        </w:rPr>
        <w:t>NFPA 286</w:t>
      </w:r>
      <w:r>
        <w:rPr/>
        <w:t>].</w:t>
      </w:r>
    </w:p>
    <w:p>
      <w:pPr>
        <w:pStyle w:val="CMT"/>
        <w:rPr/>
      </w:pPr>
      <w:r>
        <w:rPr/>
        <w:t>Retain "Fire Resistance" Paragraph below for fire-rated accordion folding partitions. Indicate on Drawings both fire-resistance rating of each assembly and designation of testing and inspecting agency that has established assembly's fire-test-response characteristics. Manufacturers test fire-rated accordion folding partitions as "Special-Purpose Fire Doors" according to UL 10B. Verify acceptability with authorities having jurisdiction.</w:t>
      </w:r>
    </w:p>
    <w:p>
      <w:pPr>
        <w:pStyle w:val="PR1"/>
        <w:numPr>
          <w:ilvl w:val="4"/>
          <w:numId w:val="1"/>
        </w:numPr>
        <w:ind w:hanging="0" w:left="0"/>
        <w:rPr/>
      </w:pPr>
      <w:r>
        <w:rPr/>
        <w:t>Fire Resistance: Provide fire-rated accordion folding partitions complying with NFPA 80, based on testing according to UL 10B for fire-rated door assemblies.</w:t>
      </w:r>
    </w:p>
    <w:p>
      <w:pPr>
        <w:pStyle w:val="CMT"/>
        <w:rPr/>
      </w:pPr>
      <w:r>
        <w:rPr/>
        <w:t>Retain "Oversize Fire-Rated Door Assemblies" Subparagraph below if applicable and acceptable to authorities having jurisdiction; revise to suit Project.</w:t>
      </w:r>
    </w:p>
    <w:p>
      <w:pPr>
        <w:pStyle w:val="PR2"/>
        <w:numPr>
          <w:ilvl w:val="5"/>
          <w:numId w:val="1"/>
        </w:numPr>
        <w:spacing w:before="240" w:after="0"/>
        <w:ind w:hanging="0" w:left="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CMT"/>
        <w:rPr/>
      </w:pPr>
      <w:r>
        <w:rPr/>
        <w:t>Retain "Electrical Components, Devices, and Accessories" Paragraph below if electric operation is required.</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ACCORDION FOLDING PARTITION &lt;</w:t>
      </w:r>
      <w:r>
        <w:rPr>
          <w:b/>
        </w:rPr>
        <w:t>Insert drawing designation</w:t>
      </w:r>
      <w:r>
        <w:rPr/>
        <w:t>&gt;</w:t>
      </w:r>
    </w:p>
    <w:p>
      <w:pPr>
        <w:pStyle w:val="CMT"/>
        <w:rPr/>
      </w:pPr>
      <w:r>
        <w:rPr/>
        <w:t>Delete this article if only fire-rated accordion folding partitions are required.</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First option in "Accordion Folding Partition" Paragraph below is the most common construction.</w:t>
      </w:r>
    </w:p>
    <w:p>
      <w:pPr>
        <w:pStyle w:val="PR1"/>
        <w:numPr>
          <w:ilvl w:val="4"/>
          <w:numId w:val="1"/>
        </w:numPr>
        <w:ind w:hanging="0" w:left="0"/>
        <w:rPr/>
      </w:pPr>
      <w:r>
        <w:rPr/>
        <w:t>Accordion Folding Partition: Accordion folding frame with [</w:t>
      </w:r>
      <w:r>
        <w:rPr>
          <w:b/>
        </w:rPr>
        <w:t>pantograph</w:t>
      </w:r>
      <w:r>
        <w:rPr/>
        <w:t>] [</w:t>
      </w:r>
      <w:r>
        <w:rPr>
          <w:b/>
        </w:rPr>
        <w:t>or</w:t>
      </w:r>
      <w:r>
        <w:rPr/>
        <w:t>] [</w:t>
      </w:r>
      <w:r>
        <w:rPr>
          <w:b/>
        </w:rPr>
        <w:t>hinged</w:t>
      </w:r>
      <w:r>
        <w:rPr/>
        <w:t>] sections designed for horizontal extension and retraction, covered with decorative facing material, reinforced for hardware attachment, supported by overhead suspension system, and equipped with manufacturer's standard air-release method to prevent billowing.</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CMT"/>
        <w:rPr/>
      </w:pPr>
      <w:r>
        <w:rPr/>
        <w:t>If retaining either "bi-parting" option in "Partition Type" Paragraph below, indicate dimensions to the intermediate meeting point if not equally spaced between jambs; if retaining a "double-end-post" option, indicate how many accordion sections are required for the total opening width if more than one. See the Evaluations.</w:t>
      </w:r>
    </w:p>
    <w:p>
      <w:pPr>
        <w:pStyle w:val="PR1"/>
        <w:numPr>
          <w:ilvl w:val="4"/>
          <w:numId w:val="1"/>
        </w:numPr>
        <w:ind w:hanging="0" w:left="0"/>
        <w:rPr/>
      </w:pPr>
      <w:r>
        <w:rPr/>
        <w:t>Partition Type: [</w:t>
      </w:r>
      <w:r>
        <w:rPr>
          <w:b/>
        </w:rPr>
        <w:t>Single fixed-jamb partition</w:t>
      </w:r>
      <w:r>
        <w:rPr/>
        <w:t>] [</w:t>
      </w:r>
      <w:r>
        <w:rPr>
          <w:b/>
        </w:rPr>
        <w:t>Single sliding-jamb partition</w:t>
      </w:r>
      <w:r>
        <w:rPr/>
        <w:t>] [</w:t>
      </w:r>
      <w:r>
        <w:rPr>
          <w:b/>
        </w:rPr>
        <w:t>Bi-parting partition with fixed jambs</w:t>
      </w:r>
      <w:r>
        <w:rPr/>
        <w:t>] [</w:t>
      </w:r>
      <w:r>
        <w:rPr>
          <w:b/>
        </w:rPr>
        <w:t>Bi-parting partition with sliding jambs</w:t>
      </w:r>
      <w:r>
        <w:rPr/>
        <w:t>] [</w:t>
      </w:r>
      <w:r>
        <w:rPr>
          <w:b/>
        </w:rPr>
        <w:t>Double-end-post partition in one accordion section</w:t>
      </w:r>
      <w:r>
        <w:rPr/>
        <w:t>] [</w:t>
      </w:r>
      <w:r>
        <w:rPr>
          <w:b/>
        </w:rPr>
        <w:t>Double-end-post partition in two accordion sections</w:t>
      </w:r>
      <w:r>
        <w:rPr/>
        <w:t>] [</w:t>
      </w:r>
      <w:r>
        <w:rPr>
          <w:b/>
        </w:rPr>
        <w:t>As indicated on Drawings</w:t>
      </w:r>
      <w:r>
        <w:rPr/>
        <w:t>] &lt;</w:t>
      </w:r>
      <w:r>
        <w:rPr>
          <w:b/>
        </w:rPr>
        <w:t>Insert description</w:t>
      </w:r>
      <w:r>
        <w:rPr/>
        <w:t>&gt; with the following hardware:</w:t>
      </w:r>
    </w:p>
    <w:p>
      <w:pPr>
        <w:pStyle w:val="CMT"/>
        <w:rPr/>
      </w:pPr>
      <w:r>
        <w:rPr/>
        <w:t>Retain hardware in subparagraphs below as required for partition type retained above; revise to suit Project. For double-end-post partitions, indicate if different lead posts on the same partition require different hardware.</w:t>
      </w:r>
    </w:p>
    <w:p>
      <w:pPr>
        <w:pStyle w:val="PR2"/>
        <w:numPr>
          <w:ilvl w:val="5"/>
          <w:numId w:val="1"/>
        </w:numPr>
        <w:spacing w:before="240" w:after="0"/>
        <w:ind w:hanging="0" w:left="0"/>
        <w:rPr/>
      </w:pPr>
      <w:r>
        <w:rPr/>
        <w:t>Lead Post Latching Hardware: [</w:t>
      </w:r>
      <w:r>
        <w:rPr>
          <w:b/>
        </w:rPr>
        <w:t>Latch on one side</w:t>
      </w:r>
      <w:r>
        <w:rPr/>
        <w:t>] [</w:t>
      </w:r>
      <w:r>
        <w:rPr>
          <w:b/>
        </w:rPr>
        <w:t>Latch on one side with coin-slot release on opposite side</w:t>
      </w:r>
      <w:r>
        <w:rPr/>
        <w:t>] [</w:t>
      </w:r>
      <w:r>
        <w:rPr>
          <w:b/>
        </w:rPr>
        <w:t>Latch on both sides</w:t>
      </w:r>
      <w:r>
        <w:rPr/>
        <w:t>] &lt;</w:t>
      </w:r>
      <w:r>
        <w:rPr>
          <w:b/>
        </w:rPr>
        <w:t>Insert requirement</w:t>
      </w:r>
      <w:r>
        <w:rPr/>
        <w:t>&gt; secured to [</w:t>
      </w:r>
      <w:r>
        <w:rPr>
          <w:b/>
        </w:rPr>
        <w:t>recessed jamb striker</w:t>
      </w:r>
      <w:r>
        <w:rPr/>
        <w:t>] [</w:t>
      </w:r>
      <w:r>
        <w:rPr>
          <w:b/>
        </w:rPr>
        <w:t>surface jamb striker</w:t>
      </w:r>
      <w:r>
        <w:rPr/>
        <w:t>] [</w:t>
      </w:r>
      <w:r>
        <w:rPr>
          <w:b/>
        </w:rPr>
        <w:t>meeting post striker</w:t>
      </w:r>
      <w:r>
        <w:rPr/>
        <w:t>] &lt;</w:t>
      </w:r>
      <w:r>
        <w:rPr>
          <w:b/>
        </w:rPr>
        <w:t>Insert requirement</w:t>
      </w:r>
      <w:r>
        <w:rPr/>
        <w:t>&gt;.</w:t>
      </w:r>
    </w:p>
    <w:p>
      <w:pPr>
        <w:pStyle w:val="CMT"/>
        <w:rPr/>
      </w:pPr>
      <w:r>
        <w:rPr/>
        <w:t>Retain "Lead Post Latching Hardware" Subparagraph above with or without one of two "Lead Post Locking Hardware" subparagraphs below; revise to suit Project.</w:t>
      </w:r>
    </w:p>
    <w:p>
      <w:pPr>
        <w:pStyle w:val="PR2"/>
        <w:numPr>
          <w:ilvl w:val="5"/>
          <w:numId w:val="1"/>
        </w:numPr>
        <w:ind w:hanging="0" w:left="0"/>
        <w:rPr/>
      </w:pPr>
      <w:r>
        <w:rPr/>
        <w:t>Lead Post Locking Hardware: Key-operated lock cylinder[</w:t>
      </w:r>
      <w:r>
        <w:rPr>
          <w:b/>
        </w:rPr>
        <w:t>, keyed to master key system,</w:t>
      </w:r>
      <w:r>
        <w:rPr/>
        <w:t>] operable from [</w:t>
      </w:r>
      <w:r>
        <w:rPr>
          <w:b/>
        </w:rPr>
        <w:t>latch side</w:t>
      </w:r>
      <w:r>
        <w:rPr/>
        <w:t>] [</w:t>
      </w:r>
      <w:r>
        <w:rPr>
          <w:b/>
        </w:rPr>
        <w:t>both sides</w:t>
      </w:r>
      <w:r>
        <w:rPr/>
        <w:t>] of post.</w:t>
      </w:r>
    </w:p>
    <w:p>
      <w:pPr>
        <w:pStyle w:val="PR2"/>
        <w:numPr>
          <w:ilvl w:val="5"/>
          <w:numId w:val="1"/>
        </w:numPr>
        <w:ind w:hanging="0" w:left="0"/>
        <w:rPr/>
      </w:pPr>
      <w:r>
        <w:rPr/>
        <w:t>Lead Post Locking Hardware: Deadlock to receive cylinder, operable from [</w:t>
      </w:r>
      <w:r>
        <w:rPr>
          <w:b/>
        </w:rPr>
        <w:t>latch side</w:t>
      </w:r>
      <w:r>
        <w:rPr/>
        <w:t>] [</w:t>
      </w:r>
      <w:r>
        <w:rPr>
          <w:b/>
        </w:rPr>
        <w:t>both sides</w:t>
      </w:r>
      <w:r>
        <w:rPr/>
        <w:t>] of post. See Section 087100 "Door Hardware" and Section 087111 "Door Hardware (Descriptive Specification)" for lock cylinder and keying requirements.</w:t>
      </w:r>
    </w:p>
    <w:p>
      <w:pPr>
        <w:pStyle w:val="CMT"/>
        <w:rPr/>
      </w:pPr>
      <w:r>
        <w:rPr/>
        <w:t>Retain first option in "Meeting Post" Subparagraph below for meeting post attached to the end of a partition; retain second option if meeting post is not attached to the end of a partition. Only one meeting post is required where partitions join or intersect. See the Evaluations.</w:t>
      </w:r>
    </w:p>
    <w:p>
      <w:pPr>
        <w:pStyle w:val="PR2"/>
        <w:numPr>
          <w:ilvl w:val="5"/>
          <w:numId w:val="1"/>
        </w:numPr>
        <w:ind w:hanging="0" w:left="0"/>
        <w:rPr/>
      </w:pPr>
      <w:r>
        <w:rPr/>
        <w:t>Meeting Post: [</w:t>
      </w:r>
      <w:r>
        <w:rPr>
          <w:b/>
        </w:rPr>
        <w:t>Attached</w:t>
      </w:r>
      <w:r>
        <w:rPr/>
        <w:t>] [</w:t>
      </w:r>
      <w:r>
        <w:rPr>
          <w:b/>
        </w:rPr>
        <w:t>Floating</w:t>
      </w:r>
      <w:r>
        <w:rPr/>
        <w:t>], with meeting/closing arrangement as indicated on Drawings.</w:t>
      </w:r>
    </w:p>
    <w:p>
      <w:pPr>
        <w:pStyle w:val="CMT"/>
        <w:rPr/>
      </w:pPr>
      <w:r>
        <w:rPr/>
        <w:t>Retain "Intermediate Post" Subparagraph below if required; it is uncommon.</w:t>
      </w:r>
    </w:p>
    <w:p>
      <w:pPr>
        <w:pStyle w:val="PR2"/>
        <w:numPr>
          <w:ilvl w:val="5"/>
          <w:numId w:val="1"/>
        </w:numPr>
        <w:ind w:hanging="0" w:left="0"/>
        <w:rPr/>
      </w:pPr>
      <w:r>
        <w:rPr/>
        <w:t>Intermediate Post: For intersecting partition on [</w:t>
      </w:r>
      <w:r>
        <w:rPr>
          <w:b/>
        </w:rPr>
        <w:t>one side</w:t>
      </w:r>
      <w:r>
        <w:rPr/>
        <w:t>] [</w:t>
      </w:r>
      <w:r>
        <w:rPr>
          <w:b/>
        </w:rPr>
        <w:t>both sides</w:t>
      </w:r>
      <w:r>
        <w:rPr/>
        <w:t>] of partition.</w:t>
      </w:r>
    </w:p>
    <w:p>
      <w:pPr>
        <w:pStyle w:val="PR2"/>
        <w:numPr>
          <w:ilvl w:val="5"/>
          <w:numId w:val="1"/>
        </w:numPr>
        <w:ind w:hanging="0" w:left="0"/>
        <w:rPr/>
      </w:pPr>
      <w:r>
        <w:rPr/>
        <w:t>Storage-End Hardware: [</w:t>
      </w:r>
      <w:r>
        <w:rPr>
          <w:b/>
        </w:rPr>
        <w:t>Anchor post, secured to opening jamb</w:t>
      </w:r>
      <w:r>
        <w:rPr/>
        <w:t>] [</w:t>
      </w:r>
      <w:r>
        <w:rPr>
          <w:b/>
        </w:rPr>
        <w:t>Sliding jamb within storage pocket</w:t>
      </w:r>
      <w:r>
        <w:rPr/>
        <w:t>] [</w:t>
      </w:r>
      <w:r>
        <w:rPr>
          <w:b/>
        </w:rPr>
        <w:t>Same as lead post, secured to recessed jamb striker</w:t>
      </w:r>
      <w:r>
        <w:rPr/>
        <w:t>] [</w:t>
      </w:r>
      <w:r>
        <w:rPr>
          <w:b/>
        </w:rPr>
        <w:t>Same as lead post, secured to surface jamb striker</w:t>
      </w:r>
      <w:r>
        <w:rPr/>
        <w:t>] [</w:t>
      </w:r>
      <w:r>
        <w:rPr>
          <w:b/>
        </w:rPr>
        <w:t>Same as lead post, secured to fixed jamb on pocket door</w:t>
      </w:r>
      <w:r>
        <w:rPr/>
        <w:t>] &lt;</w:t>
      </w:r>
      <w:r>
        <w:rPr>
          <w:b/>
        </w:rPr>
        <w:t>Insert requirement</w:t>
      </w:r>
      <w:r>
        <w:rPr/>
        <w:t>&gt;.</w:t>
      </w:r>
    </w:p>
    <w:p>
      <w:pPr>
        <w:pStyle w:val="PR2"/>
        <w:numPr>
          <w:ilvl w:val="5"/>
          <w:numId w:val="1"/>
        </w:numPr>
        <w:ind w:hanging="0" w:left="0"/>
        <w:rPr/>
      </w:pPr>
      <w:r>
        <w:rPr/>
        <w:t>Pendant Pull: Near top of lead post in addition to standard pull handle/latch [</w:t>
      </w:r>
      <w:r>
        <w:rPr>
          <w:b/>
        </w:rPr>
        <w:t xml:space="preserve">for units more than </w:t>
      </w:r>
      <w:r>
        <w:rPr>
          <w:rStyle w:val="IP"/>
          <w:b/>
        </w:rPr>
        <w:t>10 feet</w:t>
      </w:r>
      <w:r>
        <w:rPr>
          <w:rStyle w:val="SI"/>
          <w:b/>
        </w:rPr>
        <w:t xml:space="preserve"> (3 m)</w:t>
      </w:r>
      <w:r>
        <w:rPr>
          <w:b/>
        </w:rPr>
        <w:t xml:space="preserve"> high or </w:t>
      </w:r>
      <w:r>
        <w:rPr>
          <w:rStyle w:val="IP"/>
          <w:b/>
        </w:rPr>
        <w:t>20 feet</w:t>
      </w:r>
      <w:r>
        <w:rPr>
          <w:rStyle w:val="SI"/>
          <w:b/>
        </w:rPr>
        <w:t xml:space="preserve"> (6 m)</w:t>
      </w:r>
      <w:r>
        <w:rPr>
          <w:b/>
        </w:rPr>
        <w:t xml:space="preserve"> wide, or both</w:t>
      </w:r>
      <w:r>
        <w:rPr/>
        <w:t>] &lt;</w:t>
      </w:r>
      <w:r>
        <w:rPr>
          <w:b/>
        </w:rPr>
        <w:t>Insert requirement</w:t>
      </w:r>
      <w:r>
        <w:rPr/>
        <w:t>&gt;.</w:t>
      </w:r>
    </w:p>
    <w:p>
      <w:pPr>
        <w:pStyle w:val="CMT"/>
        <w:rPr/>
      </w:pPr>
      <w:r>
        <w:rPr/>
        <w:t>Retain "Foot Bolt" Subparagraph below to anchor accordion folding partition in partially open position or to secure intersection with other partition types.</w:t>
      </w:r>
    </w:p>
    <w:p>
      <w:pPr>
        <w:pStyle w:val="PR2"/>
        <w:numPr>
          <w:ilvl w:val="5"/>
          <w:numId w:val="1"/>
        </w:numPr>
        <w:ind w:hanging="0" w:left="0"/>
        <w:rPr/>
      </w:pPr>
      <w:r>
        <w:rPr/>
        <w:t>Foot Bolt: On [</w:t>
      </w:r>
      <w:r>
        <w:rPr>
          <w:b/>
        </w:rPr>
        <w:t>lead</w:t>
      </w:r>
      <w:r>
        <w:rPr/>
        <w:t>] [</w:t>
      </w:r>
      <w:r>
        <w:rPr>
          <w:b/>
        </w:rPr>
        <w:t>attached meeting</w:t>
      </w:r>
      <w:r>
        <w:rPr/>
        <w:t>] [</w:t>
      </w:r>
      <w:r>
        <w:rPr>
          <w:b/>
        </w:rPr>
        <w:t>and</w:t>
      </w:r>
      <w:r>
        <w:rPr/>
        <w:t>] [</w:t>
      </w:r>
      <w:r>
        <w:rPr>
          <w:b/>
        </w:rPr>
        <w:t>intermediate</w:t>
      </w:r>
      <w:r>
        <w:rPr/>
        <w:t>] post(s) where indicated; secured to post without interference with seals.</w:t>
      </w:r>
    </w:p>
    <w:p>
      <w:pPr>
        <w:pStyle w:val="CMT"/>
        <w:rPr/>
      </w:pPr>
      <w:r>
        <w:rPr/>
        <w:t>Retain "STC" Paragraph below for acoustically rated partitions; verify availability with manufacturers.</w:t>
      </w:r>
    </w:p>
    <w:p>
      <w:pPr>
        <w:pStyle w:val="PR1"/>
        <w:numPr>
          <w:ilvl w:val="4"/>
          <w:numId w:val="1"/>
        </w:numPr>
        <w:ind w:hanging="0" w:left="0"/>
        <w:rPr/>
      </w:pPr>
      <w:r>
        <w:rPr/>
        <w:t>STC: [</w:t>
      </w:r>
      <w:r>
        <w:rPr>
          <w:b/>
        </w:rPr>
        <w:t>30</w:t>
      </w:r>
      <w:r>
        <w:rPr/>
        <w:t>] [</w:t>
      </w:r>
      <w:r>
        <w:rPr>
          <w:b/>
        </w:rPr>
        <w:t>35</w:t>
      </w:r>
      <w:r>
        <w:rPr/>
        <w:t>] [</w:t>
      </w:r>
      <w:r>
        <w:rPr>
          <w:b/>
        </w:rPr>
        <w:t>40</w:t>
      </w:r>
      <w:r>
        <w:rPr/>
        <w:t>] [</w:t>
      </w:r>
      <w:r>
        <w:rPr>
          <w:b/>
        </w:rPr>
        <w:t>45</w:t>
      </w:r>
      <w:r>
        <w:rPr/>
        <w:t>] &lt;</w:t>
      </w:r>
      <w:r>
        <w:rPr>
          <w:b/>
        </w:rPr>
        <w:t>Insert STC rating</w:t>
      </w:r>
      <w:r>
        <w:rPr/>
        <w:t>&gt;.</w:t>
      </w:r>
    </w:p>
    <w:p>
      <w:pPr>
        <w:pStyle w:val="CMT"/>
        <w:rPr/>
      </w:pPr>
      <w:r>
        <w:rPr/>
        <w:t>If retaining "NRC" Paragraph below, verify that NRC rating is suitable for Project. Verify availability with partition manufacturer. NRC is mostly a result of the partition's finish-facing material and immediate substrate. NRC ratings are not available from all manufacturers. Substitute SAA for NRC if required; see the Evaluations.</w:t>
      </w:r>
    </w:p>
    <w:p>
      <w:pPr>
        <w:pStyle w:val="PR1"/>
        <w:numPr>
          <w:ilvl w:val="4"/>
          <w:numId w:val="1"/>
        </w:numPr>
        <w:ind w:hanging="0" w:left="0"/>
        <w:rPr/>
      </w:pPr>
      <w:r>
        <w:rPr/>
        <w:t>NRC: Not less than [</w:t>
      </w:r>
      <w:r>
        <w:rPr>
          <w:b/>
        </w:rPr>
        <w:t>0.50</w:t>
      </w:r>
      <w:r>
        <w:rPr/>
        <w:t>] [</w:t>
      </w:r>
      <w:r>
        <w:rPr>
          <w:b/>
        </w:rPr>
        <w:t>0.70</w:t>
      </w:r>
      <w:r>
        <w:rPr/>
        <w:t>] [</w:t>
      </w:r>
      <w:r>
        <w:rPr>
          <w:b/>
        </w:rPr>
        <w:t>0.85</w:t>
      </w:r>
      <w:r>
        <w:rPr/>
        <w:t>] &lt;</w:t>
      </w:r>
      <w:r>
        <w:rPr>
          <w:b/>
        </w:rPr>
        <w:t>Insert NRC rating</w:t>
      </w:r>
      <w:r>
        <w:rPr/>
        <w:t>&gt;.</w:t>
      </w:r>
    </w:p>
    <w:p>
      <w:pPr>
        <w:pStyle w:val="CMT"/>
        <w:rPr/>
      </w:pPr>
      <w:r>
        <w:rPr/>
        <w:t>Retain "Dimensions" Paragraph below if dimensions are critical and not fully indicated on Drawings; insert other dimensions to suit Project. Opening height and width should be shown on Drawings. Dimensions listed are examples only.</w:t>
      </w:r>
    </w:p>
    <w:p>
      <w:pPr>
        <w:pStyle w:val="PR1"/>
        <w:numPr>
          <w:ilvl w:val="4"/>
          <w:numId w:val="1"/>
        </w:numPr>
        <w:ind w:hanging="0" w:left="0"/>
        <w:rPr/>
      </w:pPr>
      <w:r>
        <w:rPr/>
        <w:t>Dimensions: Fabricate partitions to form an assembled system of dimensions indicated on Drawings and verified by field measurements.</w:t>
      </w:r>
    </w:p>
    <w:p>
      <w:pPr>
        <w:pStyle w:val="PR2"/>
        <w:numPr>
          <w:ilvl w:val="5"/>
          <w:numId w:val="1"/>
        </w:numPr>
        <w:spacing w:before="240" w:after="0"/>
        <w:ind w:hanging="0" w:left="0"/>
        <w:rPr/>
      </w:pPr>
      <w:r>
        <w:rPr/>
        <w:t>Stack Width (Stored): Maximum [</w:t>
      </w:r>
      <w:r>
        <w:rPr>
          <w:rStyle w:val="IP"/>
          <w:b/>
        </w:rPr>
        <w:t>8-1/2-inch</w:t>
      </w:r>
      <w:r>
        <w:rPr>
          <w:rStyle w:val="SI"/>
          <w:b/>
        </w:rPr>
        <w:t xml:space="preserve"> (216-mm)</w:t>
      </w:r>
      <w:r>
        <w:rPr/>
        <w:t>] [</w:t>
      </w:r>
      <w:r>
        <w:rPr>
          <w:rStyle w:val="IP"/>
          <w:b/>
        </w:rPr>
        <w:t>12-1/2-inch</w:t>
      </w:r>
      <w:r>
        <w:rPr>
          <w:rStyle w:val="SI"/>
          <w:b/>
        </w:rPr>
        <w:t xml:space="preserve"> (318-mm)</w:t>
      </w:r>
      <w:r>
        <w:rPr/>
        <w:t>] &lt;</w:t>
      </w:r>
      <w:r>
        <w:rPr>
          <w:b/>
        </w:rPr>
        <w:t>Insert dimension</w:t>
      </w:r>
      <w:r>
        <w:rPr/>
        <w:t>&gt; thickness from one side of the partition to the other.</w:t>
      </w:r>
    </w:p>
    <w:p>
      <w:pPr>
        <w:pStyle w:val="PR2"/>
        <w:numPr>
          <w:ilvl w:val="5"/>
          <w:numId w:val="1"/>
        </w:numPr>
        <w:ind w:hanging="0" w:left="0"/>
        <w:rPr/>
      </w:pPr>
      <w:r>
        <w:rPr/>
        <w:t>Width When Extended: Maximum [</w:t>
      </w:r>
      <w:r>
        <w:rPr>
          <w:rStyle w:val="IP"/>
          <w:b/>
        </w:rPr>
        <w:t>5-inch</w:t>
      </w:r>
      <w:r>
        <w:rPr>
          <w:rStyle w:val="SI"/>
          <w:b/>
        </w:rPr>
        <w:t xml:space="preserve"> (127-mm)</w:t>
      </w:r>
      <w:r>
        <w:rPr/>
        <w:t>] [</w:t>
      </w:r>
      <w:r>
        <w:rPr>
          <w:rStyle w:val="IP"/>
          <w:b/>
        </w:rPr>
        <w:t>7-inch</w:t>
      </w:r>
      <w:r>
        <w:rPr>
          <w:rStyle w:val="SI"/>
          <w:b/>
        </w:rPr>
        <w:t xml:space="preserve"> (178-mm)</w:t>
      </w:r>
      <w:r>
        <w:rPr/>
        <w:t>] &lt;</w:t>
      </w:r>
      <w:r>
        <w:rPr>
          <w:b/>
        </w:rPr>
        <w:t>Insert dimension</w:t>
      </w:r>
      <w:r>
        <w:rPr/>
        <w:t>&gt; thickness from one side of the partition to the other.</w:t>
      </w:r>
    </w:p>
    <w:p>
      <w:pPr>
        <w:pStyle w:val="CMT"/>
        <w:rPr/>
      </w:pPr>
      <w:r>
        <w:rPr/>
        <w:t>Retain "Total Stack Depth (Stored)" Subparagraph below for depth of storage or storage pocket needed to contain partition in its fully open position, including depth of posts.</w:t>
      </w:r>
    </w:p>
    <w:p>
      <w:pPr>
        <w:pStyle w:val="PR2"/>
        <w:numPr>
          <w:ilvl w:val="5"/>
          <w:numId w:val="1"/>
        </w:numPr>
        <w:ind w:hanging="0" w:left="0"/>
        <w:rPr/>
      </w:pPr>
      <w:r>
        <w:rPr/>
        <w:t>Total Stack Depth (Stored): Maximum [</w:t>
      </w:r>
      <w:r>
        <w:rPr>
          <w:rStyle w:val="IP"/>
          <w:b/>
        </w:rPr>
        <w:t>38 inches</w:t>
      </w:r>
      <w:r>
        <w:rPr>
          <w:rStyle w:val="SI"/>
          <w:b/>
        </w:rPr>
        <w:t xml:space="preserve"> (965 mm)</w:t>
      </w:r>
      <w:r>
        <w:rPr/>
        <w:t>] &lt;</w:t>
      </w:r>
      <w:r>
        <w:rPr>
          <w:b/>
        </w:rPr>
        <w:t>Insert dimension</w:t>
      </w:r>
      <w:r>
        <w:rPr/>
        <w:t>&gt;.</w:t>
      </w:r>
    </w:p>
    <w:p>
      <w:pPr>
        <w:pStyle w:val="CMT"/>
        <w:rPr/>
      </w:pPr>
      <w:r>
        <w:rPr/>
        <w:t>Retain "Electric Controls" Paragraph below for electrically operated partitions; revise to suit Project.</w:t>
      </w:r>
    </w:p>
    <w:p>
      <w:pPr>
        <w:pStyle w:val="PR1"/>
        <w:numPr>
          <w:ilvl w:val="4"/>
          <w:numId w:val="1"/>
        </w:numPr>
        <w:ind w:hanging="0" w:left="0"/>
        <w:rPr/>
      </w:pPr>
      <w:r>
        <w:rPr/>
        <w:t>Electric Controls: [</w:t>
      </w:r>
      <w:r>
        <w:rPr>
          <w:b/>
        </w:rPr>
        <w:t>Remote-control station</w:t>
      </w:r>
      <w:r>
        <w:rPr/>
        <w:t>] [</w:t>
      </w:r>
      <w:r>
        <w:rPr>
          <w:b/>
        </w:rPr>
        <w:t>Two remote-control stations</w:t>
      </w:r>
      <w:r>
        <w:rPr/>
        <w:t>] [</w:t>
      </w:r>
      <w:r>
        <w:rPr>
          <w:b/>
        </w:rPr>
        <w:t>Obstruction-detection device</w:t>
      </w:r>
      <w:r>
        <w:rPr/>
        <w:t>] [</w:t>
      </w:r>
      <w:r>
        <w:rPr>
          <w:b/>
        </w:rPr>
        <w:t>and</w:t>
      </w:r>
      <w:r>
        <w:rPr/>
        <w:t>] [</w:t>
      </w:r>
      <w:r>
        <w:rPr>
          <w:b/>
        </w:rPr>
        <w:t>emergency release mechanism</w:t>
      </w:r>
      <w:r>
        <w:rPr/>
        <w:t>] &lt;</w:t>
      </w:r>
      <w:r>
        <w:rPr>
          <w:b/>
        </w:rPr>
        <w:t>Insert item</w:t>
      </w:r>
      <w:r>
        <w:rPr/>
        <w:t>&gt;.</w:t>
      </w:r>
    </w:p>
    <w:p>
      <w:pPr>
        <w:pStyle w:val="PR1"/>
        <w:numPr>
          <w:ilvl w:val="4"/>
          <w:numId w:val="1"/>
        </w:numPr>
        <w:ind w:hanging="0" w:left="0"/>
        <w:rPr/>
      </w:pPr>
      <w:r>
        <w:rPr/>
        <w:t>Facing Material: [</w:t>
      </w:r>
      <w:r>
        <w:rPr>
          <w:b/>
        </w:rPr>
        <w:t>Carpet wall covering</w:t>
      </w:r>
      <w:r>
        <w:rPr/>
        <w:t>] [</w:t>
      </w:r>
      <w:r>
        <w:rPr>
          <w:b/>
        </w:rPr>
        <w:t>Fabric</w:t>
      </w:r>
      <w:r>
        <w:rPr/>
        <w:t>] [</w:t>
      </w:r>
      <w:r>
        <w:rPr>
          <w:b/>
        </w:rPr>
        <w:t>Vinyl-coated fabric</w:t>
      </w:r>
      <w:r>
        <w:rPr/>
        <w:t>] [</w:t>
      </w:r>
      <w:r>
        <w:rPr>
          <w:b/>
        </w:rPr>
        <w:t>Vinyl film</w:t>
      </w:r>
      <w:r>
        <w:rPr/>
        <w:t>] [</w:t>
      </w:r>
      <w:r>
        <w:rPr>
          <w:b/>
        </w:rPr>
        <w:t>Plastic laminate</w:t>
      </w:r>
      <w:r>
        <w:rPr/>
        <w:t>] [</w:t>
      </w:r>
      <w:r>
        <w:rPr>
          <w:b/>
        </w:rPr>
        <w:t>Wood veneer</w:t>
      </w:r>
      <w:r>
        <w:rPr/>
        <w:t>] [</w:t>
      </w:r>
      <w:r>
        <w:rPr>
          <w:b/>
        </w:rPr>
        <w:t>Paint</w:t>
      </w:r>
      <w:r>
        <w:rPr/>
        <w:t>] [</w:t>
      </w:r>
      <w:r>
        <w:rPr>
          <w:b/>
        </w:rPr>
        <w:t>Owner-furnished material</w:t>
      </w:r>
      <w:r>
        <w:rPr/>
        <w:t>] &lt;</w:t>
      </w:r>
      <w:r>
        <w:rPr>
          <w:b/>
        </w:rPr>
        <w:t>Insert material or requirement</w:t>
      </w:r>
      <w:r>
        <w:rPr/>
        <w:t>&gt;.</w:t>
      </w:r>
    </w:p>
    <w:p>
      <w:pPr>
        <w:pStyle w:val="PR2"/>
        <w:numPr>
          <w:ilvl w:val="5"/>
          <w:numId w:val="1"/>
        </w:numPr>
        <w:spacing w:before="240" w:after="0"/>
        <w:ind w:hanging="0" w:left="0"/>
        <w:rPr/>
      </w:pPr>
      <w:r>
        <w:rPr/>
        <w:t>Color/Pattern: [</w:t>
      </w:r>
      <w:r>
        <w:rPr>
          <w:b/>
        </w:rPr>
        <w:t>Match Architect's samples</w:t>
      </w:r>
      <w:r>
        <w:rPr/>
        <w:t>] [</w:t>
      </w:r>
      <w:r>
        <w:rPr>
          <w:b/>
        </w:rPr>
        <w:t>As selected by Architect from manufacturer's full range</w:t>
      </w:r>
      <w:r>
        <w:rPr/>
        <w:t>] &lt;</w:t>
      </w:r>
      <w:r>
        <w:rPr>
          <w:b/>
        </w:rPr>
        <w:t>Insert manufacturer's name and designation for color and pattern</w:t>
      </w:r>
      <w:r>
        <w:rPr/>
        <w:t>&gt;.</w:t>
      </w:r>
    </w:p>
    <w:p>
      <w:pPr>
        <w:pStyle w:val="ART"/>
        <w:numPr>
          <w:ilvl w:val="3"/>
          <w:numId w:val="1"/>
        </w:numPr>
        <w:ind w:hanging="0" w:left="0"/>
        <w:rPr/>
      </w:pPr>
      <w:r>
        <w:rPr/>
        <w:t>FIRE-RATED ACCORDION FOLDING PARTITION &lt;</w:t>
      </w:r>
      <w:r>
        <w:rPr>
          <w:b/>
        </w:rPr>
        <w:t>Insert drawing designation</w:t>
      </w:r>
      <w:r>
        <w:rPr/>
        <w:t>&gt;</w:t>
      </w:r>
    </w:p>
    <w:p>
      <w:pPr>
        <w:pStyle w:val="CMT"/>
        <w:rPr/>
      </w:pPr>
      <w:r>
        <w:rPr/>
        <w:t>Delete this article if only accordion folding partitions without fire rating are required.</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Fire-Rated Accordion Folding Partition: Accordion folding frame with pantograph sections designed for horizontal extension and retraction, covered with decorative facing material, reinforced for hardware attachment, supported by overhead suspension system, and equipped with manufacturer's standard air-release method to prevent billowing.</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Fire-rated accordion folding partitions are generally sliding-jamb types.</w:t>
      </w:r>
    </w:p>
    <w:p>
      <w:pPr>
        <w:pStyle w:val="PR1"/>
        <w:numPr>
          <w:ilvl w:val="4"/>
          <w:numId w:val="1"/>
        </w:numPr>
        <w:ind w:hanging="0" w:left="0"/>
        <w:rPr/>
      </w:pPr>
      <w:r>
        <w:rPr/>
        <w:t>Partition Type: [</w:t>
      </w:r>
      <w:r>
        <w:rPr>
          <w:b/>
        </w:rPr>
        <w:t>Single sliding-jamb partition</w:t>
      </w:r>
      <w:r>
        <w:rPr/>
        <w:t>] [</w:t>
      </w:r>
      <w:r>
        <w:rPr>
          <w:b/>
        </w:rPr>
        <w:t>Bi-parting partition with sliding jambs</w:t>
      </w:r>
      <w:r>
        <w:rPr/>
        <w:t>] [</w:t>
      </w:r>
      <w:r>
        <w:rPr>
          <w:b/>
        </w:rPr>
        <w:t>As indicated on Drawings</w:t>
      </w:r>
      <w:r>
        <w:rPr/>
        <w:t>] &lt;</w:t>
      </w:r>
      <w:r>
        <w:rPr>
          <w:b/>
        </w:rPr>
        <w:t>Insert description</w:t>
      </w:r>
      <w:r>
        <w:rPr/>
        <w:t>&gt; with the following hardware:</w:t>
      </w:r>
    </w:p>
    <w:p>
      <w:pPr>
        <w:pStyle w:val="CMT"/>
        <w:rPr/>
      </w:pPr>
      <w:r>
        <w:rPr/>
        <w:t>Retain hardware in subparagraphs below as required for fire-rated partition type retained above; revise to suit Project.</w:t>
      </w:r>
    </w:p>
    <w:p>
      <w:pPr>
        <w:pStyle w:val="PR2"/>
        <w:numPr>
          <w:ilvl w:val="5"/>
          <w:numId w:val="1"/>
        </w:numPr>
        <w:spacing w:before="240" w:after="0"/>
        <w:ind w:hanging="0" w:left="0"/>
        <w:rPr/>
      </w:pPr>
      <w:r>
        <w:rPr/>
        <w:t>Lead Post Latching Hardware: [</w:t>
      </w:r>
      <w:r>
        <w:rPr>
          <w:b/>
        </w:rPr>
        <w:t>Latch on one side</w:t>
      </w:r>
      <w:r>
        <w:rPr/>
        <w:t>] [</w:t>
      </w:r>
      <w:r>
        <w:rPr>
          <w:b/>
        </w:rPr>
        <w:t>Latch on one side with coin-slot release on opposite side</w:t>
      </w:r>
      <w:r>
        <w:rPr/>
        <w:t>] [</w:t>
      </w:r>
      <w:r>
        <w:rPr>
          <w:b/>
        </w:rPr>
        <w:t>Latch on both sides</w:t>
      </w:r>
      <w:r>
        <w:rPr/>
        <w:t>] &lt;</w:t>
      </w:r>
      <w:r>
        <w:rPr>
          <w:b/>
        </w:rPr>
        <w:t>Insert requirement</w:t>
      </w:r>
      <w:r>
        <w:rPr/>
        <w:t>&gt; secured to [</w:t>
      </w:r>
      <w:r>
        <w:rPr>
          <w:b/>
        </w:rPr>
        <w:t>recessed jamb striker</w:t>
      </w:r>
      <w:r>
        <w:rPr/>
        <w:t>] &lt;</w:t>
      </w:r>
      <w:r>
        <w:rPr>
          <w:b/>
        </w:rPr>
        <w:t>Insert requirement</w:t>
      </w:r>
      <w:r>
        <w:rPr/>
        <w:t>&gt;.</w:t>
      </w:r>
    </w:p>
    <w:p>
      <w:pPr>
        <w:pStyle w:val="CMT"/>
        <w:rPr/>
      </w:pPr>
      <w:r>
        <w:rPr/>
        <w:t>Retain "Lead Post Latching Hardware" Subparagraph above with or without one of two "Lead Post Locking Hardware" subparagraphs below; revise to suit Project.</w:t>
      </w:r>
    </w:p>
    <w:p>
      <w:pPr>
        <w:pStyle w:val="PR2"/>
        <w:numPr>
          <w:ilvl w:val="5"/>
          <w:numId w:val="1"/>
        </w:numPr>
        <w:ind w:hanging="0" w:left="0"/>
        <w:rPr/>
      </w:pPr>
      <w:r>
        <w:rPr/>
        <w:t>Lead Post Locking Hardware: Key-operated lock cylinder[</w:t>
      </w:r>
      <w:r>
        <w:rPr>
          <w:b/>
        </w:rPr>
        <w:t>, keyed to master key system,</w:t>
      </w:r>
      <w:r>
        <w:rPr/>
        <w:t>] operable from [</w:t>
      </w:r>
      <w:r>
        <w:rPr>
          <w:b/>
        </w:rPr>
        <w:t>latch side</w:t>
      </w:r>
      <w:r>
        <w:rPr/>
        <w:t>] [</w:t>
      </w:r>
      <w:r>
        <w:rPr>
          <w:b/>
        </w:rPr>
        <w:t>both sides</w:t>
      </w:r>
      <w:r>
        <w:rPr/>
        <w:t>] of post.</w:t>
      </w:r>
    </w:p>
    <w:p>
      <w:pPr>
        <w:pStyle w:val="PR2"/>
        <w:numPr>
          <w:ilvl w:val="5"/>
          <w:numId w:val="1"/>
        </w:numPr>
        <w:ind w:hanging="0" w:left="0"/>
        <w:rPr/>
      </w:pPr>
      <w:r>
        <w:rPr/>
        <w:t>Lead Post Locking Hardware: Deadlock to receive cylinder, operable from [</w:t>
      </w:r>
      <w:r>
        <w:rPr>
          <w:b/>
        </w:rPr>
        <w:t>latch side</w:t>
      </w:r>
      <w:r>
        <w:rPr/>
        <w:t>] [</w:t>
      </w:r>
      <w:r>
        <w:rPr>
          <w:b/>
        </w:rPr>
        <w:t>both sides</w:t>
      </w:r>
      <w:r>
        <w:rPr/>
        <w:t>] of post. See Section 087100 "Door Hardware" and Section 087111 "Door Hardware (Descriptive Specification)" for lock cylinder and keying requirements.</w:t>
      </w:r>
    </w:p>
    <w:p>
      <w:pPr>
        <w:pStyle w:val="CMT"/>
        <w:rPr/>
      </w:pPr>
      <w:r>
        <w:rPr/>
        <w:t>Fire-rated accordion folding partitions generally have sliding jambs within storage pockets.</w:t>
      </w:r>
    </w:p>
    <w:p>
      <w:pPr>
        <w:pStyle w:val="PR2"/>
        <w:numPr>
          <w:ilvl w:val="5"/>
          <w:numId w:val="1"/>
        </w:numPr>
        <w:ind w:hanging="0" w:left="0"/>
        <w:rPr/>
      </w:pPr>
      <w:r>
        <w:rPr/>
        <w:t>Storage-End Hardware: [</w:t>
      </w:r>
      <w:r>
        <w:rPr>
          <w:b/>
        </w:rPr>
        <w:t>Sliding jamb within storage pocket</w:t>
      </w:r>
      <w:r>
        <w:rPr/>
        <w:t>] &lt;</w:t>
      </w:r>
      <w:r>
        <w:rPr>
          <w:b/>
        </w:rPr>
        <w:t>Insert requirement</w:t>
      </w:r>
      <w:r>
        <w:rPr/>
        <w:t>&gt;.</w:t>
      </w:r>
    </w:p>
    <w:p>
      <w:pPr>
        <w:pStyle w:val="PR2"/>
        <w:numPr>
          <w:ilvl w:val="5"/>
          <w:numId w:val="1"/>
        </w:numPr>
        <w:ind w:hanging="0" w:left="0"/>
        <w:rPr/>
      </w:pPr>
      <w:r>
        <w:rPr/>
        <w:t>Pendant Pull: Near top of lead post in addition to standard pull handle/latch [</w:t>
      </w:r>
      <w:r>
        <w:rPr>
          <w:b/>
        </w:rPr>
        <w:t xml:space="preserve">for units more than </w:t>
      </w:r>
      <w:r>
        <w:rPr>
          <w:rStyle w:val="IP"/>
          <w:b/>
        </w:rPr>
        <w:t>10 feet</w:t>
      </w:r>
      <w:r>
        <w:rPr>
          <w:rStyle w:val="SI"/>
          <w:b/>
        </w:rPr>
        <w:t xml:space="preserve"> (3 m)</w:t>
      </w:r>
      <w:r>
        <w:rPr>
          <w:b/>
        </w:rPr>
        <w:t xml:space="preserve"> high or </w:t>
      </w:r>
      <w:r>
        <w:rPr>
          <w:rStyle w:val="IP"/>
          <w:b/>
        </w:rPr>
        <w:t>20 feet</w:t>
      </w:r>
      <w:r>
        <w:rPr>
          <w:rStyle w:val="SI"/>
          <w:b/>
        </w:rPr>
        <w:t xml:space="preserve"> (6 m)</w:t>
      </w:r>
      <w:r>
        <w:rPr>
          <w:b/>
        </w:rPr>
        <w:t xml:space="preserve"> wide, or both</w:t>
      </w:r>
      <w:r>
        <w:rPr/>
        <w:t>] &lt;</w:t>
      </w:r>
      <w:r>
        <w:rPr>
          <w:b/>
        </w:rPr>
        <w:t>Insert requirement</w:t>
      </w:r>
      <w:r>
        <w:rPr/>
        <w:t>&gt;.</w:t>
      </w:r>
    </w:p>
    <w:p>
      <w:pPr>
        <w:pStyle w:val="CMT"/>
        <w:rPr/>
      </w:pPr>
      <w:r>
        <w:rPr/>
        <w:t>Retain "Foot Bolt" Subparagraph below to anchor fire-rated accordion folding partition in partially open position. This position will not offer fire protection.</w:t>
      </w:r>
    </w:p>
    <w:p>
      <w:pPr>
        <w:pStyle w:val="PR2"/>
        <w:numPr>
          <w:ilvl w:val="5"/>
          <w:numId w:val="1"/>
        </w:numPr>
        <w:ind w:hanging="0" w:left="0"/>
        <w:rPr/>
      </w:pPr>
      <w:r>
        <w:rPr/>
        <w:t>Foot Bolt: On lead post; secured to post to avoid interference with seals.</w:t>
      </w:r>
    </w:p>
    <w:p>
      <w:pPr>
        <w:pStyle w:val="PR1"/>
        <w:numPr>
          <w:ilvl w:val="4"/>
          <w:numId w:val="1"/>
        </w:numPr>
        <w:ind w:hanging="0" w:left="0"/>
        <w:rPr/>
      </w:pPr>
      <w:r>
        <w:rPr/>
        <w:t>Fire Rating: [</w:t>
      </w:r>
      <w:r>
        <w:rPr>
          <w:b/>
        </w:rPr>
        <w:t>3/4 hour</w:t>
      </w:r>
      <w:r>
        <w:rPr/>
        <w:t>] [</w:t>
      </w:r>
      <w:r>
        <w:rPr>
          <w:b/>
        </w:rPr>
        <w:t>1 hour</w:t>
      </w:r>
      <w:r>
        <w:rPr/>
        <w:t>] [</w:t>
      </w:r>
      <w:r>
        <w:rPr>
          <w:b/>
        </w:rPr>
        <w:t>1-1/2 hours</w:t>
      </w:r>
      <w:r>
        <w:rPr/>
        <w:t>] [</w:t>
      </w:r>
      <w:r>
        <w:rPr>
          <w:b/>
        </w:rPr>
        <w:t>3 hours</w:t>
      </w:r>
      <w:r>
        <w:rPr/>
        <w:t>] &lt;</w:t>
      </w:r>
      <w:r>
        <w:rPr>
          <w:b/>
        </w:rPr>
        <w:t>Insert fire rating</w:t>
      </w:r>
      <w:r>
        <w:rPr/>
        <w:t>&gt;.</w:t>
      </w:r>
    </w:p>
    <w:p>
      <w:pPr>
        <w:pStyle w:val="CMT"/>
        <w:rPr/>
      </w:pPr>
      <w:r>
        <w:rPr/>
        <w:t>Retain "STC" Paragraph below for acoustically rated partitions; verify availability with manufacturers.</w:t>
      </w:r>
    </w:p>
    <w:p>
      <w:pPr>
        <w:pStyle w:val="PR1"/>
        <w:numPr>
          <w:ilvl w:val="4"/>
          <w:numId w:val="1"/>
        </w:numPr>
        <w:ind w:hanging="0" w:left="0"/>
        <w:rPr/>
      </w:pPr>
      <w:r>
        <w:rPr/>
        <w:t>STC: [</w:t>
      </w:r>
      <w:r>
        <w:rPr>
          <w:b/>
        </w:rPr>
        <w:t>30</w:t>
      </w:r>
      <w:r>
        <w:rPr/>
        <w:t>] [</w:t>
      </w:r>
      <w:r>
        <w:rPr>
          <w:b/>
        </w:rPr>
        <w:t>40</w:t>
      </w:r>
      <w:r>
        <w:rPr/>
        <w:t>] [</w:t>
      </w:r>
      <w:r>
        <w:rPr>
          <w:b/>
        </w:rPr>
        <w:t>44</w:t>
      </w:r>
      <w:r>
        <w:rPr/>
        <w:t>] &lt;</w:t>
      </w:r>
      <w:r>
        <w:rPr>
          <w:b/>
        </w:rPr>
        <w:t>Insert STC rating</w:t>
      </w:r>
      <w:r>
        <w:rPr/>
        <w:t>&gt;.</w:t>
      </w:r>
    </w:p>
    <w:p>
      <w:pPr>
        <w:pStyle w:val="CMT"/>
        <w:rPr/>
      </w:pPr>
      <w:r>
        <w:rPr/>
        <w:t>If retaining "NRC" Paragraph below, verify that NRC rating is suitable for Project. Verify availability with partition manufacturer. NRC is mostly a result of the partition's finish-facing material and immediate substrate. NRC ratings are not available from all manufacturers. Substitute SAA for NRC if required; see the Evaluations.</w:t>
      </w:r>
    </w:p>
    <w:p>
      <w:pPr>
        <w:pStyle w:val="PR1"/>
        <w:numPr>
          <w:ilvl w:val="4"/>
          <w:numId w:val="1"/>
        </w:numPr>
        <w:ind w:hanging="0" w:left="0"/>
        <w:rPr/>
      </w:pPr>
      <w:r>
        <w:rPr/>
        <w:t>NRC: Not less than &lt;</w:t>
      </w:r>
      <w:r>
        <w:rPr>
          <w:b/>
        </w:rPr>
        <w:t>Insert NRC rating</w:t>
      </w:r>
      <w:r>
        <w:rPr/>
        <w:t>&gt;.</w:t>
      </w:r>
    </w:p>
    <w:p>
      <w:pPr>
        <w:pStyle w:val="CMT"/>
        <w:rPr/>
      </w:pPr>
      <w:r>
        <w:rPr/>
        <w:t>Retain "Dimensions" Paragraph below if dimensions are critical and not fully indicated on Drawings; insert other dimensions to suit Project. Opening height and width should be shown on Drawings. Dimensions listed are examples only.</w:t>
      </w:r>
    </w:p>
    <w:p>
      <w:pPr>
        <w:pStyle w:val="PR1"/>
        <w:numPr>
          <w:ilvl w:val="4"/>
          <w:numId w:val="1"/>
        </w:numPr>
        <w:ind w:hanging="0" w:left="0"/>
        <w:rPr/>
      </w:pPr>
      <w:r>
        <w:rPr/>
        <w:t>Dimensions: Fabricate partitions to form an assembled system of dimensions indicated on Drawings and verified by field measurements.</w:t>
      </w:r>
    </w:p>
    <w:p>
      <w:pPr>
        <w:pStyle w:val="PR2"/>
        <w:numPr>
          <w:ilvl w:val="5"/>
          <w:numId w:val="1"/>
        </w:numPr>
        <w:spacing w:before="240" w:after="0"/>
        <w:ind w:hanging="0" w:left="0"/>
        <w:rPr/>
      </w:pPr>
      <w:r>
        <w:rPr/>
        <w:t>Stack Width (Stored): Maximum [</w:t>
      </w:r>
      <w:r>
        <w:rPr>
          <w:rStyle w:val="IP"/>
          <w:b/>
        </w:rPr>
        <w:t>11-1/2-inch</w:t>
      </w:r>
      <w:r>
        <w:rPr>
          <w:rStyle w:val="SI"/>
          <w:b/>
        </w:rPr>
        <w:t xml:space="preserve"> (292-mm)</w:t>
      </w:r>
      <w:r>
        <w:rPr/>
        <w:t>] &lt;</w:t>
      </w:r>
      <w:r>
        <w:rPr>
          <w:b/>
        </w:rPr>
        <w:t>Insert dimension</w:t>
      </w:r>
      <w:r>
        <w:rPr/>
        <w:t>&gt; thickness from one side of the partition to the other.</w:t>
      </w:r>
    </w:p>
    <w:p>
      <w:pPr>
        <w:pStyle w:val="PR2"/>
        <w:numPr>
          <w:ilvl w:val="5"/>
          <w:numId w:val="1"/>
        </w:numPr>
        <w:ind w:hanging="0" w:left="0"/>
        <w:rPr/>
      </w:pPr>
      <w:r>
        <w:rPr/>
        <w:t>Width When Extended: Maximum [</w:t>
      </w:r>
      <w:r>
        <w:rPr>
          <w:rStyle w:val="IP"/>
          <w:b/>
        </w:rPr>
        <w:t>13-3/4-inch</w:t>
      </w:r>
      <w:r>
        <w:rPr>
          <w:rStyle w:val="SI"/>
          <w:b/>
        </w:rPr>
        <w:t xml:space="preserve"> (349-mm)</w:t>
      </w:r>
      <w:r>
        <w:rPr/>
        <w:t>] &lt;</w:t>
      </w:r>
      <w:r>
        <w:rPr>
          <w:b/>
        </w:rPr>
        <w:t>Insert dimension</w:t>
      </w:r>
      <w:r>
        <w:rPr/>
        <w:t>&gt; thickness from one side of the partition to the other.</w:t>
      </w:r>
    </w:p>
    <w:p>
      <w:pPr>
        <w:pStyle w:val="CMT"/>
        <w:rPr/>
      </w:pPr>
      <w:r>
        <w:rPr/>
        <w:t>Retain "Total Stack Depth (Stored)" Subparagraph below for depth of storage or storage pocket needed to contain partition in its fully open position, including depth of posts.</w:t>
      </w:r>
    </w:p>
    <w:p>
      <w:pPr>
        <w:pStyle w:val="PR2"/>
        <w:numPr>
          <w:ilvl w:val="5"/>
          <w:numId w:val="1"/>
        </w:numPr>
        <w:ind w:hanging="0" w:left="0"/>
        <w:rPr/>
      </w:pPr>
      <w:r>
        <w:rPr/>
        <w:t>Total Stack Depth (Stored): Maximum [</w:t>
      </w:r>
      <w:r>
        <w:rPr>
          <w:rStyle w:val="IP"/>
          <w:b/>
        </w:rPr>
        <w:t>38 inches</w:t>
      </w:r>
      <w:r>
        <w:rPr>
          <w:rStyle w:val="SI"/>
          <w:b/>
        </w:rPr>
        <w:t xml:space="preserve"> (965 mm)</w:t>
      </w:r>
      <w:r>
        <w:rPr/>
        <w:t>] &lt;</w:t>
      </w:r>
      <w:r>
        <w:rPr>
          <w:b/>
        </w:rPr>
        <w:t>Insert dimension</w:t>
      </w:r>
      <w:r>
        <w:rPr/>
        <w:t>&gt;.</w:t>
      </w:r>
    </w:p>
    <w:p>
      <w:pPr>
        <w:pStyle w:val="CMT"/>
        <w:rPr/>
      </w:pPr>
      <w:r>
        <w:rPr/>
        <w:t>Retain "Electric Controls" Paragraph below for electrically operated partitions; revise to suit Project.</w:t>
      </w:r>
    </w:p>
    <w:p>
      <w:pPr>
        <w:pStyle w:val="PR1"/>
        <w:numPr>
          <w:ilvl w:val="4"/>
          <w:numId w:val="1"/>
        </w:numPr>
        <w:ind w:hanging="0" w:left="0"/>
        <w:rPr/>
      </w:pPr>
      <w:r>
        <w:rPr/>
        <w:t>Electric Controls: [</w:t>
      </w:r>
      <w:r>
        <w:rPr>
          <w:b/>
        </w:rPr>
        <w:t>Remote-control station</w:t>
      </w:r>
      <w:r>
        <w:rPr/>
        <w:t>] [</w:t>
      </w:r>
      <w:r>
        <w:rPr>
          <w:b/>
        </w:rPr>
        <w:t>Two remote-control stations</w:t>
      </w:r>
      <w:r>
        <w:rPr/>
        <w:t>] [</w:t>
      </w:r>
      <w:r>
        <w:rPr>
          <w:b/>
        </w:rPr>
        <w:t>Obstruction-detection device</w:t>
      </w:r>
      <w:r>
        <w:rPr/>
        <w:t>] [</w:t>
      </w:r>
      <w:r>
        <w:rPr>
          <w:b/>
        </w:rPr>
        <w:t>and</w:t>
      </w:r>
      <w:r>
        <w:rPr/>
        <w:t>] [</w:t>
      </w:r>
      <w:r>
        <w:rPr>
          <w:b/>
        </w:rPr>
        <w:t>emergency release mechanism</w:t>
      </w:r>
      <w:r>
        <w:rPr/>
        <w:t>] &lt;</w:t>
      </w:r>
      <w:r>
        <w:rPr>
          <w:b/>
        </w:rPr>
        <w:t>Insert item</w:t>
      </w:r>
      <w:r>
        <w:rPr/>
        <w:t>&gt;.</w:t>
      </w:r>
    </w:p>
    <w:p>
      <w:pPr>
        <w:pStyle w:val="PR1"/>
        <w:numPr>
          <w:ilvl w:val="4"/>
          <w:numId w:val="1"/>
        </w:numPr>
        <w:ind w:hanging="0" w:left="0"/>
        <w:rPr/>
      </w:pPr>
      <w:r>
        <w:rPr/>
        <w:t>Facing Material: [</w:t>
      </w:r>
      <w:r>
        <w:rPr>
          <w:b/>
        </w:rPr>
        <w:t>Vinyl film</w:t>
      </w:r>
      <w:r>
        <w:rPr/>
        <w:t>] [</w:t>
      </w:r>
      <w:r>
        <w:rPr>
          <w:b/>
        </w:rPr>
        <w:t>Paint</w:t>
      </w:r>
      <w:r>
        <w:rPr/>
        <w:t>] &lt;</w:t>
      </w:r>
      <w:r>
        <w:rPr>
          <w:b/>
        </w:rPr>
        <w:t>Insert material or requirement</w:t>
      </w:r>
      <w:r>
        <w:rPr/>
        <w:t>&gt;.</w:t>
      </w:r>
    </w:p>
    <w:p>
      <w:pPr>
        <w:pStyle w:val="PR2"/>
        <w:numPr>
          <w:ilvl w:val="5"/>
          <w:numId w:val="1"/>
        </w:numPr>
        <w:spacing w:before="240" w:after="0"/>
        <w:ind w:hanging="0" w:left="0"/>
        <w:rPr/>
      </w:pPr>
      <w:r>
        <w:rPr/>
        <w:t>Color/Pattern: [</w:t>
      </w:r>
      <w:r>
        <w:rPr>
          <w:b/>
        </w:rPr>
        <w:t>Match Architect's samples</w:t>
      </w:r>
      <w:r>
        <w:rPr/>
        <w:t>] [</w:t>
      </w:r>
      <w:r>
        <w:rPr>
          <w:b/>
        </w:rPr>
        <w:t>As selected by Architect from manufacturer's full range</w:t>
      </w:r>
      <w:r>
        <w:rPr/>
        <w:t>] &lt;</w:t>
      </w:r>
      <w:r>
        <w:rPr>
          <w:b/>
        </w:rPr>
        <w:t>Insert manufacturer's name and designation for color and pattern</w:t>
      </w:r>
      <w:r>
        <w:rPr/>
        <w:t>&gt;.</w:t>
      </w:r>
    </w:p>
    <w:p>
      <w:pPr>
        <w:pStyle w:val="ART"/>
        <w:numPr>
          <w:ilvl w:val="3"/>
          <w:numId w:val="1"/>
        </w:numPr>
        <w:ind w:hanging="0" w:left="0"/>
        <w:rPr/>
      </w:pPr>
      <w:r>
        <w:rPr/>
        <w:t>COMPONENTS</w:t>
      </w:r>
    </w:p>
    <w:p>
      <w:pPr>
        <w:pStyle w:val="PR1"/>
        <w:numPr>
          <w:ilvl w:val="4"/>
          <w:numId w:val="1"/>
        </w:numPr>
        <w:ind w:hanging="0" w:left="0"/>
        <w:rPr/>
      </w:pPr>
      <w:r>
        <w:rPr/>
        <w:t>Posts and Seals: Provide types of posts and seals that produce accordion folding partitions complying with performance requirements.</w:t>
      </w:r>
    </w:p>
    <w:p>
      <w:pPr>
        <w:pStyle w:val="PR2"/>
        <w:numPr>
          <w:ilvl w:val="5"/>
          <w:numId w:val="1"/>
        </w:numPr>
        <w:spacing w:before="240" w:after="0"/>
        <w:ind w:hanging="0" w:left="0"/>
        <w:rPr/>
      </w:pPr>
      <w:r>
        <w:rPr/>
        <w:t>Posts: Steel or aluminum; formed with deep-nesting and interlocking interfaces and fabricated to ensure rigidity of accordion folding partition.</w:t>
      </w:r>
    </w:p>
    <w:p>
      <w:pPr>
        <w:pStyle w:val="CMT"/>
        <w:rPr/>
      </w:pPr>
      <w:r>
        <w:rPr/>
        <w:t>Retain option in "Perimeter Seals" Subparagraph below for fire-rated partitions.</w:t>
      </w:r>
    </w:p>
    <w:p>
      <w:pPr>
        <w:pStyle w:val="PR2"/>
        <w:numPr>
          <w:ilvl w:val="5"/>
          <w:numId w:val="1"/>
        </w:numPr>
        <w:ind w:hanging="0" w:left="0"/>
        <w:rPr/>
      </w:pPr>
      <w:r>
        <w:rPr/>
        <w:t>Perimeter Seals: Manufacturer's standard vinyl, neoprene, or woven silica vertical seals, horizontal top and bottom seals, and closures for lead posts and jambs.[</w:t>
      </w:r>
      <w:r>
        <w:rPr>
          <w:b/>
        </w:rPr>
        <w:t> Seals and closures at fire-rated partitions shall be identical to products tested for fire rating indicated and shall form an effective smoke and draft seal.</w:t>
      </w:r>
      <w:r>
        <w:rPr/>
        <w:t>]</w:t>
      </w:r>
    </w:p>
    <w:p>
      <w:pPr>
        <w:pStyle w:val="CMT"/>
        <w:rPr/>
      </w:pPr>
      <w:r>
        <w:rPr/>
        <w:t>Revise "Hardware," "Trim," and "Tiebacks" paragraphs below to specify other finishes to suit Project.</w:t>
      </w:r>
    </w:p>
    <w:p>
      <w:pPr>
        <w:pStyle w:val="PR1"/>
        <w:numPr>
          <w:ilvl w:val="4"/>
          <w:numId w:val="1"/>
        </w:numPr>
        <w:ind w:hanging="0" w:left="0"/>
        <w:rPr/>
      </w:pPr>
      <w:r>
        <w:rPr/>
        <w:t>Hardware: Manufacturer's standard manually operated pulls, latches, locks, and bolts as required to operate accordion folding partitions; with decorative, protective finish.</w:t>
      </w:r>
    </w:p>
    <w:p>
      <w:pPr>
        <w:pStyle w:val="PR1"/>
        <w:numPr>
          <w:ilvl w:val="4"/>
          <w:numId w:val="1"/>
        </w:numPr>
        <w:ind w:hanging="0" w:left="0"/>
        <w:rPr/>
      </w:pPr>
      <w:r>
        <w:rPr/>
        <w:t>Trim: Manufacturer's standard with decorative, protective finish.</w:t>
      </w:r>
    </w:p>
    <w:p>
      <w:pPr>
        <w:pStyle w:val="PR1"/>
        <w:numPr>
          <w:ilvl w:val="4"/>
          <w:numId w:val="1"/>
        </w:numPr>
        <w:ind w:hanging="0" w:left="0"/>
        <w:rPr/>
      </w:pPr>
      <w:r>
        <w:rPr/>
        <w:t>Tiebacks: As required to maintain accordion folding partitions in stacked position; with manufacturer's standard finish.</w:t>
      </w:r>
    </w:p>
    <w:p>
      <w:pPr>
        <w:pStyle w:val="ART"/>
        <w:numPr>
          <w:ilvl w:val="3"/>
          <w:numId w:val="1"/>
        </w:numPr>
        <w:ind w:hanging="0" w:left="0"/>
        <w:rPr/>
      </w:pPr>
      <w:r>
        <w:rPr/>
        <w:t>SUSPENSION SYSTEMS</w:t>
      </w:r>
    </w:p>
    <w:p>
      <w:pPr>
        <w:pStyle w:val="CMT"/>
        <w:rPr/>
      </w:pPr>
      <w:r>
        <w:rPr/>
        <w:t>If more than one track type is required, copy and revise this article to suit Project.</w:t>
      </w:r>
    </w:p>
    <w:p>
      <w:pPr>
        <w:pStyle w:val="PR1"/>
        <w:numPr>
          <w:ilvl w:val="4"/>
          <w:numId w:val="1"/>
        </w:numPr>
        <w:ind w:hanging="0" w:left="0"/>
        <w:rPr/>
      </w:pPr>
      <w:r>
        <w:rPr/>
        <w:t>Tracks: Steel or aluminum, [</w:t>
      </w:r>
      <w:r>
        <w:rPr>
          <w:b/>
        </w:rPr>
        <w:t>mounted directly to overhead structural support,</w:t>
      </w:r>
      <w:r>
        <w:rPr/>
        <w:t>] [</w:t>
      </w:r>
      <w:r>
        <w:rPr>
          <w:b/>
        </w:rPr>
        <w:t>with adjustable steel hanger rods for overhead support,</w:t>
      </w:r>
      <w:r>
        <w:rPr/>
        <w:t xml:space="preserve">] designed for operation, size, and weight of accordion folding partition indicated. Size track to support partition operation and storage without damage to suspension system, accordion folding partitions, or adjacent construction. Limit track deflection to no more than </w:t>
      </w:r>
      <w:r>
        <w:rPr>
          <w:rStyle w:val="IP"/>
        </w:rPr>
        <w:t>0.10 inch</w:t>
      </w:r>
      <w:r>
        <w:rPr>
          <w:rStyle w:val="SI"/>
        </w:rPr>
        <w:t xml:space="preserve"> (2.54 mm)</w:t>
      </w:r>
      <w:r>
        <w:rPr/>
        <w:t xml:space="preserve"> between bracket supports. Provide a continuous system of track sections and accessories to accommodate configuration and layout indicated for partition operation and storage.</w:t>
      </w:r>
    </w:p>
    <w:p>
      <w:pPr>
        <w:pStyle w:val="CMT"/>
        <w:rPr/>
      </w:pPr>
      <w:r>
        <w:rPr/>
        <w:t>Generally, retain one option in "Track" Subparagraph below; if retaining both, indicate locations of each on Drawings or in "Accordion Folding Partition" and "Fire-Rated Accordion Folding Partition" articles. Insert other track requirements to suit Project.</w:t>
      </w:r>
    </w:p>
    <w:p>
      <w:pPr>
        <w:pStyle w:val="PR2"/>
        <w:numPr>
          <w:ilvl w:val="5"/>
          <w:numId w:val="1"/>
        </w:numPr>
        <w:spacing w:before="240" w:after="0"/>
        <w:ind w:hanging="0" w:left="0"/>
        <w:rPr/>
      </w:pPr>
      <w:r>
        <w:rPr/>
        <w:t>Track: [</w:t>
      </w:r>
      <w:r>
        <w:rPr>
          <w:b/>
        </w:rPr>
        <w:t>Surface mounted</w:t>
      </w:r>
      <w:r>
        <w:rPr/>
        <w:t>] [</w:t>
      </w:r>
      <w:r>
        <w:rPr>
          <w:b/>
        </w:rPr>
        <w:t>Recessed</w:t>
      </w:r>
      <w:r>
        <w:rPr/>
        <w:t>].</w:t>
      </w:r>
    </w:p>
    <w:p>
      <w:pPr>
        <w:pStyle w:val="CMT"/>
        <w:rPr/>
      </w:pPr>
      <w:r>
        <w:rPr/>
        <w:t>Retain "Head Closure Trim" Subparagraph below for surface track.</w:t>
      </w:r>
    </w:p>
    <w:p>
      <w:pPr>
        <w:pStyle w:val="PR3"/>
        <w:numPr>
          <w:ilvl w:val="6"/>
          <w:numId w:val="1"/>
        </w:numPr>
        <w:spacing w:before="240" w:after="0"/>
        <w:ind w:hanging="0" w:left="0"/>
        <w:rPr/>
      </w:pPr>
      <w:r>
        <w:rPr/>
        <w:t>Head Closure Trim: Integral with track for protecting overhead surfaces; [</w:t>
      </w:r>
      <w:r>
        <w:rPr>
          <w:b/>
        </w:rPr>
        <w:t>with factory-applied, decorative, protective finish</w:t>
      </w:r>
      <w:r>
        <w:rPr/>
        <w:t>] [</w:t>
      </w:r>
      <w:r>
        <w:rPr>
          <w:b/>
        </w:rPr>
        <w:t>primed for field finish</w:t>
      </w:r>
      <w:r>
        <w:rPr/>
        <w:t>].</w:t>
      </w:r>
    </w:p>
    <w:p>
      <w:pPr>
        <w:pStyle w:val="CMT"/>
        <w:rPr/>
      </w:pPr>
      <w:r>
        <w:rPr/>
        <w:t>Retain "Head Closure Trim and Track Channel Pocket" Subparagraph below for recessed track. A track channel pocket is recommended by some manufacturers for easier track installation.</w:t>
      </w:r>
    </w:p>
    <w:p>
      <w:pPr>
        <w:pStyle w:val="PR3"/>
        <w:numPr>
          <w:ilvl w:val="6"/>
          <w:numId w:val="1"/>
        </w:numPr>
        <w:ind w:hanging="0" w:left="0"/>
        <w:rPr/>
      </w:pPr>
      <w:r>
        <w:rPr/>
        <w:t>Head Closure Trim and Track Channel Pocket: For protecting overhead surfaces and enclosing overhead track opening; [</w:t>
      </w:r>
      <w:r>
        <w:rPr>
          <w:b/>
        </w:rPr>
        <w:t>with factory-applied, decorative, protective finish</w:t>
      </w:r>
      <w:r>
        <w:rPr/>
        <w:t>] [</w:t>
      </w:r>
      <w:r>
        <w:rPr>
          <w:b/>
        </w:rPr>
        <w:t>primed for field finish</w:t>
      </w:r>
      <w:r>
        <w:rPr/>
        <w:t>].</w:t>
      </w:r>
    </w:p>
    <w:p>
      <w:pPr>
        <w:pStyle w:val="CMT"/>
        <w:rPr/>
      </w:pPr>
      <w:r>
        <w:rPr/>
        <w:t>Four-wheel carriers in "Carriers" Paragraph below are most common. Some manufacturers offer six- or 12-wheel variations for heavier partitions and lead posts.</w:t>
      </w:r>
    </w:p>
    <w:p>
      <w:pPr>
        <w:pStyle w:val="PR1"/>
        <w:numPr>
          <w:ilvl w:val="4"/>
          <w:numId w:val="1"/>
        </w:numPr>
        <w:ind w:hanging="0" w:left="0"/>
        <w:rPr/>
      </w:pPr>
      <w:r>
        <w:rPr/>
        <w:t>Carriers: Trolley system as required for size and weight of partition and for easy, quiet operation; with [</w:t>
      </w:r>
      <w:r>
        <w:rPr>
          <w:b/>
        </w:rPr>
        <w:t>four-wheel</w:t>
      </w:r>
      <w:r>
        <w:rPr/>
        <w:t>] [</w:t>
      </w:r>
      <w:r>
        <w:rPr>
          <w:b/>
        </w:rPr>
        <w:t>six-wheel</w:t>
      </w:r>
      <w:r>
        <w:rPr/>
        <w:t>] [</w:t>
      </w:r>
      <w:r>
        <w:rPr>
          <w:b/>
        </w:rPr>
        <w:t>12-wheel</w:t>
      </w:r>
      <w:r>
        <w:rPr/>
        <w:t>] [</w:t>
      </w:r>
      <w:r>
        <w:rPr>
          <w:b/>
        </w:rPr>
        <w:t>manufacturer's standard</w:t>
      </w:r>
      <w:r>
        <w:rPr/>
        <w:t>] ball-bearing carriers at lead post and [</w:t>
      </w:r>
      <w:r>
        <w:rPr>
          <w:b/>
        </w:rPr>
        <w:t>two-wheel</w:t>
      </w:r>
      <w:r>
        <w:rPr/>
        <w:t>] [</w:t>
      </w:r>
      <w:r>
        <w:rPr>
          <w:b/>
        </w:rPr>
        <w:t>manufacturer's standard</w:t>
      </w:r>
      <w:r>
        <w:rPr/>
        <w:t>] ball-bearing carriers at intermediate partition supports.</w:t>
      </w:r>
    </w:p>
    <w:p>
      <w:pPr>
        <w:pStyle w:val="PR2"/>
        <w:numPr>
          <w:ilvl w:val="5"/>
          <w:numId w:val="1"/>
        </w:numPr>
        <w:spacing w:before="240" w:after="0"/>
        <w:ind w:hanging="0" w:left="0"/>
        <w:rPr/>
      </w:pPr>
      <w:r>
        <w:rPr/>
        <w:t>Wheels: [</w:t>
      </w:r>
      <w:r>
        <w:rPr>
          <w:b/>
        </w:rPr>
        <w:t>Nylon</w:t>
      </w:r>
      <w:r>
        <w:rPr/>
        <w:t>] [</w:t>
      </w:r>
      <w:r>
        <w:rPr>
          <w:b/>
        </w:rPr>
        <w:t>Steel</w:t>
      </w:r>
      <w:r>
        <w:rPr/>
        <w:t>] [</w:t>
      </w:r>
      <w:r>
        <w:rPr>
          <w:b/>
        </w:rPr>
        <w:t>Manufacturer's standard</w:t>
      </w:r>
      <w:r>
        <w:rPr/>
        <w:t>].</w:t>
      </w:r>
    </w:p>
    <w:p>
      <w:pPr>
        <w:pStyle w:val="PR1"/>
        <w:numPr>
          <w:ilvl w:val="4"/>
          <w:numId w:val="1"/>
        </w:numPr>
        <w:ind w:hanging="0" w:left="0"/>
        <w:rPr/>
      </w:pPr>
      <w:r>
        <w:rPr/>
        <w:t>Track Switches and Accessories: Manufacturer's standard switches as required for type of operation, storage, track configuration, and layout indicated.</w:t>
      </w:r>
    </w:p>
    <w:p>
      <w:pPr>
        <w:pStyle w:val="PR1"/>
        <w:numPr>
          <w:ilvl w:val="4"/>
          <w:numId w:val="1"/>
        </w:numPr>
        <w:ind w:hanging="0" w:left="0"/>
        <w:rPr/>
      </w:pPr>
      <w:r>
        <w:rPr/>
        <w:t>Aluminum Finish: Mill finish or manufacturer's standard, factory-applied, decorative finish unless otherwise indicated.</w:t>
      </w:r>
    </w:p>
    <w:p>
      <w:pPr>
        <w:pStyle w:val="PR1"/>
        <w:numPr>
          <w:ilvl w:val="4"/>
          <w:numId w:val="1"/>
        </w:numPr>
        <w:ind w:hanging="0" w:left="0"/>
        <w:rPr/>
      </w:pPr>
      <w:r>
        <w:rPr/>
        <w:t>Steel Finish: Factory-applied, corrosion-resistant, protective coating unless otherwise indicated.</w:t>
      </w:r>
    </w:p>
    <w:p>
      <w:pPr>
        <w:pStyle w:val="ART"/>
        <w:numPr>
          <w:ilvl w:val="3"/>
          <w:numId w:val="1"/>
        </w:numPr>
        <w:ind w:hanging="0" w:left="0"/>
        <w:rPr/>
      </w:pPr>
      <w:r>
        <w:rPr/>
        <w:t>ELECTRIC OPERATORS</w:t>
      </w:r>
    </w:p>
    <w:p>
      <w:pPr>
        <w:pStyle w:val="CMT"/>
        <w:rPr/>
      </w:pPr>
      <w:r>
        <w:rPr/>
        <w:t>Retain this article for electrically operated partitions.</w:t>
      </w:r>
    </w:p>
    <w:p>
      <w:pPr>
        <w:pStyle w:val="PR1"/>
        <w:numPr>
          <w:ilvl w:val="4"/>
          <w:numId w:val="1"/>
        </w:numPr>
        <w:ind w:hanging="0" w:left="0"/>
        <w:rPr/>
      </w:pPr>
      <w:r>
        <w:rPr/>
        <w:t>Factory-assembled electric operation system of size and capacity recommended and provided by accordion folding partition manufacturer for partition specified; with electric motor and factory-prewired motor controls, speed reducer, chain drive, remote-control stations, control devices, and accessories required for operation. Include wiring from control stations to motor. Coordinate operator wiring requirements and electrical characteristics with building electrical system.</w:t>
      </w:r>
    </w:p>
    <w:p>
      <w:pPr>
        <w:pStyle w:val="PR1"/>
        <w:numPr>
          <w:ilvl w:val="4"/>
          <w:numId w:val="1"/>
        </w:numPr>
        <w:ind w:hanging="0" w:left="0"/>
        <w:rPr/>
      </w:pPr>
      <w:r>
        <w:rPr/>
        <w:t>Comply with NFPA 70.</w:t>
      </w:r>
    </w:p>
    <w:p>
      <w:pPr>
        <w:pStyle w:val="CMT"/>
        <w:rPr/>
      </w:pPr>
      <w:r>
        <w:rPr/>
        <w:t>Retain "Motor Electrical Characteristics" Paragraph below if characteristics are not indicated on Drawings.</w:t>
      </w:r>
    </w:p>
    <w:p>
      <w:pPr>
        <w:pStyle w:val="PR1"/>
        <w:numPr>
          <w:ilvl w:val="4"/>
          <w:numId w:val="1"/>
        </w:numPr>
        <w:ind w:hanging="0" w:left="0"/>
        <w:rPr/>
      </w:pPr>
      <w:r>
        <w:rPr/>
        <w:t>Motor Electrical Characteristics:</w:t>
      </w:r>
    </w:p>
    <w:p>
      <w:pPr>
        <w:pStyle w:val="PR2"/>
        <w:numPr>
          <w:ilvl w:val="5"/>
          <w:numId w:val="1"/>
        </w:numPr>
        <w:spacing w:before="240" w:after="0"/>
        <w:ind w:hanging="0" w:left="0"/>
        <w:rPr/>
      </w:pPr>
      <w:r>
        <w:rPr/>
        <w:t>Horsepower: [</w:t>
      </w:r>
      <w:r>
        <w:rPr>
          <w:b/>
        </w:rPr>
        <w:t>1/4</w:t>
      </w:r>
      <w:r>
        <w:rPr/>
        <w:t>] [</w:t>
      </w:r>
      <w:r>
        <w:rPr>
          <w:b/>
        </w:rPr>
        <w:t>1/3</w:t>
      </w:r>
      <w:r>
        <w:rPr/>
        <w:t>] [</w:t>
      </w:r>
      <w:r>
        <w:rPr>
          <w:b/>
        </w:rPr>
        <w:t>3/4</w:t>
      </w:r>
      <w:r>
        <w:rPr/>
        <w:t>] [</w:t>
      </w:r>
      <w:r>
        <w:rPr>
          <w:b/>
        </w:rPr>
        <w:t>Manufacturer's standard</w:t>
      </w:r>
      <w:r>
        <w:rPr/>
        <w:t>] &lt;</w:t>
      </w:r>
      <w:r>
        <w:rPr>
          <w:b/>
        </w:rPr>
        <w:t>Insert value</w:t>
      </w:r>
      <w:r>
        <w:rPr/>
        <w:t>&gt;.</w:t>
      </w:r>
    </w:p>
    <w:p>
      <w:pPr>
        <w:pStyle w:val="PR2"/>
        <w:numPr>
          <w:ilvl w:val="5"/>
          <w:numId w:val="1"/>
        </w:numPr>
        <w:ind w:hanging="0" w:left="0"/>
        <w:rPr/>
      </w:pPr>
      <w:r>
        <w:rPr/>
        <w:t>Volts: [</w:t>
      </w:r>
      <w:r>
        <w:rPr>
          <w:b/>
        </w:rPr>
        <w:t>115</w:t>
      </w:r>
      <w:r>
        <w:rPr/>
        <w:t>] [</w:t>
      </w:r>
      <w:r>
        <w:rPr>
          <w:b/>
        </w:rPr>
        <w:t>208</w:t>
      </w:r>
      <w:r>
        <w:rPr/>
        <w:t>] &lt;</w:t>
      </w:r>
      <w:r>
        <w:rPr>
          <w:b/>
        </w:rPr>
        <w:t>Insert value</w:t>
      </w:r>
      <w:r>
        <w:rPr/>
        <w:t>&gt;.</w:t>
      </w:r>
    </w:p>
    <w:p>
      <w:pPr>
        <w:pStyle w:val="PR2"/>
        <w:numPr>
          <w:ilvl w:val="5"/>
          <w:numId w:val="1"/>
        </w:numPr>
        <w:ind w:hanging="0" w:left="0"/>
        <w:rPr/>
      </w:pPr>
      <w:r>
        <w:rPr/>
        <w:t>Phase: [</w:t>
      </w:r>
      <w:r>
        <w:rPr>
          <w:b/>
        </w:rPr>
        <w:t>Single phase</w:t>
      </w:r>
      <w:r>
        <w:rPr/>
        <w:t>] [</w:t>
      </w:r>
      <w:r>
        <w:rPr>
          <w:b/>
        </w:rPr>
        <w:t>Polyphase</w:t>
      </w:r>
      <w:r>
        <w:rPr/>
        <w:t>].</w:t>
      </w:r>
    </w:p>
    <w:p>
      <w:pPr>
        <w:pStyle w:val="PR2"/>
        <w:numPr>
          <w:ilvl w:val="5"/>
          <w:numId w:val="1"/>
        </w:numPr>
        <w:ind w:hanging="0" w:left="0"/>
        <w:rPr/>
      </w:pPr>
      <w:r>
        <w:rPr/>
        <w:t>Hertz: 60.</w:t>
      </w:r>
    </w:p>
    <w:p>
      <w:pPr>
        <w:pStyle w:val="PR1"/>
        <w:numPr>
          <w:ilvl w:val="4"/>
          <w:numId w:val="1"/>
        </w:numPr>
        <w:ind w:hanging="0" w:left="0"/>
        <w:rPr/>
      </w:pPr>
      <w:r>
        <w:rPr/>
        <w:t>Control Equipment: Comply with NEMA ICS 1, NEMA ICS 2, and NEMA ICS 6.</w:t>
      </w:r>
    </w:p>
    <w:p>
      <w:pPr>
        <w:pStyle w:val="CMT"/>
        <w:rPr/>
      </w:pPr>
      <w:r>
        <w:rPr/>
        <w:t>If partitions are very large and heavy, consult manufacturers and insert manufacturers' recommended requirements for electric interlocks for merging partitions, for partitions more than 18 feet (5.5 m) high, or for all-steel-fabricated accordion folding partitions.</w:t>
      </w:r>
    </w:p>
    <w:p>
      <w:pPr>
        <w:pStyle w:val="PR1"/>
        <w:numPr>
          <w:ilvl w:val="4"/>
          <w:numId w:val="1"/>
        </w:numPr>
        <w:ind w:hanging="0" w:left="0"/>
        <w:rPr/>
      </w:pPr>
      <w:r>
        <w:rPr/>
        <w:t>Remote-Control Station: For partitions indicated, provide manufacturer's standard key-operated, constant-pressure, three-position control station labeled "Open," "Close," and "[</w:t>
      </w:r>
      <w:r>
        <w:rPr>
          <w:b/>
        </w:rPr>
        <w:t>Off</w:t>
      </w:r>
      <w:r>
        <w:rPr/>
        <w:t>] [</w:t>
      </w:r>
      <w:r>
        <w:rPr>
          <w:b/>
        </w:rPr>
        <w:t>Stop</w:t>
      </w:r>
      <w:r>
        <w:rPr/>
        <w:t>]." Provide two keys per station.</w:t>
      </w:r>
    </w:p>
    <w:p>
      <w:pPr>
        <w:pStyle w:val="CMT"/>
        <w:rPr/>
      </w:pPr>
      <w:r>
        <w:rPr/>
        <w:t>Consider retaining obstruction-detection devices for partitions where full visibility of moving edge is difficult. Verify required features with authorities having jurisdiction.</w:t>
      </w:r>
    </w:p>
    <w:p>
      <w:pPr>
        <w:pStyle w:val="PR1"/>
        <w:numPr>
          <w:ilvl w:val="4"/>
          <w:numId w:val="1"/>
        </w:numPr>
        <w:ind w:hanging="0" w:left="0"/>
        <w:rPr/>
      </w:pPr>
      <w:r>
        <w:rPr/>
        <w:t>Obstruction-Detection Device: For partitions indicated, provide automatic safety sensor indicated that causes operator to immediately [</w:t>
      </w:r>
      <w:r>
        <w:rPr>
          <w:b/>
        </w:rPr>
        <w:t>shut off motor</w:t>
      </w:r>
      <w:r>
        <w:rPr/>
        <w:t>] [</w:t>
      </w:r>
      <w:r>
        <w:rPr>
          <w:b/>
        </w:rPr>
        <w:t>stop and reverse direction</w:t>
      </w:r>
      <w:r>
        <w:rPr/>
        <w:t>].</w:t>
      </w:r>
    </w:p>
    <w:p>
      <w:pPr>
        <w:pStyle w:val="CMT"/>
        <w:rPr/>
      </w:pPr>
      <w:r>
        <w:rPr/>
        <w:t>Retain "Sensor Edge" Subparagraph below if required, or insert others; revise to suit Project.</w:t>
      </w:r>
    </w:p>
    <w:p>
      <w:pPr>
        <w:pStyle w:val="PR2"/>
        <w:numPr>
          <w:ilvl w:val="5"/>
          <w:numId w:val="1"/>
        </w:numPr>
        <w:spacing w:before="240" w:after="0"/>
        <w:ind w:hanging="0" w:left="0"/>
        <w:rPr/>
      </w:pPr>
      <w:r>
        <w:rPr/>
        <w:t>Sensor Edge: Contact-pressure-sensitive safety edge along partition's leading edge.</w:t>
      </w:r>
    </w:p>
    <w:p>
      <w:pPr>
        <w:pStyle w:val="PR1"/>
        <w:numPr>
          <w:ilvl w:val="4"/>
          <w:numId w:val="1"/>
        </w:numPr>
        <w:ind w:hanging="0" w:left="0"/>
        <w:rPr/>
      </w:pPr>
      <w:r>
        <w:rPr/>
        <w:t>Limit Switches: Provide each partition with adjustable switches, interlocked with motor controls and set to automatically stop accordion folding partition at fully extended and fully stacked positions.</w:t>
      </w:r>
    </w:p>
    <w:p>
      <w:pPr>
        <w:pStyle w:val="PR1"/>
        <w:numPr>
          <w:ilvl w:val="4"/>
          <w:numId w:val="1"/>
        </w:numPr>
        <w:ind w:hanging="0" w:left="0"/>
        <w:rPr/>
      </w:pPr>
      <w:r>
        <w:rPr/>
        <w:t>Electric Interlock: Provide each partition with safety interlocks to prevent operation of accordion folding partition under the following conditions:</w:t>
      </w:r>
    </w:p>
    <w:p>
      <w:pPr>
        <w:pStyle w:val="PR2"/>
        <w:numPr>
          <w:ilvl w:val="5"/>
          <w:numId w:val="1"/>
        </w:numPr>
        <w:spacing w:before="240" w:after="0"/>
        <w:ind w:hanging="0" w:left="0"/>
        <w:rPr/>
      </w:pPr>
      <w:r>
        <w:rPr/>
        <w:t>On partition, to prevent operation when partition is extended and locked.</w:t>
      </w:r>
    </w:p>
    <w:p>
      <w:pPr>
        <w:pStyle w:val="PR2"/>
        <w:numPr>
          <w:ilvl w:val="5"/>
          <w:numId w:val="1"/>
        </w:numPr>
        <w:ind w:hanging="0" w:left="0"/>
        <w:rPr/>
      </w:pPr>
      <w:r>
        <w:rPr/>
        <w:t>On storage pocket door, to prevent partition operation if door is not in fully open position.</w:t>
      </w:r>
    </w:p>
    <w:p>
      <w:pPr>
        <w:pStyle w:val="PR2"/>
        <w:numPr>
          <w:ilvl w:val="5"/>
          <w:numId w:val="1"/>
        </w:numPr>
        <w:ind w:hanging="0" w:left="0"/>
        <w:rPr/>
      </w:pPr>
      <w:r>
        <w:rPr/>
        <w:t>On partitions, at location of convergence by another partition, to prevent operation if merging partitions are in place.</w:t>
      </w:r>
    </w:p>
    <w:p>
      <w:pPr>
        <w:pStyle w:val="CMT"/>
        <w:rPr/>
      </w:pPr>
      <w:r>
        <w:rPr/>
        <w:t>Device in "Emergency Release Mechanism" Paragraph below is usually located in storage pocket, which may impede access when partition is stored. Insert requirements below for providing mechanism at another location, and verify availability with manufacturers.</w:t>
      </w:r>
    </w:p>
    <w:p>
      <w:pPr>
        <w:pStyle w:val="PR1"/>
        <w:numPr>
          <w:ilvl w:val="4"/>
          <w:numId w:val="1"/>
        </w:numPr>
        <w:ind w:hanging="0" w:left="0"/>
        <w:rPr/>
      </w:pPr>
      <w:r>
        <w:rPr/>
        <w:t>Emergency Release Mechanism: For partitions indicated, provide quick disconnect-release of electric-motor drive system, permitting manual operation in event of operating failure.</w:t>
      </w:r>
    </w:p>
    <w:p>
      <w:pPr>
        <w:pStyle w:val="ART"/>
        <w:numPr>
          <w:ilvl w:val="3"/>
          <w:numId w:val="1"/>
        </w:numPr>
        <w:ind w:hanging="0" w:left="0"/>
        <w:rPr/>
      </w:pPr>
      <w:r>
        <w:rPr/>
        <w:t>WOOD MATERIALS, GENERAL</w:t>
      </w:r>
    </w:p>
    <w:p>
      <w:pPr>
        <w:pStyle w:val="PR1"/>
        <w:numPr>
          <w:ilvl w:val="4"/>
          <w:numId w:val="1"/>
        </w:numPr>
        <w:ind w:hanging="0" w:left="0"/>
        <w:rPr/>
      </w:pPr>
      <w:hyperlink r:id="rId11">
        <w:r>
          <w:rPr>
            <w:rStyle w:val="Hyperlink"/>
          </w:rPr>
          <w:t>&lt;Double click to insert sustainable design text for certified wood.&gt;</w:t>
        </w:r>
      </w:hyperlink>
    </w:p>
    <w:p>
      <w:pPr>
        <w:pStyle w:val="PR2"/>
        <w:numPr>
          <w:ilvl w:val="5"/>
          <w:numId w:val="1"/>
        </w:numPr>
        <w:spacing w:before="240" w:after="0"/>
        <w:ind w:hanging="0" w:left="0"/>
        <w:rPr/>
      </w:pPr>
      <w:hyperlink r:id="rId12">
        <w:r>
          <w:rPr>
            <w:rStyle w:val="Hyperlink"/>
          </w:rPr>
          <w:t>&lt;Double click to insert sustainable design text for laminating adhesive.&gt;</w:t>
        </w:r>
      </w:hyperlink>
    </w:p>
    <w:p>
      <w:pPr>
        <w:pStyle w:val="PR1"/>
        <w:numPr>
          <w:ilvl w:val="4"/>
          <w:numId w:val="1"/>
        </w:numPr>
        <w:ind w:hanging="0" w:left="0"/>
        <w:rPr/>
      </w:pPr>
      <w:hyperlink r:id="rId13">
        <w:r>
          <w:rPr>
            <w:rStyle w:val="Hyperlink"/>
          </w:rPr>
          <w:t>&lt;Double click to insert sustainable design text for composite wood products.&gt;</w:t>
        </w:r>
      </w:hyperlink>
    </w:p>
    <w:p>
      <w:pPr>
        <w:pStyle w:val="ART"/>
        <w:numPr>
          <w:ilvl w:val="3"/>
          <w:numId w:val="1"/>
        </w:numPr>
        <w:ind w:hanging="0" w:left="0"/>
        <w:rPr/>
      </w:pPr>
      <w:r>
        <w:rPr/>
        <w:t>FACING MATERIALS</w:t>
      </w:r>
    </w:p>
    <w:p>
      <w:pPr>
        <w:pStyle w:val="CMT"/>
        <w:rPr/>
      </w:pPr>
      <w:r>
        <w:rPr/>
        <w:t>Retain and revise this article to suit Project. If required, insert more than one color or pattern of a facing-material type; indicate location of each on Drawings or in "Accordion Folding Partition" and "Fire-Rated Accordion Folding Partition" articles. If needed, insert backing requirements for facings, which vary depending on facing material and manufacturer.</w:t>
      </w:r>
    </w:p>
    <w:p>
      <w:pPr>
        <w:pStyle w:val="PR1"/>
        <w:numPr>
          <w:ilvl w:val="4"/>
          <w:numId w:val="1"/>
        </w:numPr>
        <w:ind w:hanging="0" w:left="0"/>
        <w:rPr/>
      </w:pPr>
      <w:r>
        <w:rPr/>
        <w:t>Provide facing materials with appropriate backing that comply with indicated fire-test-response characteristics, and that are factory attached to accordion folding partitions with concealed fasteners.</w:t>
      </w:r>
    </w:p>
    <w:p>
      <w:pPr>
        <w:pStyle w:val="CMT"/>
        <w:rPr/>
      </w:pPr>
      <w:r>
        <w:rPr/>
        <w:t>Both subparagraphs below include options suitable for carpet, fabric, and vinyl-coated fabric. Revise to suit facing type required. Manufacturers' facing material is usually seamless, depending on partition dimensions; Owner-furnished material may require joint or seams.</w:t>
      </w:r>
    </w:p>
    <w:p>
      <w:pPr>
        <w:pStyle w:val="PR2"/>
        <w:numPr>
          <w:ilvl w:val="5"/>
          <w:numId w:val="1"/>
        </w:numPr>
        <w:spacing w:before="240" w:after="0"/>
        <w:ind w:hanging="0" w:left="0"/>
        <w:rPr/>
      </w:pPr>
      <w:r>
        <w:rPr/>
        <w:t>Factory-apply facing material free of air bubbles, wrinkles, blisters, and other defects; [</w:t>
      </w:r>
      <w:r>
        <w:rPr>
          <w:b/>
        </w:rPr>
        <w:t>in one piece, seamless;</w:t>
      </w:r>
      <w:r>
        <w:rPr/>
        <w:t>] [</w:t>
      </w:r>
      <w:r>
        <w:rPr>
          <w:b/>
        </w:rPr>
        <w:t>with vertical invisible seams complying with Shop Drawings for location;</w:t>
      </w:r>
      <w:r>
        <w:rPr/>
        <w:t>] and with no gaps or overlaps. Tightly secure and conceal raw and selvage edges of facing material for finished appearance. Horizontal butted edges or seams are not permitted.</w:t>
      </w:r>
    </w:p>
    <w:p>
      <w:pPr>
        <w:pStyle w:val="CMT"/>
        <w:rPr/>
      </w:pPr>
      <w:r>
        <w:rPr/>
        <w:t>Retain first option in first subparagraph below for carpet, fabric, and vinyl-coated fabric if applicable. Manufacturers' standard facings are typically nondirectional. Retain second option for wood veneer.</w:t>
      </w:r>
    </w:p>
    <w:p>
      <w:pPr>
        <w:pStyle w:val="PR2"/>
        <w:numPr>
          <w:ilvl w:val="5"/>
          <w:numId w:val="1"/>
        </w:numPr>
        <w:ind w:hanging="0" w:left="0"/>
        <w:rPr/>
      </w:pPr>
      <w:r>
        <w:rPr/>
        <w:t>Where facing material with [</w:t>
      </w:r>
      <w:r>
        <w:rPr>
          <w:b/>
        </w:rPr>
        <w:t>directional or repeating patterns or directional weave</w:t>
      </w:r>
      <w:r>
        <w:rPr/>
        <w:t>] [</w:t>
      </w:r>
      <w:r>
        <w:rPr>
          <w:b/>
        </w:rPr>
        <w:t>directional, repeating, or matching grain</w:t>
      </w:r>
      <w:r>
        <w:rPr/>
        <w:t>] are indicated, mark facing-material top and attach facing material in same direction.</w:t>
      </w:r>
    </w:p>
    <w:p>
      <w:pPr>
        <w:pStyle w:val="PR2"/>
        <w:numPr>
          <w:ilvl w:val="5"/>
          <w:numId w:val="1"/>
        </w:numPr>
        <w:ind w:hanging="0" w:left="0"/>
        <w:rPr/>
      </w:pPr>
      <w:r>
        <w:rPr/>
        <w:t xml:space="preserve">Match facing pattern </w:t>
      </w:r>
      <w:r>
        <w:rPr>
          <w:rStyle w:val="IP"/>
        </w:rPr>
        <w:t>72 inches</w:t>
      </w:r>
      <w:r>
        <w:rPr>
          <w:rStyle w:val="SI"/>
        </w:rPr>
        <w:t xml:space="preserve"> (1830 mm)</w:t>
      </w:r>
      <w:r>
        <w:rPr/>
        <w:t xml:space="preserve"> above finished floor unless otherwise indicated.</w:t>
      </w:r>
    </w:p>
    <w:p>
      <w:pPr>
        <w:pStyle w:val="CMT"/>
        <w:rPr/>
      </w:pPr>
      <w:r>
        <w:rPr/>
        <w:t>Retain one or more facing materials in paragraphs below to suit Project. Facing materials must have approval of authorities having jurisdiction for fire-test-response characteristics.</w:t>
      </w:r>
    </w:p>
    <w:p>
      <w:pPr>
        <w:pStyle w:val="CMT"/>
        <w:rPr/>
      </w:pPr>
      <w:r>
        <w:rPr/>
        <w:t>Option in "Carpet Wall Covering" Paragraph below is an example of standard carpet wall covering, with total weight not less than 23 oz./linear yd. (713 g/linear m), available from some manufacturers.</w:t>
      </w:r>
    </w:p>
    <w:p>
      <w:pPr>
        <w:pStyle w:val="PR1"/>
        <w:numPr>
          <w:ilvl w:val="4"/>
          <w:numId w:val="1"/>
        </w:numPr>
        <w:ind w:hanging="0" w:left="0"/>
        <w:rPr/>
      </w:pPr>
      <w:r>
        <w:rPr/>
        <w:t>Carpet Wall Covering: Manufacturer's standard[</w:t>
      </w:r>
      <w:r>
        <w:rPr>
          <w:b/>
        </w:rPr>
        <w:t> nonwoven, needle-punched carpet with fibers fused to backing</w:t>
      </w:r>
      <w:r>
        <w:rPr/>
        <w:t>], from same dye lot, treated to resist stains.</w:t>
      </w:r>
    </w:p>
    <w:p>
      <w:pPr>
        <w:pStyle w:val="PR1"/>
        <w:numPr>
          <w:ilvl w:val="4"/>
          <w:numId w:val="1"/>
        </w:numPr>
        <w:ind w:hanging="0" w:left="0"/>
        <w:rPr/>
      </w:pPr>
      <w:r>
        <w:rPr/>
        <w:t>Fabric: [</w:t>
      </w:r>
      <w:r>
        <w:rPr>
          <w:b/>
        </w:rPr>
        <w:t>Manufacturer's standard fabric</w:t>
      </w:r>
      <w:r>
        <w:rPr/>
        <w:t>] [</w:t>
      </w:r>
      <w:r>
        <w:rPr>
          <w:b/>
        </w:rPr>
        <w:t> 100 percent polyolefin woven fabric</w:t>
      </w:r>
      <w:r>
        <w:rPr/>
        <w:t>] &lt;</w:t>
      </w:r>
      <w:r>
        <w:rPr>
          <w:b/>
        </w:rPr>
        <w:t>Insert fabric description</w:t>
      </w:r>
      <w:r>
        <w:rPr/>
        <w:t>&gt;, from same dye lot, treated to resist stains.</w:t>
      </w:r>
    </w:p>
    <w:p>
      <w:pPr>
        <w:pStyle w:val="PR1"/>
        <w:numPr>
          <w:ilvl w:val="4"/>
          <w:numId w:val="1"/>
        </w:numPr>
        <w:ind w:hanging="0" w:left="0"/>
        <w:rPr/>
      </w:pPr>
      <w:r>
        <w:rPr/>
        <w:t>Vinyl-Coated Fabric: Manufacturer's standard mildew-resistant, washable, vinyl-coated fabric wall covering; complying with WA-101, [</w:t>
      </w:r>
      <w:r>
        <w:rPr>
          <w:b/>
        </w:rPr>
        <w:t>Type II-Medium Duty</w:t>
      </w:r>
      <w:r>
        <w:rPr/>
        <w:t>] [</w:t>
      </w:r>
      <w:r>
        <w:rPr>
          <w:b/>
        </w:rPr>
        <w:t>or</w:t>
      </w:r>
      <w:r>
        <w:rPr/>
        <w:t>] [</w:t>
      </w:r>
      <w:r>
        <w:rPr>
          <w:b/>
        </w:rPr>
        <w:t>Type III-Heavy Duty</w:t>
      </w:r>
      <w:r>
        <w:rPr/>
        <w:t>]; Class A.</w:t>
      </w:r>
    </w:p>
    <w:p>
      <w:pPr>
        <w:pStyle w:val="PR2"/>
        <w:numPr>
          <w:ilvl w:val="5"/>
          <w:numId w:val="1"/>
        </w:numPr>
        <w:spacing w:before="240" w:after="0"/>
        <w:ind w:hanging="0" w:left="0"/>
        <w:rPr/>
      </w:pPr>
      <w:r>
        <w:rPr/>
        <w:t>Total Weight: &lt;</w:t>
      </w:r>
      <w:r>
        <w:rPr>
          <w:b/>
        </w:rPr>
        <w:t>Insert weight</w:t>
      </w:r>
      <w:r>
        <w:rPr/>
        <w:t>&gt;.</w:t>
      </w:r>
    </w:p>
    <w:p>
      <w:pPr>
        <w:pStyle w:val="CMT"/>
        <w:rPr/>
      </w:pPr>
      <w:r>
        <w:rPr/>
        <w:t>Additives in "Antimicrobial Treatment" Subparagraph below are integral to standard and upgraded, vinyl-coated fabric wall coverings available from most manufacturers and may be required to suit Project. If needed, insert additional requirements for other treatments after verifying availability with manufacturers.</w:t>
      </w:r>
    </w:p>
    <w:p>
      <w:pPr>
        <w:pStyle w:val="PR2"/>
        <w:numPr>
          <w:ilvl w:val="5"/>
          <w:numId w:val="1"/>
        </w:numPr>
        <w:ind w:hanging="0" w:left="0"/>
        <w:rPr/>
      </w:pPr>
      <w:r>
        <w:rPr/>
        <w:t>Antimicrobial Treatment: Additives capable of inhibiting growth of bacteria, fungi, and yeasts.</w:t>
      </w:r>
    </w:p>
    <w:p>
      <w:pPr>
        <w:pStyle w:val="PR1"/>
        <w:numPr>
          <w:ilvl w:val="4"/>
          <w:numId w:val="1"/>
        </w:numPr>
        <w:ind w:hanging="0" w:left="0"/>
        <w:rPr/>
      </w:pPr>
      <w:r>
        <w:rPr/>
        <w:t>Vinyl Film: Manufacturer's standard vinyl film laminated to partition substrate.</w:t>
      </w:r>
    </w:p>
    <w:p>
      <w:pPr>
        <w:pStyle w:val="PR1"/>
        <w:numPr>
          <w:ilvl w:val="4"/>
          <w:numId w:val="1"/>
        </w:numPr>
        <w:ind w:hanging="0" w:left="0"/>
        <w:rPr/>
      </w:pPr>
      <w:r>
        <w:rPr/>
        <w:t>Plastic Laminate: High-pressure decorative laminate; NEMA LD 3, Grade HGS.</w:t>
      </w:r>
    </w:p>
    <w:p>
      <w:pPr>
        <w:pStyle w:val="CMT"/>
        <w:rPr/>
      </w:pPr>
      <w:r>
        <w:rPr/>
        <w:t>Retain "Wood Veneer" Paragraph below only if wood-veneer faced partitions comply with requirements of authorities having jurisdiction. If required, insert more than one species or finish of wood veneer; indicate location of each on Drawings or in "Accordion Folding Partition" and "Fire-Rated Accordion Folding Partition" articles. See the Evaluations.</w:t>
      </w:r>
    </w:p>
    <w:p>
      <w:pPr>
        <w:pStyle w:val="PR1"/>
        <w:numPr>
          <w:ilvl w:val="4"/>
          <w:numId w:val="1"/>
        </w:numPr>
        <w:ind w:hanging="0" w:left="0"/>
        <w:rPr/>
      </w:pPr>
      <w:r>
        <w:rPr/>
        <w:t>Wood Veneer: Laminated to [</w:t>
      </w:r>
      <w:r>
        <w:rPr>
          <w:b/>
        </w:rPr>
        <w:t>noncombustible</w:t>
      </w:r>
      <w:r>
        <w:rPr/>
        <w:t>] [</w:t>
      </w:r>
      <w:r>
        <w:rPr>
          <w:b/>
        </w:rPr>
        <w:t>fire-retardant-treated wood</w:t>
      </w:r>
      <w:r>
        <w:rPr/>
        <w:t>] core with moisture-resistant adhesive.</w:t>
      </w:r>
    </w:p>
    <w:p>
      <w:pPr>
        <w:pStyle w:val="PR2"/>
        <w:numPr>
          <w:ilvl w:val="5"/>
          <w:numId w:val="1"/>
        </w:numPr>
        <w:spacing w:before="240" w:after="0"/>
        <w:ind w:hanging="0" w:left="0"/>
        <w:rPr/>
      </w:pPr>
      <w:r>
        <w:rPr/>
        <w:t>Wood Species and Finish: [</w:t>
      </w:r>
      <w:r>
        <w:rPr>
          <w:b/>
        </w:rPr>
        <w:t>Match Architect's sample</w:t>
      </w:r>
      <w:r>
        <w:rPr/>
        <w:t>] [</w:t>
      </w:r>
      <w:r>
        <w:rPr>
          <w:b/>
        </w:rPr>
        <w:t>As selected by Architect from manufacturer's full range</w:t>
      </w:r>
      <w:r>
        <w:rPr/>
        <w:t>] [</w:t>
      </w:r>
      <w:r>
        <w:rPr>
          <w:b/>
        </w:rPr>
        <w:t>Cherry</w:t>
      </w:r>
      <w:r>
        <w:rPr/>
        <w:t>] [</w:t>
      </w:r>
      <w:r>
        <w:rPr>
          <w:b/>
        </w:rPr>
        <w:t>Maple</w:t>
      </w:r>
      <w:r>
        <w:rPr/>
        <w:t>] [</w:t>
      </w:r>
      <w:r>
        <w:rPr>
          <w:b/>
        </w:rPr>
        <w:t>Poplar</w:t>
      </w:r>
      <w:r>
        <w:rPr/>
        <w:t>] [</w:t>
      </w:r>
      <w:r>
        <w:rPr>
          <w:b/>
        </w:rPr>
        <w:t>Red oak</w:t>
      </w:r>
      <w:r>
        <w:rPr/>
        <w:t>] &lt;</w:t>
      </w:r>
      <w:r>
        <w:rPr>
          <w:b/>
        </w:rPr>
        <w:t>Insert species</w:t>
      </w:r>
      <w:r>
        <w:rPr/>
        <w:t>&gt; with [</w:t>
      </w:r>
      <w:r>
        <w:rPr>
          <w:b/>
        </w:rPr>
        <w:t>transparent finish</w:t>
      </w:r>
      <w:r>
        <w:rPr/>
        <w:t>] [</w:t>
      </w:r>
      <w:r>
        <w:rPr>
          <w:b/>
        </w:rPr>
        <w:t>transparent finish over stain</w:t>
      </w:r>
      <w:r>
        <w:rPr/>
        <w:t>] [</w:t>
      </w:r>
      <w:r>
        <w:rPr>
          <w:b/>
        </w:rPr>
        <w:t>wood finish as specified in Section 099300 "Staining and Transparent Finishing."</w:t>
      </w:r>
      <w:r>
        <w:rPr/>
        <w:t>] &lt;</w:t>
      </w:r>
      <w:r>
        <w:rPr>
          <w:b/>
        </w:rPr>
        <w:t>Insert finish</w:t>
      </w:r>
      <w:r>
        <w:rPr/>
        <w:t>&gt;.</w:t>
      </w:r>
    </w:p>
    <w:p>
      <w:pPr>
        <w:pStyle w:val="PR1"/>
        <w:numPr>
          <w:ilvl w:val="4"/>
          <w:numId w:val="1"/>
        </w:numPr>
        <w:ind w:hanging="0" w:left="0"/>
        <w:rPr/>
      </w:pPr>
      <w:r>
        <w:rPr/>
        <w:t>Paint: Manufacturer's standard baked enamel.</w:t>
      </w:r>
    </w:p>
    <w:p>
      <w:pPr>
        <w:pStyle w:val="CMT"/>
        <w:rPr/>
      </w:pPr>
      <w:r>
        <w:rPr/>
        <w:t>Retain "Owner-Furnished Material" Paragraph below if required, and insert requirements for Owner-furnished material or cross reference to another Section where material is specified. Owner-furnished material must be acceptable to accordion folding partition manufacturer for fabrication and acoustical performance characteristics and to authorities having jurisdiction for materials' fire-test-response characteristics. If using Owner-furnished material, consider inserting a submittal in Part 1 requiring a signed letter of approval from partition manufacturer accepting the specified material and acknowledging that it is suitable and will provide successful in-service performance for application indicated.</w:t>
      </w:r>
    </w:p>
    <w:p>
      <w:pPr>
        <w:pStyle w:val="PR1"/>
        <w:numPr>
          <w:ilvl w:val="4"/>
          <w:numId w:val="1"/>
        </w:numPr>
        <w:ind w:hanging="0" w:left="0"/>
        <w:rPr/>
      </w:pPr>
      <w:r>
        <w:rPr/>
        <w:t>Owner-Furnished Material: &lt;</w:t>
      </w:r>
      <w:r>
        <w:rPr>
          <w:b/>
        </w:rPr>
        <w:t>Insert description or requirement</w:t>
      </w:r>
      <w:r>
        <w:rPr/>
        <w:t>&gt;.</w:t>
      </w:r>
    </w:p>
    <w:p>
      <w:pPr>
        <w:pStyle w:val="ART"/>
        <w:numPr>
          <w:ilvl w:val="3"/>
          <w:numId w:val="1"/>
        </w:numPr>
        <w:ind w:hanging="0" w:left="0"/>
        <w:rPr/>
      </w:pPr>
      <w:r>
        <w:rPr/>
        <w:t>STORAGE POCKET DOORS</w:t>
      </w:r>
    </w:p>
    <w:p>
      <w:pPr>
        <w:pStyle w:val="CMT"/>
        <w:rPr/>
      </w:pPr>
      <w:r>
        <w:rPr/>
        <w:t>Retain this article if required; delete if pocket doors are specified in another Section. Some manufacturers do not manufacture or install pocket doors.</w:t>
      </w:r>
    </w:p>
    <w:p>
      <w:pPr>
        <w:pStyle w:val="CMT"/>
        <w:rPr/>
      </w:pPr>
      <w:r>
        <w:rPr/>
        <w:t>Copy "Storage Pocket Door" Paragraph below and re-edit for each pocket door required.</w:t>
      </w:r>
    </w:p>
    <w:p>
      <w:pPr>
        <w:pStyle w:val="CMT"/>
        <w:rPr/>
      </w:pPr>
      <w:r>
        <w:rPr/>
        <w:t>Insert drawing designation. Use these designations on Drawings to identify each pocket door.</w:t>
      </w:r>
    </w:p>
    <w:p>
      <w:pPr>
        <w:pStyle w:val="PR1"/>
        <w:numPr>
          <w:ilvl w:val="4"/>
          <w:numId w:val="1"/>
        </w:numPr>
        <w:ind w:hanging="0" w:left="0"/>
        <w:rPr/>
      </w:pPr>
      <w:r>
        <w:rPr/>
        <w:t>Storage Pocket Door &lt;</w:t>
      </w:r>
      <w:r>
        <w:rPr>
          <w:b/>
        </w:rPr>
        <w:t>Insert drawing designation</w:t>
      </w:r>
      <w:r>
        <w:rPr/>
        <w:t>&gt;: Full height at end of partition runs to conceal stacked partition[</w:t>
      </w:r>
      <w:r>
        <w:rPr>
          <w:b/>
        </w:rPr>
        <w:t>; of same materials, finish, construction, thickness, and acoustical qualities as partition</w:t>
      </w:r>
      <w:r>
        <w:rPr/>
        <w:t>] &lt;</w:t>
      </w:r>
      <w:r>
        <w:rPr>
          <w:b/>
        </w:rPr>
        <w:t>Insert requirement</w:t>
      </w:r>
      <w:r>
        <w:rPr/>
        <w:t>&gt;; complete with operating hardware[</w:t>
      </w:r>
      <w:r>
        <w:rPr>
          <w:b/>
        </w:rPr>
        <w:t> and acoustical seals at soffit, floor, and jambs</w:t>
      </w:r>
      <w:r>
        <w:rPr/>
        <w:t>]. Hinges in finish to match other exposed hardware.</w:t>
      </w:r>
    </w:p>
    <w:p>
      <w:pPr>
        <w:pStyle w:val="CMT"/>
        <w:rPr/>
      </w:pPr>
      <w:r>
        <w:rPr/>
        <w:t>Retain one of three subparagraphs below.</w:t>
      </w:r>
    </w:p>
    <w:p>
      <w:pPr>
        <w:pStyle w:val="PR2"/>
        <w:numPr>
          <w:ilvl w:val="5"/>
          <w:numId w:val="1"/>
        </w:numPr>
        <w:spacing w:before="240" w:after="0"/>
        <w:ind w:hanging="0" w:left="0"/>
        <w:rPr/>
      </w:pPr>
      <w:r>
        <w:rPr/>
        <w:t>Manufacturer's standard method to secure storage pocket door in closed position.</w:t>
      </w:r>
    </w:p>
    <w:p>
      <w:pPr>
        <w:pStyle w:val="PR2"/>
        <w:numPr>
          <w:ilvl w:val="5"/>
          <w:numId w:val="1"/>
        </w:numPr>
        <w:ind w:hanging="0" w:left="0"/>
        <w:rPr/>
      </w:pPr>
      <w:r>
        <w:rPr/>
        <w:t>Rim Lock: Key-operated lock cylinder[</w:t>
      </w:r>
      <w:r>
        <w:rPr>
          <w:b/>
        </w:rPr>
        <w:t>, keyed to master key system,</w:t>
      </w:r>
      <w:r>
        <w:rPr/>
        <w:t>] to secure storage pocket door in closed position. Include two keys per lock.</w:t>
      </w:r>
    </w:p>
    <w:p>
      <w:pPr>
        <w:pStyle w:val="CMT"/>
        <w:rPr/>
      </w:pPr>
      <w:r>
        <w:rPr/>
        <w:t>Lock in "Rim Lock" Subparagraph below may be desirable in certain situations, such as schools.</w:t>
      </w:r>
    </w:p>
    <w:p>
      <w:pPr>
        <w:pStyle w:val="PR2"/>
        <w:numPr>
          <w:ilvl w:val="5"/>
          <w:numId w:val="1"/>
        </w:numPr>
        <w:ind w:hanging="0" w:left="0"/>
        <w:rPr/>
      </w:pPr>
      <w:r>
        <w:rPr/>
        <w:t>Rim Lock: Deadlock to receive cylinder, to secure storage pocket door in closed position. See [</w:t>
      </w:r>
      <w:r>
        <w:rPr>
          <w:b/>
        </w:rPr>
        <w:t>Section 087100 "Door Hardware"</w:t>
      </w:r>
      <w:r>
        <w:rPr/>
        <w:t>] [</w:t>
      </w:r>
      <w:r>
        <w:rPr>
          <w:b/>
        </w:rPr>
        <w:t>Section 087111 "Door Hardware (Descriptive Specification)"</w:t>
      </w:r>
      <w:r>
        <w:rPr/>
        <w:t>] for lock cylinder and keying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flooring, floor levelness, structural support, and opening, with Installer present, for compliance with requirements for installation tolerances and other conditions affecting performance of accordion folding partitions.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Comply with accordion folding partition manufacturer's written installation instructions. Install accordion folding partitions level and plumb, with tight joints and uniform appearance, and free of deformation and surface and finish irregularities.</w:t>
      </w:r>
    </w:p>
    <w:p>
      <w:pPr>
        <w:pStyle w:val="CMT"/>
        <w:rPr/>
      </w:pPr>
      <w:r>
        <w:rPr/>
        <w:t>Retain option in first paragraph below if design of seismic bracing is delegated to the Contractor.</w:t>
      </w:r>
    </w:p>
    <w:p>
      <w:pPr>
        <w:pStyle w:val="PR1"/>
        <w:numPr>
          <w:ilvl w:val="4"/>
          <w:numId w:val="1"/>
        </w:numPr>
        <w:ind w:hanging="0" w:left="0"/>
        <w:rPr/>
      </w:pPr>
      <w:r>
        <w:rPr/>
        <w:t>Install accordion folding partitions[</w:t>
      </w:r>
      <w:r>
        <w:rPr>
          <w:b/>
        </w:rPr>
        <w:t>, seismic bracing,</w:t>
      </w:r>
      <w:r>
        <w:rPr/>
        <w:t>] and accessories after other finishing operations, including painting, have been completed in area of partition installation.</w:t>
      </w:r>
    </w:p>
    <w:p>
      <w:pPr>
        <w:pStyle w:val="PR1"/>
        <w:numPr>
          <w:ilvl w:val="4"/>
          <w:numId w:val="1"/>
        </w:numPr>
        <w:ind w:hanging="0" w:left="0"/>
        <w:rPr/>
      </w:pPr>
      <w:r>
        <w:rPr/>
        <w:t>Broken, cracked, chipped, deformed, or unmatched sections are unacceptable.</w:t>
      </w:r>
    </w:p>
    <w:p>
      <w:pPr>
        <w:pStyle w:val="PR1"/>
        <w:numPr>
          <w:ilvl w:val="4"/>
          <w:numId w:val="1"/>
        </w:numPr>
        <w:ind w:hanging="0" w:left="0"/>
        <w:rPr/>
      </w:pPr>
      <w:r>
        <w:rPr/>
        <w:t>Broken, cracked, deformed, or unmatched seals or seals with gaps at butted ends are unacceptable.</w:t>
      </w:r>
    </w:p>
    <w:p>
      <w:pPr>
        <w:pStyle w:val="CMT"/>
        <w:rPr/>
      </w:pPr>
      <w:r>
        <w:rPr/>
        <w:t>Generally, retain "Light-Leakage Test" Paragraph below. Retain option if "NIC Testing" Paragraph is retained in "Field Quality Control" Article.</w:t>
      </w:r>
    </w:p>
    <w:p>
      <w:pPr>
        <w:pStyle w:val="PR1"/>
        <w:numPr>
          <w:ilvl w:val="4"/>
          <w:numId w:val="1"/>
        </w:numPr>
        <w:ind w:hanging="0" w:left="0"/>
        <w:rPr/>
      </w:pPr>
      <w:r>
        <w:rPr/>
        <w:t>Light-Leakage Test: Illuminate one side of partition installation, and observe vertical joints and top and bottom seals for voids. Adjust partitions for alignment and full closure of vertical joints and full closure along top and bottom seals.[</w:t>
      </w:r>
      <w:r>
        <w:rPr>
          <w:b/>
        </w:rPr>
        <w:t> Perform test and make adjustments before NIC testing.</w:t>
      </w:r>
      <w:r>
        <w:rPr/>
        <w:t>]</w:t>
      </w:r>
    </w:p>
    <w:p>
      <w:pPr>
        <w:pStyle w:val="ART"/>
        <w:numPr>
          <w:ilvl w:val="3"/>
          <w:numId w:val="1"/>
        </w:numPr>
        <w:ind w:hanging="0" w:left="0"/>
        <w:rPr/>
      </w:pPr>
      <w:r>
        <w:rPr/>
        <w:t>FIELD QUALITY CONTROL</w:t>
      </w:r>
    </w:p>
    <w:p>
      <w:pPr>
        <w:pStyle w:val="CMT"/>
        <w:rPr/>
      </w:pPr>
      <w:r>
        <w:rPr/>
        <w:t>Retain this article if sound control is critical. NIC testing may be cost prohibitive or impractical for partitions with an STC rating of less than 48. If retaining, review with Owner and revise to suit Project. Coordinate with testing requirements in Section 014000 "Quality Requirements" to avoid conflicts.</w:t>
      </w:r>
    </w:p>
    <w:p>
      <w:pPr>
        <w:pStyle w:val="CMT"/>
        <w:rPr/>
      </w:pPr>
      <w:r>
        <w:rPr/>
        <w:t>NIC is an in-place, field-test value and does not directly correlate with laboratory STC values, generally being 5 to 10 points lower than laboratory STC values. A measure of the relative acoustical isolation of spaces separated by partitions, NIC is affected by opening width and height, room finishes, floor finishes, and flanking paths.</w:t>
      </w:r>
    </w:p>
    <w:p>
      <w:pPr>
        <w:pStyle w:val="CMT"/>
        <w:rPr/>
      </w:pPr>
      <w:r>
        <w:rPr/>
        <w:t>Retain "NIC Testing" Paragraph below to identify who shall perform tests and inspections. If retaining second option, retain "Field quality-control reports" Paragraph in "Informational Submittals" Article.</w:t>
      </w:r>
    </w:p>
    <w:p>
      <w:pPr>
        <w:pStyle w:val="PR1"/>
        <w:numPr>
          <w:ilvl w:val="4"/>
          <w:numId w:val="1"/>
        </w:numPr>
        <w:ind w:hanging="0" w:left="0"/>
        <w:rPr/>
      </w:pPr>
      <w:r>
        <w:rPr/>
        <w:t>NIC Testing: [</w:t>
      </w:r>
      <w:r>
        <w:rPr>
          <w:b/>
        </w:rPr>
        <w:t>Owner will engage</w:t>
      </w:r>
      <w:r>
        <w:rPr/>
        <w:t>] [</w:t>
      </w:r>
      <w:r>
        <w:rPr>
          <w:b/>
        </w:rPr>
        <w:t>Engage</w:t>
      </w:r>
      <w:r>
        <w:rPr/>
        <w:t>] a qualified testing agency to perform tests and inspections.</w:t>
      </w:r>
    </w:p>
    <w:p>
      <w:pPr>
        <w:pStyle w:val="CMT"/>
        <w:rPr/>
      </w:pPr>
      <w:r>
        <w:rPr/>
        <w:t>Revise "Testing Extent" Subparagraph below to list actual partition location to be tested.</w:t>
      </w:r>
    </w:p>
    <w:p>
      <w:pPr>
        <w:pStyle w:val="PR2"/>
        <w:numPr>
          <w:ilvl w:val="5"/>
          <w:numId w:val="1"/>
        </w:numPr>
        <w:spacing w:before="240" w:after="0"/>
        <w:ind w:hanging="0" w:left="0"/>
        <w:rPr/>
      </w:pPr>
      <w:r>
        <w:rPr/>
        <w:t>Testing Extent: Testing agency shall randomly select [</w:t>
      </w:r>
      <w:r>
        <w:rPr>
          <w:b/>
        </w:rPr>
        <w:t>one</w:t>
      </w:r>
      <w:r>
        <w:rPr/>
        <w:t>] &lt;</w:t>
      </w:r>
      <w:r>
        <w:rPr>
          <w:b/>
        </w:rPr>
        <w:t>Insert number</w:t>
      </w:r>
      <w:r>
        <w:rPr/>
        <w:t>&gt; accordion folding partition installation(s) for testing.</w:t>
      </w:r>
    </w:p>
    <w:p>
      <w:pPr>
        <w:pStyle w:val="PR2"/>
        <w:numPr>
          <w:ilvl w:val="5"/>
          <w:numId w:val="1"/>
        </w:numPr>
        <w:ind w:hanging="0" w:left="0"/>
        <w:rPr/>
      </w:pPr>
      <w:r>
        <w:rPr/>
        <w:t>Testing Methodology: Perform testing of installed accordion folding partition for noise isolation according to ASTM E336, determined by ASTM E413, and rated for not less than NIC indicated. Adjust and fit partitions to comply with NIC test method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Accordion folding partitions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PR1"/>
        <w:numPr>
          <w:ilvl w:val="4"/>
          <w:numId w:val="1"/>
        </w:numPr>
        <w:ind w:hanging="0" w:left="0"/>
        <w:rPr/>
      </w:pPr>
      <w:r>
        <w:rPr/>
        <w:t>Adjust accordion folding partitions to operate smoothly, without warping or binding. Lubricate hardware and other moving parts as recommended by manufacturer.</w:t>
      </w:r>
    </w:p>
    <w:p>
      <w:pPr>
        <w:pStyle w:val="PR1"/>
        <w:numPr>
          <w:ilvl w:val="4"/>
          <w:numId w:val="1"/>
        </w:numPr>
        <w:ind w:hanging="0" w:left="0"/>
        <w:rPr/>
      </w:pPr>
      <w:r>
        <w:rPr/>
        <w:t>Adjust storage pocket doors to operate smoothly and easily, without binding or warping. Check and readjust operating hardware. Confirm that latches and locks engage accurately and securely without forcing or binding.</w:t>
      </w:r>
    </w:p>
    <w:p>
      <w:pPr>
        <w:pStyle w:val="PR1"/>
        <w:numPr>
          <w:ilvl w:val="4"/>
          <w:numId w:val="1"/>
        </w:numPr>
        <w:ind w:hanging="0" w:left="0"/>
        <w:rPr/>
      </w:pPr>
      <w:r>
        <w:rPr/>
        <w:t>Electrically Operated Partitions: Adjust electric interlocks to properly control partition operation.</w:t>
      </w:r>
    </w:p>
    <w:p>
      <w:pPr>
        <w:pStyle w:val="PR1"/>
        <w:numPr>
          <w:ilvl w:val="4"/>
          <w:numId w:val="1"/>
        </w:numPr>
        <w:ind w:hanging="0" w:left="0"/>
        <w:rPr/>
      </w:pPr>
      <w:r>
        <w:rPr/>
        <w:t>Verify that safety devices are properly functioning.</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adjust, operate, and maintain accordion folding partitions.</w:t>
      </w:r>
    </w:p>
    <w:p>
      <w:pPr>
        <w:pStyle w:val="EOS"/>
        <w:rPr/>
      </w:pPr>
      <w:r>
        <w:rPr/>
        <w:t>END OF SECTION 102233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ACCORDION FOLDING PARTITIONS</w:t>
          </w:r>
        </w:p>
      </w:tc>
      <w:tc>
        <w:tcPr>
          <w:tcW w:w="1872" w:type="dxa"/>
          <w:tcBorders/>
        </w:tcPr>
        <w:p>
          <w:pPr>
            <w:pStyle w:val="RJUST"/>
            <w:rPr/>
          </w:pPr>
          <w:r>
            <w:rPr>
              <w:rStyle w:val="NUM"/>
            </w:rPr>
            <w:t>102233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102233"/>
    <w:docVar w:name="MF95" w:val="10655"/>
    <w:docVar w:name="MFOrigin" w:val="MF04"/>
    <w:docVar w:name="SectionID" w:val="339"/>
    <w:docVar w:name="SpecType" w:val="MasterSpec"/>
    <w:docVar w:name="Version" w:val="127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233&amp;ver=03-01-17&amp;format=FL&amp;sid=12744&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arcomnet.com/sustainable_design.aspx?topic=25" TargetMode="External"/><Relationship Id="rId8" Type="http://schemas.openxmlformats.org/officeDocument/2006/relationships/hyperlink" Target="http://www.arcomnet.com/sustainable_design.aspx?topic=26" TargetMode="External"/><Relationship Id="rId9" Type="http://schemas.openxmlformats.org/officeDocument/2006/relationships/hyperlink" Target="http://www.specagent.com/LookUp/?ulid=5403&amp;mf=04&amp;src=wd" TargetMode="External"/><Relationship Id="rId10" Type="http://schemas.openxmlformats.org/officeDocument/2006/relationships/hyperlink" Target="http://www.specagent.com/LookUp/?ulid=5404&amp;mf=04&amp;src=wd"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arcomnet.com/sustainable_design.aspx?topic=132" TargetMode="External"/><Relationship Id="rId13" Type="http://schemas.openxmlformats.org/officeDocument/2006/relationships/hyperlink" Target="http://www.arcomnet.com/sustainable_design.aspx?topic=63"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2022-09-26T02:28:00Z</dcterms:created>
  <dc:creator>Deltek, Inc.</dc:creator>
  <dc:description/>
  <cp:keywords>BAS-12345-MS80</cp:keywords>
  <dc:language>zh-CN</dc:language>
  <cp:lastModifiedBy>Janice Nacional</cp:lastModifiedBy>
  <dcterms:modified xsi:type="dcterms:W3CDTF">2022-09-26T02:28:00Z</dcterms:modified>
  <cp:revision>2</cp:revision>
  <dc:subject>ACCORDION FOLDING PARTITIONS</dc:subject>
  <dc:title>SECTION 102233 - ACCORDION FOLDING PARTITIONS</dc:title>
</cp:coreProperties>
</file>