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102819</w:t>
      </w:r>
      <w:r>
        <w:rPr/>
        <w:t xml:space="preserve"> - </w:t>
      </w:r>
      <w:r>
        <w:rPr>
          <w:rStyle w:val="NAM"/>
        </w:rPr>
        <w:t>TUB AND SHOWER ENCLOSURES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Framed shower doors and enclosures.</w:t>
      </w:r>
    </w:p>
    <w:p>
      <w:pPr>
        <w:pStyle w:val="PR2"/>
        <w:numPr>
          <w:ilvl w:val="5"/>
          <w:numId w:val="1"/>
        </w:numPr>
        <w:rPr/>
      </w:pPr>
      <w:r>
        <w:rPr/>
        <w:t>Frameless shower doors and enclosures.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shower doors and enclosures.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PR1"/>
        <w:numPr>
          <w:ilvl w:val="4"/>
          <w:numId w:val="1"/>
        </w:numPr>
        <w:rPr/>
      </w:pPr>
      <w:r>
        <w:rPr/>
        <w:t>Shop Drawings: For tub and shower doors and enclosures.</w:t>
      </w:r>
    </w:p>
    <w:p>
      <w:pPr>
        <w:pStyle w:val="PR2"/>
        <w:numPr>
          <w:ilvl w:val="5"/>
          <w:numId w:val="1"/>
        </w:numPr>
        <w:spacing w:before="240" w:after="0"/>
        <w:rPr/>
      </w:pPr>
      <w:r>
        <w:rPr/>
        <w:t>Include plans, elevations, sections, and attachment details.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exposed finish.</w:t>
      </w:r>
    </w:p>
    <w:p>
      <w:pPr>
        <w:pStyle w:val="PR1"/>
        <w:numPr>
          <w:ilvl w:val="4"/>
          <w:numId w:val="1"/>
        </w:numPr>
        <w:rPr/>
      </w:pPr>
      <w:r>
        <w:rPr/>
        <w:t>Samples for Verification: For tub and shower doors and enclosures.</w:t>
      </w:r>
    </w:p>
    <w:p>
      <w:pPr>
        <w:pStyle w:val="PR2"/>
        <w:numPr>
          <w:ilvl w:val="5"/>
          <w:numId w:val="1"/>
        </w:numPr>
        <w:spacing w:before="240" w:after="0"/>
        <w:rPr/>
      </w:pPr>
      <w:r>
        <w:rPr/>
        <w:t>Each type of mounting and operating hardware; full size.</w:t>
      </w:r>
    </w:p>
    <w:p>
      <w:pPr>
        <w:pStyle w:val="PR2"/>
        <w:numPr>
          <w:ilvl w:val="5"/>
          <w:numId w:val="1"/>
        </w:numPr>
        <w:rPr/>
      </w:pPr>
      <w:r>
        <w:rPr/>
        <w:t xml:space="preserve">Glass and glazing; </w:t>
      </w:r>
      <w:r>
        <w:rPr>
          <w:rStyle w:val="IP"/>
        </w:rPr>
        <w:t>12 inches</w:t>
      </w:r>
      <w:r>
        <w:rPr>
          <w:rStyle w:val="SI"/>
        </w:rPr>
        <w:t xml:space="preserve"> (305 mm)</w:t>
      </w:r>
      <w:r>
        <w:rPr/>
        <w:t xml:space="preserve"> square.</w:t>
      </w:r>
    </w:p>
    <w:p>
      <w:pPr>
        <w:pStyle w:val="PR2"/>
        <w:numPr>
          <w:ilvl w:val="5"/>
          <w:numId w:val="1"/>
        </w:numPr>
        <w:rPr/>
      </w:pPr>
      <w:r>
        <w:rPr/>
        <w:t xml:space="preserve">Trim; </w:t>
      </w:r>
      <w:r>
        <w:rPr>
          <w:rStyle w:val="IP"/>
        </w:rPr>
        <w:t>12-inch</w:t>
      </w:r>
      <w:r>
        <w:rPr>
          <w:rStyle w:val="SI"/>
        </w:rPr>
        <w:t xml:space="preserve"> (305-mm)</w:t>
      </w:r>
      <w:r>
        <w:rPr/>
        <w:t xml:space="preserve"> lengths.</w:t>
      </w:r>
    </w:p>
    <w:p>
      <w:pPr>
        <w:pStyle w:val="CMT"/>
        <w:rPr/>
      </w:pPr>
      <w:r>
        <w:rPr/>
        <w:t>Retain "Product Schedule" Paragraph below for projects with multiple enclosures.</w:t>
      </w:r>
    </w:p>
    <w:p>
      <w:pPr>
        <w:pStyle w:val="PR1"/>
        <w:numPr>
          <w:ilvl w:val="4"/>
          <w:numId w:val="1"/>
        </w:numPr>
        <w:rPr/>
      </w:pPr>
      <w:r>
        <w:rPr/>
        <w:t>Product Schedule: For tub and shower doors and enclosures.[</w:t>
      </w:r>
      <w:r>
        <w:rPr>
          <w:b/>
        </w:rPr>
        <w:t> Use same designations indicated on Drawings.</w:t>
      </w:r>
      <w:r>
        <w:rPr/>
        <w:t>]</w:t>
      </w:r>
    </w:p>
    <w:p>
      <w:pPr>
        <w:pStyle w:val="ART"/>
        <w:numPr>
          <w:ilvl w:val="3"/>
          <w:numId w:val="1"/>
        </w:numPr>
        <w:ind w:hanging="0" w:left="0"/>
        <w:rPr/>
      </w:pPr>
      <w:r>
        <w:rPr/>
        <w:t>INFORMATIONAL SUBMITTALS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tub and shower doors and enclosures to include in maintenance manuals.</w:t>
      </w:r>
    </w:p>
    <w:p>
      <w:pPr>
        <w:pStyle w:val="ART"/>
        <w:numPr>
          <w:ilvl w:val="3"/>
          <w:numId w:val="1"/>
        </w:numPr>
        <w:ind w:hanging="0" w:left="0"/>
        <w:rPr/>
      </w:pPr>
      <w:r>
        <w:rPr/>
        <w:t>QUALITY ASSURANCE</w:t>
      </w:r>
    </w:p>
    <w:p>
      <w:pPr>
        <w:pStyle w:val="CMT"/>
        <w:rPr/>
      </w:pPr>
      <w:r>
        <w:rPr/>
        <w:t>Retain this article only for large or complex projects.</w:t>
      </w:r>
    </w:p>
    <w:p>
      <w:pPr>
        <w:pStyle w:val="PR1"/>
        <w:numPr>
          <w:ilvl w:val="4"/>
          <w:numId w:val="1"/>
        </w:numPr>
        <w:rPr/>
      </w:pPr>
      <w:r>
        <w:rPr/>
        <w:t>Mockups: Build mockups to demonstrate aesthetic effects and to set quality standards for fabrication and installation.</w:t>
      </w:r>
    </w:p>
    <w:p>
      <w:pPr>
        <w:pStyle w:val="CMT"/>
        <w:rPr/>
      </w:pPr>
      <w:r>
        <w:rPr/>
        <w:t>Indicate doors and enclosures represented by mockup on Drawings or draw mockup as separate element.</w:t>
      </w:r>
    </w:p>
    <w:p>
      <w:pPr>
        <w:pStyle w:val="PR2"/>
        <w:numPr>
          <w:ilvl w:val="5"/>
          <w:numId w:val="1"/>
        </w:numPr>
        <w:spacing w:before="240" w:after="0"/>
        <w:rPr/>
      </w:pPr>
      <w:r>
        <w:rPr/>
        <w:t>Build mockup of tub and shower doors and enclosure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Verify dimensions by field measurements before fabrication and indicate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tub and shower doors and enclosures that fail in materials or workmanship within specified warranty period, without monetary limitation.</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excessive deflection.</w:t>
      </w:r>
    </w:p>
    <w:p>
      <w:pPr>
        <w:pStyle w:val="PR3"/>
        <w:numPr>
          <w:ilvl w:val="6"/>
          <w:numId w:val="1"/>
        </w:numPr>
        <w:rPr/>
      </w:pPr>
      <w:r>
        <w:rPr/>
        <w:t>Deterioration of metals, metal finishes, and other materials beyond normal use.</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Two</w:t>
      </w:r>
      <w:r>
        <w:rPr/>
        <w:t>]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See the Evaluations for definitions and discussion of framed and frameless enclosures.</w:t>
      </w:r>
    </w:p>
    <w:p>
      <w:pPr>
        <w:pStyle w:val="ART"/>
        <w:numPr>
          <w:ilvl w:val="3"/>
          <w:numId w:val="1"/>
        </w:numPr>
        <w:ind w:hanging="0" w:left="0"/>
        <w:rPr/>
      </w:pPr>
      <w:r>
        <w:rPr/>
        <w:t>FRAMED ENCLOSURES</w:t>
      </w:r>
    </w:p>
    <w:p>
      <w:pPr>
        <w:pStyle w:val="PR1"/>
        <w:numPr>
          <w:ilvl w:val="4"/>
          <w:numId w:val="1"/>
        </w:numPr>
        <w:rPr/>
      </w:pPr>
      <w:r>
        <w:rPr/>
        <w:t xml:space="preserve">Glass panels with full perimeter frames of extruded aluminum with screw-fastened corners. Minimum </w:t>
      </w:r>
      <w:r>
        <w:rPr>
          <w:rStyle w:val="IP"/>
        </w:rPr>
        <w:t>3/8-inch</w:t>
      </w:r>
      <w:r>
        <w:rPr>
          <w:rStyle w:val="SI"/>
        </w:rPr>
        <w:t xml:space="preserve"> (10-mm)</w:t>
      </w:r>
      <w:r>
        <w:rPr/>
        <w:t xml:space="preserve"> penetration of glass into frame. Framing members of thickness required to support imposed loads.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Frames, Hardware, and Trim: Manufacturer's standard units as indicated and as required for a complete installation.</w:t>
      </w:r>
    </w:p>
    <w:p>
      <w:pPr>
        <w:pStyle w:val="PR2"/>
        <w:numPr>
          <w:ilvl w:val="5"/>
          <w:numId w:val="1"/>
        </w:numPr>
        <w:spacing w:before="240" w:after="0"/>
        <w:rPr/>
      </w:pPr>
      <w:r>
        <w:rPr/>
        <w:t xml:space="preserve">Materials: Aluminum; </w:t>
      </w:r>
      <w:r>
        <w:rPr>
          <w:rStyle w:val="IP"/>
        </w:rPr>
        <w:t>ASTM B221</w:t>
      </w:r>
      <w:r>
        <w:rPr>
          <w:rStyle w:val="SI"/>
        </w:rPr>
        <w:t xml:space="preserve"> (ASTM B221M)</w:t>
      </w:r>
      <w:r>
        <w:rPr/>
        <w:t>.</w:t>
      </w:r>
    </w:p>
    <w:p>
      <w:pPr>
        <w:pStyle w:val="PR2"/>
        <w:numPr>
          <w:ilvl w:val="5"/>
          <w:numId w:val="1"/>
        </w:numPr>
        <w:rPr/>
      </w:pPr>
      <w:r>
        <w:rPr/>
        <w:t>Finish: [</w:t>
      </w:r>
      <w:r>
        <w:rPr>
          <w:b/>
        </w:rPr>
        <w:t>Clear anodic</w:t>
      </w:r>
      <w:r>
        <w:rPr/>
        <w:t>] [</w:t>
      </w:r>
      <w:r>
        <w:rPr>
          <w:b/>
        </w:rPr>
        <w:t>Color anodic</w:t>
      </w:r>
      <w:r>
        <w:rPr/>
        <w:t>] [</w:t>
      </w:r>
      <w:r>
        <w:rPr>
          <w:b/>
        </w:rPr>
        <w:t>Baked enamel or powder coat</w:t>
      </w:r>
      <w:r>
        <w:rPr/>
        <w:t>] &lt;</w:t>
      </w:r>
      <w:r>
        <w:rPr>
          <w:b/>
        </w:rPr>
        <w:t>Insert finish</w:t>
      </w:r>
      <w:r>
        <w:rPr/>
        <w:t>&gt;.</w:t>
      </w:r>
    </w:p>
    <w:p>
      <w:pPr>
        <w:pStyle w:val="CMT"/>
        <w:rPr/>
      </w:pPr>
      <w:r>
        <w:rPr/>
        <w:t>Retain "Color" Subparagraph below for color-anodized or baked-enamel or powder-coated aluminum.</w:t>
      </w:r>
    </w:p>
    <w:p>
      <w:pPr>
        <w:pStyle w:val="PR2"/>
        <w:numPr>
          <w:ilvl w:val="5"/>
          <w:numId w:val="1"/>
        </w:numPr>
        <w:rPr/>
      </w:pPr>
      <w:r>
        <w:rPr/>
        <w:t>Color: [</w:t>
      </w:r>
      <w:r>
        <w:rPr>
          <w:b/>
        </w:rPr>
        <w:t>Silver</w:t>
      </w:r>
      <w:r>
        <w:rPr/>
        <w:t>] [</w:t>
      </w:r>
      <w:r>
        <w:rPr>
          <w:b/>
        </w:rPr>
        <w:t>Gold</w:t>
      </w:r>
      <w:r>
        <w:rPr/>
        <w:t>] [</w:t>
      </w:r>
      <w:r>
        <w:rPr>
          <w:b/>
        </w:rPr>
        <w:t>Black</w:t>
      </w:r>
      <w:r>
        <w:rPr/>
        <w:t>] &lt;</w:t>
      </w:r>
      <w:r>
        <w:rPr>
          <w:b/>
        </w:rPr>
        <w:t>Insert color</w:t>
      </w:r>
      <w:r>
        <w:rPr/>
        <w:t>&gt;.</w:t>
      </w:r>
    </w:p>
    <w:p>
      <w:pPr>
        <w:pStyle w:val="PR1"/>
        <w:numPr>
          <w:ilvl w:val="4"/>
          <w:numId w:val="1"/>
        </w:numPr>
        <w:rPr/>
      </w:pPr>
      <w:r>
        <w:rPr/>
        <w:t>Bypassing Doors: Sliding units suspended from top track by fully adjustable ball-bearing rollers. Self-draining sill tracks with nylon panel guides. Molded jamb bumpers with concealed fasteners.</w:t>
      </w:r>
    </w:p>
    <w:p>
      <w:pPr>
        <w:pStyle w:val="PR2"/>
        <w:numPr>
          <w:ilvl w:val="5"/>
          <w:numId w:val="1"/>
        </w:numPr>
        <w:spacing w:before="240" w:after="0"/>
        <w:rPr/>
      </w:pPr>
      <w:r>
        <w:rPr/>
        <w:t>Door Pulls: Full-door-width, single-sided towel bars.</w:t>
      </w:r>
    </w:p>
    <w:p>
      <w:pPr>
        <w:pStyle w:val="PR1"/>
        <w:numPr>
          <w:ilvl w:val="4"/>
          <w:numId w:val="1"/>
        </w:numPr>
        <w:rPr/>
      </w:pPr>
      <w:r>
        <w:rPr/>
        <w:t>Swinging Doors: [</w:t>
      </w:r>
      <w:r>
        <w:rPr>
          <w:b/>
        </w:rPr>
        <w:t>Full-height piano hinge</w:t>
      </w:r>
      <w:r>
        <w:rPr/>
        <w:t>] [</w:t>
      </w:r>
      <w:r>
        <w:rPr>
          <w:b/>
        </w:rPr>
        <w:t>Top-and-bottom pivot hinges</w:t>
      </w:r>
      <w:r>
        <w:rPr/>
        <w:t>]. Manufacturer's standard pulls and latch.</w:t>
      </w:r>
    </w:p>
    <w:p>
      <w:pPr>
        <w:pStyle w:val="PR1"/>
        <w:numPr>
          <w:ilvl w:val="4"/>
          <w:numId w:val="1"/>
        </w:numPr>
        <w:rPr/>
      </w:pPr>
      <w:r>
        <w:rPr/>
        <w:t>Glazing:</w:t>
      </w:r>
    </w:p>
    <w:p>
      <w:pPr>
        <w:pStyle w:val="CMT"/>
        <w:rPr/>
      </w:pPr>
      <w:r>
        <w:rPr/>
        <w:t>Retain one of two subparagraphs below. Retain first subparagraph if glazing is included in Section 088000 "Glazing."</w:t>
      </w:r>
    </w:p>
    <w:p>
      <w:pPr>
        <w:pStyle w:val="PR2"/>
        <w:numPr>
          <w:ilvl w:val="5"/>
          <w:numId w:val="1"/>
        </w:numPr>
        <w:spacing w:before="240" w:after="0"/>
        <w:rPr/>
      </w:pPr>
      <w:r>
        <w:rPr/>
        <w:t>[</w:t>
      </w:r>
      <w:r>
        <w:rPr>
          <w:b/>
        </w:rPr>
        <w:t>Clear</w:t>
      </w:r>
      <w:r>
        <w:rPr/>
        <w:t>] [</w:t>
      </w:r>
      <w:r>
        <w:rPr>
          <w:b/>
        </w:rPr>
        <w:t>Clear obscured</w:t>
      </w:r>
      <w:r>
        <w:rPr/>
        <w:t>] [</w:t>
      </w:r>
      <w:r>
        <w:rPr>
          <w:b/>
        </w:rPr>
        <w:t>Tinted</w:t>
      </w:r>
      <w:r>
        <w:rPr/>
        <w:t>] [</w:t>
      </w:r>
      <w:r>
        <w:rPr>
          <w:b/>
        </w:rPr>
        <w:t>Patterned</w:t>
      </w:r>
      <w:r>
        <w:rPr/>
        <w:t>] &lt;</w:t>
      </w:r>
      <w:r>
        <w:rPr>
          <w:b/>
        </w:rPr>
        <w:t>Insert glass</w:t>
      </w:r>
      <w:r>
        <w:rPr/>
        <w:t>&gt; fully tempered. Comply with requirements in Section 088000 "Glazing."</w:t>
      </w:r>
    </w:p>
    <w:p>
      <w:pPr>
        <w:pStyle w:val="CMT"/>
        <w:rPr/>
      </w:pPr>
      <w:r>
        <w:rPr/>
        <w:t>Retain subparagraph below if requirements are specified in this Section.</w:t>
      </w:r>
    </w:p>
    <w:p>
      <w:pPr>
        <w:pStyle w:val="PR2"/>
        <w:numPr>
          <w:ilvl w:val="5"/>
          <w:numId w:val="1"/>
        </w:numPr>
        <w:rPr/>
      </w:pPr>
      <w:r>
        <w:rPr/>
        <w:t>Safety glazing materials complying with 16 CFR 1201, Category II, with permanently etched identification acceptable to authorities having jurisdiction.</w:t>
      </w:r>
    </w:p>
    <w:p>
      <w:pPr>
        <w:pStyle w:val="CMT"/>
        <w:rPr/>
      </w:pPr>
      <w:r>
        <w:rPr/>
        <w:t>Thickness in "Glass Nominal Thickness" Subparagraph below corresponds to 1/4 and 1/8 inch, respectively; 6 mm is most common.</w:t>
      </w:r>
    </w:p>
    <w:p>
      <w:pPr>
        <w:pStyle w:val="PR3"/>
        <w:numPr>
          <w:ilvl w:val="6"/>
          <w:numId w:val="1"/>
        </w:numPr>
        <w:spacing w:before="240" w:after="0"/>
        <w:rPr/>
      </w:pPr>
      <w:r>
        <w:rPr/>
        <w:t>Glass Nominal Thickness: [</w:t>
      </w:r>
      <w:r>
        <w:rPr>
          <w:b/>
        </w:rPr>
        <w:t>6</w:t>
      </w:r>
      <w:r>
        <w:rPr/>
        <w:t>] [</w:t>
      </w:r>
      <w:r>
        <w:rPr>
          <w:b/>
        </w:rPr>
        <w:t>10</w:t>
      </w:r>
      <w:r>
        <w:rPr/>
        <w:t>] mm.</w:t>
      </w:r>
    </w:p>
    <w:p>
      <w:pPr>
        <w:pStyle w:val="CMT"/>
        <w:rPr/>
      </w:pPr>
      <w:r>
        <w:rPr/>
        <w:t>Retain "Clear Glass," "Tinted Glass," or "Patterned Glass" Subparagraph below to suit Project. If retaining more than one, indicate locations on Drawings. Glass doors and panels may have a pattern or deep tint to obscure visibility.</w:t>
      </w:r>
    </w:p>
    <w:p>
      <w:pPr>
        <w:pStyle w:val="PR3"/>
        <w:numPr>
          <w:ilvl w:val="6"/>
          <w:numId w:val="1"/>
        </w:numPr>
        <w:rPr/>
      </w:pPr>
      <w:r>
        <w:rPr/>
        <w:t>Clear Glass: ASTM C1048, Type I, Quality-Q3, Class I (clear), Kind FT.</w:t>
      </w:r>
    </w:p>
    <w:p>
      <w:pPr>
        <w:pStyle w:val="CMT"/>
        <w:rPr/>
      </w:pPr>
      <w:r>
        <w:rPr/>
        <w:t>Retain "Acid etched" or "Sandblasted" options in "Obscured Panels" Subparagraph below if Project requires frosted-glass appearance or custom designs. Verify availability with manufacturers.</w:t>
      </w:r>
    </w:p>
    <w:p>
      <w:pPr>
        <w:pStyle w:val="PR4"/>
        <w:numPr>
          <w:ilvl w:val="7"/>
          <w:numId w:val="1"/>
        </w:numPr>
        <w:spacing w:before="240" w:after="0"/>
        <w:rPr/>
      </w:pPr>
      <w:r>
        <w:rPr/>
        <w:t>Obscured Panels: [</w:t>
      </w:r>
      <w:r>
        <w:rPr>
          <w:b/>
        </w:rPr>
        <w:t>Acid etched</w:t>
      </w:r>
      <w:r>
        <w:rPr/>
        <w:t>] [</w:t>
      </w:r>
      <w:r>
        <w:rPr>
          <w:b/>
        </w:rPr>
        <w:t>Sandblasted</w:t>
      </w:r>
      <w:r>
        <w:rPr/>
        <w:t>] &lt;</w:t>
      </w:r>
      <w:r>
        <w:rPr>
          <w:b/>
        </w:rPr>
        <w:t>Insert appearance</w:t>
      </w:r>
      <w:r>
        <w:rPr/>
        <w:t>&gt;.</w:t>
      </w:r>
    </w:p>
    <w:p>
      <w:pPr>
        <w:pStyle w:val="PR3"/>
        <w:numPr>
          <w:ilvl w:val="6"/>
          <w:numId w:val="1"/>
        </w:numPr>
        <w:spacing w:before="240" w:after="0"/>
        <w:rPr/>
      </w:pPr>
      <w:r>
        <w:rPr/>
        <w:t>Tinted Glass: ASTM C1048, Type I, Quality-Q3, Class II, Kind FT.</w:t>
      </w:r>
    </w:p>
    <w:p>
      <w:pPr>
        <w:pStyle w:val="PR4"/>
        <w:numPr>
          <w:ilvl w:val="7"/>
          <w:numId w:val="1"/>
        </w:numPr>
        <w:spacing w:before="240" w:after="0"/>
        <w:rPr/>
      </w:pPr>
      <w:r>
        <w:rPr/>
        <w:t>Color: [</w:t>
      </w:r>
      <w:r>
        <w:rPr>
          <w:b/>
        </w:rPr>
        <w:t>Bronze</w:t>
      </w:r>
      <w:r>
        <w:rPr/>
        <w:t>] [</w:t>
      </w:r>
      <w:r>
        <w:rPr>
          <w:b/>
        </w:rPr>
        <w:t>Green</w:t>
      </w:r>
      <w:r>
        <w:rPr/>
        <w:t>] &lt;</w:t>
      </w:r>
      <w:r>
        <w:rPr>
          <w:b/>
        </w:rPr>
        <w:t>Insert color</w:t>
      </w:r>
      <w:r>
        <w:rPr/>
        <w:t>&gt;.</w:t>
      </w:r>
    </w:p>
    <w:p>
      <w:pPr>
        <w:pStyle w:val="PR3"/>
        <w:numPr>
          <w:ilvl w:val="6"/>
          <w:numId w:val="1"/>
        </w:numPr>
        <w:spacing w:before="240" w:after="0"/>
        <w:rPr/>
      </w:pPr>
      <w:r>
        <w:rPr/>
        <w:t>Patterned Glass: ASTM C1048, Kind FT (fully tempered), Type II, Class 1 (clear), Form 3; Quality-Q6, Finish F1 (patterned, one side).</w:t>
      </w:r>
    </w:p>
    <w:p>
      <w:pPr>
        <w:pStyle w:val="PR4"/>
        <w:numPr>
          <w:ilvl w:val="7"/>
          <w:numId w:val="1"/>
        </w:numPr>
        <w:spacing w:before="240" w:after="0"/>
        <w:rPr/>
      </w:pPr>
      <w:r>
        <w:rPr/>
        <w:t>Pattern: [</w:t>
      </w:r>
      <w:r>
        <w:rPr>
          <w:b/>
        </w:rPr>
        <w:t>Manufacturer's standard</w:t>
      </w:r>
      <w:r>
        <w:rPr/>
        <w:t>] [</w:t>
      </w:r>
      <w:r>
        <w:rPr>
          <w:b/>
        </w:rPr>
        <w:t>Pattern P3 (random)</w:t>
      </w:r>
      <w:r>
        <w:rPr/>
        <w:t>] &lt;</w:t>
      </w:r>
      <w:r>
        <w:rPr>
          <w:b/>
        </w:rPr>
        <w:t>Insert pattern</w:t>
      </w:r>
      <w:r>
        <w:rPr/>
        <w:t>&gt;.</w:t>
      </w:r>
    </w:p>
    <w:p>
      <w:pPr>
        <w:pStyle w:val="CMT"/>
        <w:rPr/>
      </w:pPr>
      <w:r>
        <w:rPr/>
        <w:t>Coating in "Protective, Self-Cleaning, Glass Coating" Subparagraph below, offered by many manufacturers, is applied pyrolytically on the float line.</w:t>
      </w:r>
    </w:p>
    <w:p>
      <w:pPr>
        <w:pStyle w:val="PR3"/>
        <w:numPr>
          <w:ilvl w:val="6"/>
          <w:numId w:val="1"/>
        </w:numPr>
        <w:spacing w:before="240" w:after="0"/>
        <w:rPr/>
      </w:pPr>
      <w:r>
        <w:rPr/>
        <w:t>Protective, Self-Cleaning, Glass Coating: Clear float glass with a coating on first surface having both photocatalytic and hydrophilic properties that act to loosen dirt and to cause water to sheet evenly over the glass instead of beading.</w:t>
      </w:r>
    </w:p>
    <w:p>
      <w:pPr>
        <w:pStyle w:val="PR1"/>
        <w:numPr>
          <w:ilvl w:val="4"/>
          <w:numId w:val="1"/>
        </w:numPr>
        <w:rPr/>
      </w:pPr>
      <w:r>
        <w:rPr/>
        <w:t>Fasteners: Manufacturer's standard stainless steel or other noncorrosive fasteners.</w:t>
      </w:r>
    </w:p>
    <w:p>
      <w:pPr>
        <w:pStyle w:val="PR1"/>
        <w:numPr>
          <w:ilvl w:val="4"/>
          <w:numId w:val="1"/>
        </w:numPr>
        <w:rPr/>
      </w:pPr>
      <w:r>
        <w:rPr/>
        <w:t>Sealant: Mildew-resistant, single-component, nonsag, neutral-curing silicone joint sealant; ASTM C920, Type S, Grade NS, Class 25, for Use NT.</w:t>
      </w:r>
    </w:p>
    <w:p>
      <w:pPr>
        <w:pStyle w:val="PR2"/>
        <w:numPr>
          <w:ilvl w:val="5"/>
          <w:numId w:val="1"/>
        </w:numPr>
        <w:spacing w:before="240" w:after="0"/>
        <w:rPr/>
      </w:pPr>
      <w:hyperlink r:id="rId5">
        <w:r>
          <w:rPr>
            <w:rStyle w:val="Hyperlink"/>
          </w:rPr>
          <w:t>&lt;Double click to insert sustainable design text for sealants.&gt;</w:t>
        </w:r>
      </w:hyperlink>
    </w:p>
    <w:p>
      <w:pPr>
        <w:pStyle w:val="PR2"/>
        <w:numPr>
          <w:ilvl w:val="5"/>
          <w:numId w:val="1"/>
        </w:numPr>
        <w:rPr/>
      </w:pPr>
      <w:hyperlink r:id="rId6">
        <w:r>
          <w:rPr>
            <w:rStyle w:val="Hyperlink"/>
          </w:rPr>
          <w:t>&lt;Double click to insert sustainable design text for sealants.&gt;</w:t>
        </w:r>
      </w:hyperlink>
    </w:p>
    <w:p>
      <w:pPr>
        <w:pStyle w:val="ART"/>
        <w:numPr>
          <w:ilvl w:val="3"/>
          <w:numId w:val="1"/>
        </w:numPr>
        <w:ind w:hanging="0" w:left="0"/>
        <w:rPr/>
      </w:pPr>
      <w:r>
        <w:rPr/>
        <w:t>FRAMELESS ENCLOSURES</w:t>
      </w:r>
    </w:p>
    <w:p>
      <w:pPr>
        <w:pStyle w:val="CMT"/>
        <w:rPr/>
      </w:pPr>
      <w:r>
        <w:rPr/>
        <w:t>Verify that units in this article are acceptable to authorities having jurisdiction. Some jurisdictions do not permit frameless doors and enclosures.</w:t>
      </w:r>
    </w:p>
    <w:p>
      <w:pPr>
        <w:pStyle w:val="PR1"/>
        <w:numPr>
          <w:ilvl w:val="4"/>
          <w:numId w:val="1"/>
        </w:numPr>
        <w:rPr/>
      </w:pPr>
      <w:r>
        <w:rPr/>
        <w:t>Frameless glass panels with mounting and operating hardware of types and sizes required to support imposed loads.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Hardware and Trim: Manufacturer's standard units as indicated and as required for complete installation.</w:t>
      </w:r>
    </w:p>
    <w:p>
      <w:pPr>
        <w:pStyle w:val="PR2"/>
        <w:numPr>
          <w:ilvl w:val="5"/>
          <w:numId w:val="1"/>
        </w:numPr>
        <w:spacing w:before="240" w:after="0"/>
        <w:rPr/>
      </w:pPr>
      <w:r>
        <w:rPr/>
        <w:t>Materials:</w:t>
      </w:r>
    </w:p>
    <w:p>
      <w:pPr>
        <w:pStyle w:val="CMT"/>
        <w:rPr/>
      </w:pPr>
      <w:r>
        <w:rPr/>
        <w:t>Retain "Aluminum," "Brass," or "Stainless Steel Sheet and Plate" and "Stainless Steel Tubing" subparagraphs below.</w:t>
      </w:r>
    </w:p>
    <w:p>
      <w:pPr>
        <w:pStyle w:val="PR3"/>
        <w:numPr>
          <w:ilvl w:val="6"/>
          <w:numId w:val="1"/>
        </w:numPr>
        <w:spacing w:before="240" w:after="0"/>
        <w:rPr/>
      </w:pPr>
      <w:r>
        <w:rPr/>
        <w:t>Aluminum:</w:t>
      </w:r>
    </w:p>
    <w:p>
      <w:pPr>
        <w:pStyle w:val="PR4"/>
        <w:numPr>
          <w:ilvl w:val="7"/>
          <w:numId w:val="1"/>
        </w:numPr>
        <w:spacing w:before="240" w:after="0"/>
        <w:rPr/>
      </w:pPr>
      <w:r>
        <w:rPr/>
        <w:t>Finish: [</w:t>
      </w:r>
      <w:r>
        <w:rPr>
          <w:b/>
        </w:rPr>
        <w:t>Clear anodic</w:t>
      </w:r>
      <w:r>
        <w:rPr/>
        <w:t>] [</w:t>
      </w:r>
      <w:r>
        <w:rPr>
          <w:b/>
        </w:rPr>
        <w:t>Color anodic</w:t>
      </w:r>
      <w:r>
        <w:rPr/>
        <w:t>] [</w:t>
      </w:r>
      <w:r>
        <w:rPr>
          <w:b/>
        </w:rPr>
        <w:t>Baked enamel or powder coat</w:t>
      </w:r>
      <w:r>
        <w:rPr/>
        <w:t>] &lt;</w:t>
      </w:r>
      <w:r>
        <w:rPr>
          <w:b/>
        </w:rPr>
        <w:t>Insert finish</w:t>
      </w:r>
      <w:r>
        <w:rPr/>
        <w:t>&gt;.</w:t>
      </w:r>
    </w:p>
    <w:p>
      <w:pPr>
        <w:pStyle w:val="CMT"/>
        <w:rPr/>
      </w:pPr>
      <w:r>
        <w:rPr/>
        <w:t>Retain "Color" Subparagraph below for color-anodized or baked-enamel or powder-coated aluminum.</w:t>
      </w:r>
    </w:p>
    <w:p>
      <w:pPr>
        <w:pStyle w:val="PR4"/>
        <w:numPr>
          <w:ilvl w:val="7"/>
          <w:numId w:val="1"/>
        </w:numPr>
        <w:rPr/>
      </w:pPr>
      <w:r>
        <w:rPr/>
        <w:t>Color: [</w:t>
      </w:r>
      <w:r>
        <w:rPr>
          <w:b/>
        </w:rPr>
        <w:t>Silver</w:t>
      </w:r>
      <w:r>
        <w:rPr/>
        <w:t>] [</w:t>
      </w:r>
      <w:r>
        <w:rPr>
          <w:b/>
        </w:rPr>
        <w:t>Gold</w:t>
      </w:r>
      <w:r>
        <w:rPr/>
        <w:t>] [</w:t>
      </w:r>
      <w:r>
        <w:rPr>
          <w:b/>
        </w:rPr>
        <w:t>Black</w:t>
      </w:r>
      <w:r>
        <w:rPr/>
        <w:t>] &lt;</w:t>
      </w:r>
      <w:r>
        <w:rPr>
          <w:b/>
        </w:rPr>
        <w:t>Insert color</w:t>
      </w:r>
      <w:r>
        <w:rPr/>
        <w:t>&gt;.</w:t>
      </w:r>
    </w:p>
    <w:p>
      <w:pPr>
        <w:pStyle w:val="PR3"/>
        <w:numPr>
          <w:ilvl w:val="6"/>
          <w:numId w:val="1"/>
        </w:numPr>
        <w:spacing w:before="240" w:after="0"/>
        <w:rPr/>
      </w:pPr>
      <w:r>
        <w:rPr/>
        <w:t>Brass:</w:t>
      </w:r>
    </w:p>
    <w:p>
      <w:pPr>
        <w:pStyle w:val="PR4"/>
        <w:numPr>
          <w:ilvl w:val="7"/>
          <w:numId w:val="1"/>
        </w:numPr>
        <w:spacing w:before="240" w:after="0"/>
        <w:rPr/>
      </w:pPr>
      <w:r>
        <w:rPr/>
        <w:t>Finish: [</w:t>
      </w:r>
      <w:r>
        <w:rPr>
          <w:b/>
        </w:rPr>
        <w:t>Chrome</w:t>
      </w:r>
      <w:r>
        <w:rPr/>
        <w:t>] [</w:t>
      </w:r>
      <w:r>
        <w:rPr>
          <w:b/>
        </w:rPr>
        <w:t>Satin chrome</w:t>
      </w:r>
      <w:r>
        <w:rPr/>
        <w:t>] [</w:t>
      </w:r>
      <w:r>
        <w:rPr>
          <w:b/>
        </w:rPr>
        <w:t>Brass</w:t>
      </w:r>
      <w:r>
        <w:rPr/>
        <w:t>] [</w:t>
      </w:r>
      <w:r>
        <w:rPr>
          <w:b/>
        </w:rPr>
        <w:t>Satin brass</w:t>
      </w:r>
      <w:r>
        <w:rPr/>
        <w:t>] [</w:t>
      </w:r>
      <w:r>
        <w:rPr>
          <w:b/>
        </w:rPr>
        <w:t>Oil-rubbed brass</w:t>
      </w:r>
      <w:r>
        <w:rPr/>
        <w:t>] [</w:t>
      </w:r>
      <w:r>
        <w:rPr>
          <w:b/>
        </w:rPr>
        <w:t>Bronze</w:t>
      </w:r>
      <w:r>
        <w:rPr/>
        <w:t>] [</w:t>
      </w:r>
      <w:r>
        <w:rPr>
          <w:b/>
        </w:rPr>
        <w:t>Brushed bronze</w:t>
      </w:r>
      <w:r>
        <w:rPr/>
        <w:t>] [</w:t>
      </w:r>
      <w:r>
        <w:rPr>
          <w:b/>
        </w:rPr>
        <w:t>Oil-rubbed bronze</w:t>
      </w:r>
      <w:r>
        <w:rPr/>
        <w:t>] &lt;</w:t>
      </w:r>
      <w:r>
        <w:rPr>
          <w:b/>
        </w:rPr>
        <w:t>Insert finish</w:t>
      </w:r>
      <w:r>
        <w:rPr/>
        <w:t>&gt;.</w:t>
      </w:r>
    </w:p>
    <w:p>
      <w:pPr>
        <w:pStyle w:val="PR3"/>
        <w:numPr>
          <w:ilvl w:val="6"/>
          <w:numId w:val="1"/>
        </w:numPr>
        <w:spacing w:before="240" w:after="0"/>
        <w:rPr/>
      </w:pPr>
      <w:r>
        <w:rPr/>
        <w:t>Stainless Steel Sheet and Plate:</w:t>
      </w:r>
    </w:p>
    <w:p>
      <w:pPr>
        <w:pStyle w:val="PR4"/>
        <w:numPr>
          <w:ilvl w:val="7"/>
          <w:numId w:val="1"/>
        </w:numPr>
        <w:spacing w:before="240" w:after="0"/>
        <w:rPr/>
      </w:pPr>
      <w:r>
        <w:rPr/>
        <w:t>Finish: [</w:t>
      </w:r>
      <w:r>
        <w:rPr>
          <w:b/>
        </w:rPr>
        <w:t>ASTM A480/A480M No. 4 directional satin finish</w:t>
      </w:r>
      <w:r>
        <w:rPr/>
        <w:t>] [</w:t>
      </w:r>
      <w:r>
        <w:rPr>
          <w:b/>
        </w:rPr>
        <w:t>ASTM A480/A480M No. 6 dull satin finish</w:t>
      </w:r>
      <w:r>
        <w:rPr/>
        <w:t>] [</w:t>
      </w:r>
      <w:r>
        <w:rPr>
          <w:b/>
        </w:rPr>
        <w:t>ASTM A480/A480M No. 7 reflective, directional finish</w:t>
      </w:r>
      <w:r>
        <w:rPr/>
        <w:t>] &lt;</w:t>
      </w:r>
      <w:r>
        <w:rPr>
          <w:b/>
        </w:rPr>
        <w:t>Insert finish</w:t>
      </w:r>
      <w:r>
        <w:rPr/>
        <w:t>&gt;.</w:t>
      </w:r>
    </w:p>
    <w:p>
      <w:pPr>
        <w:pStyle w:val="CMT"/>
        <w:rPr/>
      </w:pPr>
      <w:r>
        <w:rPr/>
        <w:t>Coordinate options in "Stainless Steel Tubing" Subparagraph below with option retained in "Stainless Steel Sheet and Plate" Subparagraph to ensure uniform finish for all stainless steel hardware.</w:t>
      </w:r>
    </w:p>
    <w:p>
      <w:pPr>
        <w:pStyle w:val="PR3"/>
        <w:numPr>
          <w:ilvl w:val="6"/>
          <w:numId w:val="1"/>
        </w:numPr>
        <w:spacing w:before="240" w:after="0"/>
        <w:rPr/>
      </w:pPr>
      <w:r>
        <w:rPr/>
        <w:t>Stainless Steel Tubing:</w:t>
      </w:r>
    </w:p>
    <w:p>
      <w:pPr>
        <w:pStyle w:val="PR4"/>
        <w:numPr>
          <w:ilvl w:val="7"/>
          <w:numId w:val="1"/>
        </w:numPr>
        <w:spacing w:before="240" w:after="0"/>
        <w:rPr/>
      </w:pPr>
      <w:r>
        <w:rPr/>
        <w:t>Finish: [</w:t>
      </w:r>
      <w:r>
        <w:rPr>
          <w:b/>
        </w:rPr>
        <w:t>180-Grit Polished Finish: Uniform, directionally textured finish</w:t>
      </w:r>
      <w:r>
        <w:rPr/>
        <w:t>] [</w:t>
      </w:r>
      <w:r>
        <w:rPr>
          <w:b/>
        </w:rPr>
        <w:t>280-Grit Polished Finish: Fine finish</w:t>
      </w:r>
      <w:r>
        <w:rPr/>
        <w:t>] [</w:t>
      </w:r>
      <w:r>
        <w:rPr>
          <w:b/>
        </w:rPr>
        <w:t>Polished and Buffed Finish: 320-grit finish followed by buffing</w:t>
      </w:r>
      <w:r>
        <w:rPr/>
        <w:t>] &lt;</w:t>
      </w:r>
      <w:r>
        <w:rPr>
          <w:b/>
        </w:rPr>
        <w:t>Insert finish</w:t>
      </w:r>
      <w:r>
        <w:rPr/>
        <w:t>&gt;.</w:t>
      </w:r>
    </w:p>
    <w:p>
      <w:pPr>
        <w:pStyle w:val="CMT"/>
        <w:rPr/>
      </w:pPr>
      <w:r>
        <w:rPr/>
        <w:t>Retain one option in "Polished and Buffed Finish" Subparagraph below if retaining last option in "Finish" Subparagraph above.</w:t>
      </w:r>
    </w:p>
    <w:p>
      <w:pPr>
        <w:pStyle w:val="PR5"/>
        <w:numPr>
          <w:ilvl w:val="8"/>
          <w:numId w:val="1"/>
        </w:numPr>
        <w:spacing w:before="240" w:after="0"/>
        <w:rPr/>
      </w:pPr>
      <w:r>
        <w:rPr/>
        <w:t>Polished and Buffed Finish: Buff to [</w:t>
      </w:r>
      <w:r>
        <w:rPr>
          <w:b/>
        </w:rPr>
        <w:t>a high luster finish</w:t>
      </w:r>
      <w:r>
        <w:rPr/>
        <w:t>] [</w:t>
      </w:r>
      <w:r>
        <w:rPr>
          <w:b/>
        </w:rPr>
        <w:t>a mirrorlike finish</w:t>
      </w:r>
      <w:r>
        <w:rPr/>
        <w:t>] [</w:t>
      </w:r>
      <w:r>
        <w:rPr>
          <w:b/>
        </w:rPr>
        <w:t>match Architect's sample</w:t>
      </w:r>
      <w:r>
        <w:rPr/>
        <w:t>].</w:t>
      </w:r>
    </w:p>
    <w:p>
      <w:pPr>
        <w:pStyle w:val="PR1"/>
        <w:numPr>
          <w:ilvl w:val="4"/>
          <w:numId w:val="1"/>
        </w:numPr>
        <w:rPr/>
      </w:pPr>
      <w:r>
        <w:rPr/>
        <w:t>Bypass Doors: Sliding units suspended from extruded-aluminum header track by fully adjustable, sealed, heavy-duty ball-bearing rollers. Self-draining sill tracks with nylon panel guides. Molded jamb bumpers with concealed fasteners.</w:t>
      </w:r>
    </w:p>
    <w:p>
      <w:pPr>
        <w:pStyle w:val="PR2"/>
        <w:numPr>
          <w:ilvl w:val="5"/>
          <w:numId w:val="1"/>
        </w:numPr>
        <w:spacing w:before="240" w:after="0"/>
        <w:rPr/>
      </w:pPr>
      <w:r>
        <w:rPr/>
        <w:t>Door Pulls: [</w:t>
      </w:r>
      <w:r>
        <w:rPr>
          <w:b/>
        </w:rPr>
        <w:t>Full-door-width, single-sided towel bars</w:t>
      </w:r>
      <w:r>
        <w:rPr/>
        <w:t>] [</w:t>
      </w:r>
      <w:r>
        <w:rPr>
          <w:b/>
        </w:rPr>
        <w:t>Single-sided vertical blade handles</w:t>
      </w:r>
      <w:r>
        <w:rPr/>
        <w:t>] [</w:t>
      </w:r>
      <w:r>
        <w:rPr>
          <w:b/>
        </w:rPr>
        <w:t>Single-sided knobs</w:t>
      </w:r>
      <w:r>
        <w:rPr/>
        <w:t>] &lt;</w:t>
      </w:r>
      <w:r>
        <w:rPr>
          <w:b/>
        </w:rPr>
        <w:t>Insert type</w:t>
      </w:r>
      <w:r>
        <w:rPr/>
        <w:t>&gt;.</w:t>
      </w:r>
    </w:p>
    <w:p>
      <w:pPr>
        <w:pStyle w:val="CMT"/>
        <w:rPr/>
      </w:pPr>
      <w:r>
        <w:rPr/>
        <w:t>Retain "Safety Clip System" Subparagraph below for safety device available from some manufacturers on some systems.</w:t>
      </w:r>
    </w:p>
    <w:p>
      <w:pPr>
        <w:pStyle w:val="PR2"/>
        <w:numPr>
          <w:ilvl w:val="5"/>
          <w:numId w:val="1"/>
        </w:numPr>
        <w:rPr/>
      </w:pPr>
      <w:r>
        <w:rPr/>
        <w:t>Safety Clip System: Manufacturer's standard safety device designed to prevent doors from falling off sliding track.</w:t>
      </w:r>
    </w:p>
    <w:p>
      <w:pPr>
        <w:pStyle w:val="PR1"/>
        <w:numPr>
          <w:ilvl w:val="4"/>
          <w:numId w:val="1"/>
        </w:numPr>
        <w:rPr/>
      </w:pPr>
      <w:r>
        <w:rPr/>
        <w:t>Sliding Door and Fixed In-Line Panel: Sliding unit with exposed, adjustable, heavy-duty rollers operating above full-span header bar. Door bottom guide, antilift fittings, stoppers, and mounts for fixed panel and header bar.</w:t>
      </w:r>
    </w:p>
    <w:p>
      <w:pPr>
        <w:pStyle w:val="PR2"/>
        <w:numPr>
          <w:ilvl w:val="5"/>
          <w:numId w:val="1"/>
        </w:numPr>
        <w:spacing w:before="240" w:after="0"/>
        <w:rPr/>
      </w:pPr>
      <w:r>
        <w:rPr/>
        <w:t>Door Pulls: Back-to-back, [</w:t>
      </w:r>
      <w:r>
        <w:rPr>
          <w:b/>
        </w:rPr>
        <w:t>D-pull</w:t>
      </w:r>
      <w:r>
        <w:rPr/>
        <w:t>] [</w:t>
      </w:r>
      <w:r>
        <w:rPr>
          <w:b/>
        </w:rPr>
        <w:t>mitered pull</w:t>
      </w:r>
      <w:r>
        <w:rPr/>
        <w:t>] [</w:t>
      </w:r>
      <w:r>
        <w:rPr>
          <w:b/>
        </w:rPr>
        <w:t>ladder pull</w:t>
      </w:r>
      <w:r>
        <w:rPr/>
        <w:t>] [</w:t>
      </w:r>
      <w:r>
        <w:rPr>
          <w:b/>
        </w:rPr>
        <w:t>C-pull</w:t>
      </w:r>
      <w:r>
        <w:rPr/>
        <w:t>] [</w:t>
      </w:r>
      <w:r>
        <w:rPr>
          <w:b/>
        </w:rPr>
        <w:t>knob</w:t>
      </w:r>
      <w:r>
        <w:rPr/>
        <w:t>] &lt;</w:t>
      </w:r>
      <w:r>
        <w:rPr>
          <w:b/>
        </w:rPr>
        <w:t>Insert type</w:t>
      </w:r>
      <w:r>
        <w:rPr/>
        <w:t>&gt;.</w:t>
      </w:r>
    </w:p>
    <w:p>
      <w:pPr>
        <w:pStyle w:val="CMT"/>
        <w:rPr/>
      </w:pPr>
      <w:r>
        <w:rPr/>
        <w:t>"Sill Strip" Subparagraph below is an option offered by some manufacturers as an additional means of directing water dripping off of the sliding glass panel back into the enclosure. It is applied below and just outside the sliding glass panel.</w:t>
      </w:r>
    </w:p>
    <w:p>
      <w:pPr>
        <w:pStyle w:val="PR2"/>
        <w:numPr>
          <w:ilvl w:val="5"/>
          <w:numId w:val="1"/>
        </w:numPr>
        <w:rPr/>
      </w:pPr>
      <w:r>
        <w:rPr/>
        <w:t>Sill Strip: Manufacturer's standard sill strip designed to direct dripping water back into the enclosure.</w:t>
      </w:r>
    </w:p>
    <w:p>
      <w:pPr>
        <w:pStyle w:val="PR1"/>
        <w:numPr>
          <w:ilvl w:val="4"/>
          <w:numId w:val="1"/>
        </w:numPr>
        <w:rPr/>
      </w:pPr>
      <w:r>
        <w:rPr/>
        <w:t>Swinging Doors: Hinged for [</w:t>
      </w:r>
      <w:r>
        <w:rPr>
          <w:b/>
        </w:rPr>
        <w:t>90 degrees outwards swing, self-closing</w:t>
      </w:r>
      <w:r>
        <w:rPr/>
        <w:t>] [</w:t>
      </w:r>
      <w:r>
        <w:rPr>
          <w:b/>
        </w:rPr>
        <w:t>90 degrees inwards and outwards swing, self-centering when doors are within 15 degrees of closed position</w:t>
      </w:r>
      <w:r>
        <w:rPr/>
        <w:t>] [</w:t>
      </w:r>
      <w:r>
        <w:rPr>
          <w:b/>
        </w:rPr>
        <w:t>full rotation swing, self-centering when doors are within 15 degrees of closed position</w:t>
      </w:r>
      <w:r>
        <w:rPr/>
        <w:t>]. Soft bulb seal or wipes; affixed to door to direct water back into enclosure and provide a tight water seal.</w:t>
      </w:r>
    </w:p>
    <w:p>
      <w:pPr>
        <w:pStyle w:val="PR2"/>
        <w:numPr>
          <w:ilvl w:val="5"/>
          <w:numId w:val="1"/>
        </w:numPr>
        <w:spacing w:before="240" w:after="0"/>
        <w:rPr/>
      </w:pPr>
      <w:r>
        <w:rPr/>
        <w:t>Hinges: [</w:t>
      </w:r>
      <w:r>
        <w:rPr>
          <w:b/>
        </w:rPr>
        <w:t>Full-height piano</w:t>
      </w:r>
      <w:r>
        <w:rPr/>
        <w:t>] [</w:t>
      </w:r>
      <w:r>
        <w:rPr>
          <w:b/>
        </w:rPr>
        <w:t>Side-hinged, 90-degree patch</w:t>
      </w:r>
      <w:r>
        <w:rPr/>
        <w:t>] [</w:t>
      </w:r>
      <w:r>
        <w:rPr>
          <w:b/>
        </w:rPr>
        <w:t>Side-hinged, 135-degree patch</w:t>
      </w:r>
      <w:r>
        <w:rPr/>
        <w:t>] [</w:t>
      </w:r>
      <w:r>
        <w:rPr>
          <w:b/>
        </w:rPr>
        <w:t>Side-hinged, 180-degree patch</w:t>
      </w:r>
      <w:r>
        <w:rPr/>
        <w:t>] [</w:t>
      </w:r>
      <w:r>
        <w:rPr>
          <w:b/>
        </w:rPr>
        <w:t>Top-and-bottom pivots</w:t>
      </w:r>
      <w:r>
        <w:rPr/>
        <w:t>].</w:t>
      </w:r>
    </w:p>
    <w:p>
      <w:pPr>
        <w:pStyle w:val="PR2"/>
        <w:numPr>
          <w:ilvl w:val="5"/>
          <w:numId w:val="1"/>
        </w:numPr>
        <w:rPr/>
      </w:pPr>
      <w:r>
        <w:rPr/>
        <w:t>Door Pulls: [</w:t>
      </w:r>
      <w:r>
        <w:rPr>
          <w:b/>
        </w:rPr>
        <w:t>Single-sided</w:t>
      </w:r>
      <w:r>
        <w:rPr/>
        <w:t>] [</w:t>
      </w:r>
      <w:r>
        <w:rPr>
          <w:b/>
        </w:rPr>
        <w:t>Back-to-back</w:t>
      </w:r>
      <w:r>
        <w:rPr/>
        <w:t>], [</w:t>
      </w:r>
      <w:r>
        <w:rPr>
          <w:b/>
        </w:rPr>
        <w:t>towel bar</w:t>
      </w:r>
      <w:r>
        <w:rPr/>
        <w:t>] [</w:t>
      </w:r>
      <w:r>
        <w:rPr>
          <w:b/>
        </w:rPr>
        <w:t>D-pull</w:t>
      </w:r>
      <w:r>
        <w:rPr/>
        <w:t>] [</w:t>
      </w:r>
      <w:r>
        <w:rPr>
          <w:b/>
        </w:rPr>
        <w:t>mitered pull</w:t>
      </w:r>
      <w:r>
        <w:rPr/>
        <w:t>] [</w:t>
      </w:r>
      <w:r>
        <w:rPr>
          <w:b/>
        </w:rPr>
        <w:t>ladder pull</w:t>
      </w:r>
      <w:r>
        <w:rPr/>
        <w:t>] [</w:t>
      </w:r>
      <w:r>
        <w:rPr>
          <w:b/>
        </w:rPr>
        <w:t>C-pull</w:t>
      </w:r>
      <w:r>
        <w:rPr/>
        <w:t>] [</w:t>
      </w:r>
      <w:r>
        <w:rPr>
          <w:b/>
        </w:rPr>
        <w:t>knob</w:t>
      </w:r>
      <w:r>
        <w:rPr/>
        <w:t>] &lt;</w:t>
      </w:r>
      <w:r>
        <w:rPr>
          <w:b/>
        </w:rPr>
        <w:t>Insert type</w:t>
      </w:r>
      <w:r>
        <w:rPr/>
        <w:t>&gt;.</w:t>
      </w:r>
    </w:p>
    <w:p>
      <w:pPr>
        <w:pStyle w:val="CMT"/>
        <w:rPr/>
      </w:pPr>
      <w:r>
        <w:rPr/>
        <w:t>Retain "Towel Bar Length" Subparagraph below for towel bars.</w:t>
      </w:r>
    </w:p>
    <w:p>
      <w:pPr>
        <w:pStyle w:val="PR3"/>
        <w:numPr>
          <w:ilvl w:val="6"/>
          <w:numId w:val="1"/>
        </w:numPr>
        <w:spacing w:before="240" w:after="0"/>
        <w:rPr/>
      </w:pPr>
      <w:r>
        <w:rPr/>
        <w:t>Towel Bar Length: [</w:t>
      </w:r>
      <w:r>
        <w:rPr>
          <w:rStyle w:val="IP"/>
          <w:b/>
        </w:rPr>
        <w:t>18 inches</w:t>
      </w:r>
      <w:r>
        <w:rPr>
          <w:rStyle w:val="SI"/>
          <w:b/>
        </w:rPr>
        <w:t xml:space="preserve"> (460 mm)</w:t>
      </w:r>
      <w:r>
        <w:rPr/>
        <w:t>] [</w:t>
      </w:r>
      <w:r>
        <w:rPr>
          <w:rStyle w:val="IP"/>
          <w:b/>
        </w:rPr>
        <w:t>24 inches</w:t>
      </w:r>
      <w:r>
        <w:rPr>
          <w:rStyle w:val="SI"/>
          <w:b/>
        </w:rPr>
        <w:t xml:space="preserve"> (610 mm)</w:t>
      </w:r>
      <w:r>
        <w:rPr/>
        <w:t>] [</w:t>
      </w:r>
      <w:r>
        <w:rPr>
          <w:rStyle w:val="IP"/>
          <w:b/>
        </w:rPr>
        <w:t>30 inches</w:t>
      </w:r>
      <w:r>
        <w:rPr>
          <w:rStyle w:val="SI"/>
          <w:b/>
        </w:rPr>
        <w:t xml:space="preserve"> (760 mm)</w:t>
      </w:r>
      <w:r>
        <w:rPr/>
        <w:t>] &lt;</w:t>
      </w:r>
      <w:r>
        <w:rPr>
          <w:b/>
        </w:rPr>
        <w:t>Insert dimension</w:t>
      </w:r>
      <w:r>
        <w:rPr/>
        <w:t>&gt;.</w:t>
      </w:r>
    </w:p>
    <w:p>
      <w:pPr>
        <w:pStyle w:val="PR1"/>
        <w:numPr>
          <w:ilvl w:val="4"/>
          <w:numId w:val="1"/>
        </w:numPr>
        <w:rPr/>
      </w:pPr>
      <w:r>
        <w:rPr/>
        <w:t>Fixed Panels: [</w:t>
      </w:r>
      <w:r>
        <w:rPr>
          <w:b/>
        </w:rPr>
        <w:t>Side</w:t>
      </w:r>
      <w:r>
        <w:rPr/>
        <w:t>] [</w:t>
      </w:r>
      <w:r>
        <w:rPr>
          <w:b/>
        </w:rPr>
        <w:t>Top-and-bottom</w:t>
      </w:r>
      <w:r>
        <w:rPr/>
        <w:t>] mounts; match hinges in material and finish.</w:t>
      </w:r>
    </w:p>
    <w:p>
      <w:pPr>
        <w:pStyle w:val="PR1"/>
        <w:numPr>
          <w:ilvl w:val="4"/>
          <w:numId w:val="1"/>
        </w:numPr>
        <w:rPr/>
      </w:pPr>
      <w:r>
        <w:rPr/>
        <w:t>Ventilating Transom: Rotating clamps centered on transom.</w:t>
      </w:r>
    </w:p>
    <w:p>
      <w:pPr>
        <w:pStyle w:val="PR1"/>
        <w:numPr>
          <w:ilvl w:val="4"/>
          <w:numId w:val="1"/>
        </w:numPr>
        <w:rPr/>
      </w:pPr>
      <w:r>
        <w:rPr/>
        <w:t>Glazing:</w:t>
      </w:r>
    </w:p>
    <w:p>
      <w:pPr>
        <w:pStyle w:val="CMT"/>
        <w:rPr/>
      </w:pPr>
      <w:r>
        <w:rPr/>
        <w:t>Retain one of two subparagraphs below. Retain first subparagraph if glazing is included in Section 088000 "Glazing."</w:t>
      </w:r>
    </w:p>
    <w:p>
      <w:pPr>
        <w:pStyle w:val="PR2"/>
        <w:numPr>
          <w:ilvl w:val="5"/>
          <w:numId w:val="1"/>
        </w:numPr>
        <w:spacing w:before="240" w:after="0"/>
        <w:rPr/>
      </w:pPr>
      <w:r>
        <w:rPr/>
        <w:t>[</w:t>
      </w:r>
      <w:r>
        <w:rPr>
          <w:b/>
        </w:rPr>
        <w:t>Clear</w:t>
      </w:r>
      <w:r>
        <w:rPr/>
        <w:t>] [</w:t>
      </w:r>
      <w:r>
        <w:rPr>
          <w:b/>
        </w:rPr>
        <w:t>Clear obscured</w:t>
      </w:r>
      <w:r>
        <w:rPr/>
        <w:t>] [</w:t>
      </w:r>
      <w:r>
        <w:rPr>
          <w:b/>
        </w:rPr>
        <w:t>Tinted</w:t>
      </w:r>
      <w:r>
        <w:rPr/>
        <w:t>] [</w:t>
      </w:r>
      <w:r>
        <w:rPr>
          <w:b/>
        </w:rPr>
        <w:t>Patterned</w:t>
      </w:r>
      <w:r>
        <w:rPr/>
        <w:t>] &lt;</w:t>
      </w:r>
      <w:r>
        <w:rPr>
          <w:b/>
        </w:rPr>
        <w:t>Insert glass</w:t>
      </w:r>
      <w:r>
        <w:rPr/>
        <w:t>&gt; fully tempered. Comply with requirements in Section 088000 "Glazing."</w:t>
      </w:r>
    </w:p>
    <w:p>
      <w:pPr>
        <w:pStyle w:val="CMT"/>
        <w:rPr/>
      </w:pPr>
      <w:r>
        <w:rPr/>
        <w:t>Retain subparagraph below if requirements are specified in this Section.</w:t>
      </w:r>
    </w:p>
    <w:p>
      <w:pPr>
        <w:pStyle w:val="PR2"/>
        <w:numPr>
          <w:ilvl w:val="5"/>
          <w:numId w:val="1"/>
        </w:numPr>
        <w:rPr/>
      </w:pPr>
      <w:r>
        <w:rPr/>
        <w:t>Safety glazing materials complying with 16 CFR 1201, Category II, with permanently etched identification acceptable to authorities having jurisdiction.</w:t>
      </w:r>
    </w:p>
    <w:p>
      <w:pPr>
        <w:pStyle w:val="CMT"/>
        <w:rPr/>
      </w:pPr>
      <w:r>
        <w:rPr/>
        <w:t>Retain first option in "Glass Nominal Thickness" Subparagraph below to allow manufacturer to determine glass thickness. Thicknesses below correspond to 5/16, 3/8, and 1/2 inch, respectively.</w:t>
      </w:r>
    </w:p>
    <w:p>
      <w:pPr>
        <w:pStyle w:val="PR3"/>
        <w:numPr>
          <w:ilvl w:val="6"/>
          <w:numId w:val="1"/>
        </w:numPr>
        <w:spacing w:before="240" w:after="0"/>
        <w:rPr/>
      </w:pPr>
      <w:r>
        <w:rPr/>
        <w:t>Glass Nominal Thickness: [</w:t>
      </w:r>
      <w:r>
        <w:rPr>
          <w:b/>
        </w:rPr>
        <w:t>As determined by manufacturer based on panel size</w:t>
      </w:r>
      <w:r>
        <w:rPr/>
        <w:t>] [</w:t>
      </w:r>
      <w:r>
        <w:rPr>
          <w:b/>
        </w:rPr>
        <w:t>8 mm</w:t>
      </w:r>
      <w:r>
        <w:rPr/>
        <w:t>] [</w:t>
      </w:r>
      <w:r>
        <w:rPr>
          <w:b/>
        </w:rPr>
        <w:t>10 mm</w:t>
      </w:r>
      <w:r>
        <w:rPr/>
        <w:t>] [</w:t>
      </w:r>
      <w:r>
        <w:rPr>
          <w:b/>
        </w:rPr>
        <w:t>12 mm</w:t>
      </w:r>
      <w:r>
        <w:rPr/>
        <w:t>] &lt;</w:t>
      </w:r>
      <w:r>
        <w:rPr>
          <w:b/>
        </w:rPr>
        <w:t>Insert thickness</w:t>
      </w:r>
      <w:r>
        <w:rPr/>
        <w:t>&gt;.</w:t>
      </w:r>
    </w:p>
    <w:p>
      <w:pPr>
        <w:pStyle w:val="CMT"/>
        <w:rPr/>
      </w:pPr>
      <w:r>
        <w:rPr/>
        <w:t>Retain "Clear Glass," "Tinted Glass," or "Patterned Glass" Subparagraph below to suit Project. If retaining more than one, indicate locations on Drawings. Glass doors and panels may have a pattern or deep tint to obscure visibility.</w:t>
      </w:r>
    </w:p>
    <w:p>
      <w:pPr>
        <w:pStyle w:val="PR3"/>
        <w:numPr>
          <w:ilvl w:val="6"/>
          <w:numId w:val="1"/>
        </w:numPr>
        <w:rPr/>
      </w:pPr>
      <w:r>
        <w:rPr/>
        <w:t>Clear Glass: ASTM C1048, Type I, Quality-Q3, Class I (clear), Kind FT.</w:t>
      </w:r>
    </w:p>
    <w:p>
      <w:pPr>
        <w:pStyle w:val="CMT"/>
        <w:rPr/>
      </w:pPr>
      <w:r>
        <w:rPr/>
        <w:t>Retain "Acid etched" or "Sandblasted" options in "Obscured Panels" Subparagraph below if Project requires frosted-glass appearance or custom designs. Verify availability with manufacturers.</w:t>
      </w:r>
    </w:p>
    <w:p>
      <w:pPr>
        <w:pStyle w:val="PR4"/>
        <w:numPr>
          <w:ilvl w:val="7"/>
          <w:numId w:val="1"/>
        </w:numPr>
        <w:spacing w:before="240" w:after="0"/>
        <w:rPr/>
      </w:pPr>
      <w:r>
        <w:rPr/>
        <w:t>Obscured Panels: [</w:t>
      </w:r>
      <w:r>
        <w:rPr>
          <w:b/>
        </w:rPr>
        <w:t>Acid etched</w:t>
      </w:r>
      <w:r>
        <w:rPr/>
        <w:t>] [</w:t>
      </w:r>
      <w:r>
        <w:rPr>
          <w:b/>
        </w:rPr>
        <w:t>Sandblasted</w:t>
      </w:r>
      <w:r>
        <w:rPr/>
        <w:t>] &lt;</w:t>
      </w:r>
      <w:r>
        <w:rPr>
          <w:b/>
        </w:rPr>
        <w:t>Insert appearance</w:t>
      </w:r>
      <w:r>
        <w:rPr/>
        <w:t>&gt;.</w:t>
      </w:r>
    </w:p>
    <w:p>
      <w:pPr>
        <w:pStyle w:val="PR3"/>
        <w:numPr>
          <w:ilvl w:val="6"/>
          <w:numId w:val="1"/>
        </w:numPr>
        <w:spacing w:before="240" w:after="0"/>
        <w:rPr/>
      </w:pPr>
      <w:r>
        <w:rPr/>
        <w:t>Tinted Glass: ASTM C1048, Type I, Quality-Q3, Class II, Kind FT.</w:t>
      </w:r>
    </w:p>
    <w:p>
      <w:pPr>
        <w:pStyle w:val="PR4"/>
        <w:numPr>
          <w:ilvl w:val="7"/>
          <w:numId w:val="1"/>
        </w:numPr>
        <w:spacing w:before="240" w:after="0"/>
        <w:rPr/>
      </w:pPr>
      <w:r>
        <w:rPr/>
        <w:t>Color: [</w:t>
      </w:r>
      <w:r>
        <w:rPr>
          <w:b/>
        </w:rPr>
        <w:t>Bronze</w:t>
      </w:r>
      <w:r>
        <w:rPr/>
        <w:t>] [</w:t>
      </w:r>
      <w:r>
        <w:rPr>
          <w:b/>
        </w:rPr>
        <w:t>Green</w:t>
      </w:r>
      <w:r>
        <w:rPr/>
        <w:t>] &lt;</w:t>
      </w:r>
      <w:r>
        <w:rPr>
          <w:b/>
        </w:rPr>
        <w:t>Insert color</w:t>
      </w:r>
      <w:r>
        <w:rPr/>
        <w:t>&gt;.</w:t>
      </w:r>
    </w:p>
    <w:p>
      <w:pPr>
        <w:pStyle w:val="PR3"/>
        <w:numPr>
          <w:ilvl w:val="6"/>
          <w:numId w:val="1"/>
        </w:numPr>
        <w:spacing w:before="240" w:after="0"/>
        <w:rPr/>
      </w:pPr>
      <w:r>
        <w:rPr/>
        <w:t>Patterned Glass: ASTM C1048, Kind FT (fully tempered), Type II, Class 1 (clear), Form 3; Quality-Q6, Finish F1 (patterned, one side).</w:t>
      </w:r>
    </w:p>
    <w:p>
      <w:pPr>
        <w:pStyle w:val="PR4"/>
        <w:numPr>
          <w:ilvl w:val="7"/>
          <w:numId w:val="1"/>
        </w:numPr>
        <w:spacing w:before="240" w:after="0"/>
        <w:rPr/>
      </w:pPr>
      <w:r>
        <w:rPr/>
        <w:t>Pattern: [</w:t>
      </w:r>
      <w:r>
        <w:rPr>
          <w:b/>
        </w:rPr>
        <w:t>Manufacturer's standard</w:t>
      </w:r>
      <w:r>
        <w:rPr/>
        <w:t>] [</w:t>
      </w:r>
      <w:r>
        <w:rPr>
          <w:b/>
        </w:rPr>
        <w:t>Pattern P3 (random)</w:t>
      </w:r>
      <w:r>
        <w:rPr/>
        <w:t>] &lt;</w:t>
      </w:r>
      <w:r>
        <w:rPr>
          <w:b/>
        </w:rPr>
        <w:t>Insert pattern</w:t>
      </w:r>
      <w:r>
        <w:rPr/>
        <w:t>&gt;.</w:t>
      </w:r>
    </w:p>
    <w:p>
      <w:pPr>
        <w:pStyle w:val="CMT"/>
        <w:rPr/>
      </w:pPr>
      <w:r>
        <w:rPr/>
        <w:t>Coating in "Protective, Self-Cleaning, Glass Coating" Subparagraph below, offered by many manufacturers, is applied pyrolytically on the float line.</w:t>
      </w:r>
    </w:p>
    <w:p>
      <w:pPr>
        <w:pStyle w:val="PR3"/>
        <w:numPr>
          <w:ilvl w:val="6"/>
          <w:numId w:val="1"/>
        </w:numPr>
        <w:spacing w:before="240" w:after="0"/>
        <w:rPr/>
      </w:pPr>
      <w:r>
        <w:rPr/>
        <w:t>Protective, Self-Cleaning, Glass Coating: Clear float glass with a coating on first surface having both photocatalytic and hydrophilic properties that act to loosen dirt and to cause water to sheet evenly over the glass instead of beading.</w:t>
      </w:r>
    </w:p>
    <w:p>
      <w:pPr>
        <w:pStyle w:val="PR1"/>
        <w:numPr>
          <w:ilvl w:val="4"/>
          <w:numId w:val="1"/>
        </w:numPr>
        <w:rPr/>
      </w:pPr>
      <w:r>
        <w:rPr/>
        <w:t>Fasteners: Manufacturer's standard stainless steel or other noncorrosive fasteners.</w:t>
      </w:r>
    </w:p>
    <w:p>
      <w:pPr>
        <w:pStyle w:val="PR1"/>
        <w:numPr>
          <w:ilvl w:val="4"/>
          <w:numId w:val="1"/>
        </w:numPr>
        <w:rPr/>
      </w:pPr>
      <w:r>
        <w:rPr/>
        <w:t>Sealant: Mildew-resistant, single-component, nonsag, neutral-curing silicone joint sealant; ASTM C920, Type S, Grade NS, Class 25, for Use NT.</w:t>
      </w:r>
    </w:p>
    <w:p>
      <w:pPr>
        <w:pStyle w:val="PR2"/>
        <w:numPr>
          <w:ilvl w:val="5"/>
          <w:numId w:val="1"/>
        </w:numPr>
        <w:spacing w:before="240" w:after="0"/>
        <w:rPr/>
      </w:pPr>
      <w:hyperlink r:id="rId8">
        <w:r>
          <w:rPr>
            <w:rStyle w:val="Hyperlink"/>
          </w:rPr>
          <w:t>&lt;Double click to insert sustainable design text for sealants.&gt;</w:t>
        </w:r>
      </w:hyperlink>
    </w:p>
    <w:p>
      <w:pPr>
        <w:pStyle w:val="PR2"/>
        <w:numPr>
          <w:ilvl w:val="5"/>
          <w:numId w:val="1"/>
        </w:numPr>
        <w:rPr/>
      </w:pPr>
      <w:hyperlink r:id="rId9">
        <w:r>
          <w:rPr>
            <w:rStyle w:val="Hyperlink"/>
          </w:rPr>
          <w:t>&lt;Double click to insert sustainable design text for sealants.&gt;</w:t>
        </w:r>
      </w:hyperlink>
    </w:p>
    <w:p>
      <w:pPr>
        <w:pStyle w:val="PR1"/>
        <w:numPr>
          <w:ilvl w:val="4"/>
          <w:numId w:val="1"/>
        </w:numPr>
        <w:rPr/>
      </w:pPr>
      <w:r>
        <w:rPr/>
        <w:t>Materials:</w:t>
      </w:r>
    </w:p>
    <w:p>
      <w:pPr>
        <w:pStyle w:val="PR2"/>
        <w:numPr>
          <w:ilvl w:val="5"/>
          <w:numId w:val="1"/>
        </w:numPr>
        <w:spacing w:before="240" w:after="0"/>
        <w:rPr/>
      </w:pPr>
      <w:r>
        <w:rPr/>
        <w:t>Aluminum: Alloy and temper recommended by manufacturer for type of use and finish indicated.</w:t>
      </w:r>
    </w:p>
    <w:p>
      <w:pPr>
        <w:pStyle w:val="PR3"/>
        <w:numPr>
          <w:ilvl w:val="6"/>
          <w:numId w:val="1"/>
        </w:numPr>
        <w:spacing w:before="240" w:after="0"/>
        <w:rPr/>
      </w:pPr>
      <w:r>
        <w:rPr/>
        <w:t xml:space="preserve">Sheet and Plate: </w:t>
      </w:r>
      <w:r>
        <w:rPr>
          <w:rStyle w:val="IP"/>
        </w:rPr>
        <w:t>ASTM B209</w:t>
      </w:r>
      <w:r>
        <w:rPr>
          <w:rStyle w:val="SI"/>
        </w:rPr>
        <w:t xml:space="preserve"> (ASTM B209M)</w:t>
      </w:r>
      <w:r>
        <w:rPr/>
        <w:t>.</w:t>
      </w:r>
    </w:p>
    <w:p>
      <w:pPr>
        <w:pStyle w:val="PR3"/>
        <w:numPr>
          <w:ilvl w:val="6"/>
          <w:numId w:val="1"/>
        </w:numPr>
        <w:rPr/>
      </w:pPr>
      <w:r>
        <w:rPr/>
        <w:t xml:space="preserve">Extrusions: </w:t>
      </w:r>
      <w:r>
        <w:rPr>
          <w:rStyle w:val="IP"/>
        </w:rPr>
        <w:t>ASTM B221</w:t>
      </w:r>
      <w:r>
        <w:rPr>
          <w:rStyle w:val="SI"/>
        </w:rPr>
        <w:t xml:space="preserve"> (ASTM B221M)</w:t>
      </w:r>
      <w:r>
        <w:rPr/>
        <w:t>.</w:t>
      </w:r>
    </w:p>
    <w:p>
      <w:pPr>
        <w:pStyle w:val="PR2"/>
        <w:numPr>
          <w:ilvl w:val="5"/>
          <w:numId w:val="1"/>
        </w:numPr>
        <w:spacing w:before="240" w:after="0"/>
        <w:rPr/>
      </w:pPr>
      <w:r>
        <w:rPr/>
        <w:t>Stainless Steel Sheet: ASTM A240/A240M or ASTM A666, Type 302 or 304.</w:t>
      </w:r>
    </w:p>
    <w:p>
      <w:pPr>
        <w:pStyle w:val="PR2"/>
        <w:numPr>
          <w:ilvl w:val="5"/>
          <w:numId w:val="1"/>
        </w:numPr>
        <w:rPr/>
      </w:pPr>
      <w:r>
        <w:rPr/>
        <w:t>Stainless Steel Bars and Shapes: ASTM A276/A276M, Type 302 or 304.</w:t>
      </w:r>
    </w:p>
    <w:p>
      <w:pPr>
        <w:pStyle w:val="PR2"/>
        <w:numPr>
          <w:ilvl w:val="5"/>
          <w:numId w:val="1"/>
        </w:numPr>
        <w:rPr/>
      </w:pPr>
      <w:r>
        <w:rPr/>
        <w:t>Copper-Alloy Sheet and Shapes: ASTM B36/B36M.</w:t>
      </w:r>
    </w:p>
    <w:p>
      <w:pPr>
        <w:pStyle w:val="PR2"/>
        <w:numPr>
          <w:ilvl w:val="5"/>
          <w:numId w:val="1"/>
        </w:numPr>
        <w:rPr/>
      </w:pPr>
      <w:r>
        <w:rPr/>
        <w:t>Copper-Alloy Extrusions: ASTM B455, alloy UNS No. C38500 (architectural brass).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Prepare and install per manufacturer's written instructions unless more stringent requirements are contained in NGA's "GANA Glazing Manual."</w:t>
      </w:r>
    </w:p>
    <w:p>
      <w:pPr>
        <w:pStyle w:val="PR1"/>
        <w:numPr>
          <w:ilvl w:val="4"/>
          <w:numId w:val="1"/>
        </w:numPr>
        <w:rPr/>
      </w:pPr>
      <w:r>
        <w:rPr/>
        <w:t>Clean substrates, removing projections, filling voids, and sealing joints.</w:t>
      </w:r>
    </w:p>
    <w:p>
      <w:pPr>
        <w:pStyle w:val="PR1"/>
        <w:numPr>
          <w:ilvl w:val="4"/>
          <w:numId w:val="1"/>
        </w:numPr>
        <w:rPr/>
      </w:pPr>
      <w:r>
        <w:rPr/>
        <w:t>Set units level, plumb, and true to line, without warp or rack of frames and panels, and anchor securely in place.</w:t>
      </w:r>
    </w:p>
    <w:p>
      <w:pPr>
        <w:pStyle w:val="PR1"/>
        <w:numPr>
          <w:ilvl w:val="4"/>
          <w:numId w:val="1"/>
        </w:numPr>
        <w:rPr/>
      </w:pPr>
      <w:r>
        <w:rPr/>
        <w:t>Fasten components securely in place, with provisions for thermal movement. Install with concealed fasteners unless otherwise indicated.</w:t>
      </w:r>
    </w:p>
    <w:p>
      <w:pPr>
        <w:pStyle w:val="PR1"/>
        <w:numPr>
          <w:ilvl w:val="4"/>
          <w:numId w:val="1"/>
        </w:numPr>
        <w:rPr/>
      </w:pPr>
      <w:r>
        <w:rPr/>
        <w:t>Install components to drain and return water to tub or shower.</w:t>
      </w:r>
    </w:p>
    <w:p>
      <w:pPr>
        <w:pStyle w:val="PR1"/>
        <w:numPr>
          <w:ilvl w:val="4"/>
          <w:numId w:val="1"/>
        </w:numPr>
        <w:rPr/>
      </w:pPr>
      <w:r>
        <w:rPr/>
        <w:t>Install doors to produce smooth operation and tight fit at contact points.</w:t>
      </w:r>
    </w:p>
    <w:p>
      <w:pPr>
        <w:pStyle w:val="PR1"/>
        <w:numPr>
          <w:ilvl w:val="4"/>
          <w:numId w:val="1"/>
        </w:numPr>
        <w:rPr/>
      </w:pPr>
      <w:r>
        <w:rPr/>
        <w:t>Repair, refinish, or replace components damaged during installation.</w:t>
      </w:r>
    </w:p>
    <w:p>
      <w:pPr>
        <w:pStyle w:val="ART"/>
        <w:numPr>
          <w:ilvl w:val="3"/>
          <w:numId w:val="1"/>
        </w:numPr>
        <w:ind w:hanging="0" w:left="0"/>
        <w:rPr/>
      </w:pPr>
      <w:r>
        <w:rPr/>
        <w:t>ADJUSTING AND CLEANING</w:t>
      </w:r>
    </w:p>
    <w:p>
      <w:pPr>
        <w:pStyle w:val="PR1"/>
        <w:numPr>
          <w:ilvl w:val="4"/>
          <w:numId w:val="1"/>
        </w:numPr>
        <w:rPr/>
      </w:pPr>
      <w:r>
        <w:rPr/>
        <w:t>Adjust operating parts and hardware for smooth, quiet operation and watertight closure. Lubricate hardware and moving parts.</w:t>
      </w:r>
    </w:p>
    <w:p>
      <w:pPr>
        <w:pStyle w:val="PR1"/>
        <w:numPr>
          <w:ilvl w:val="4"/>
          <w:numId w:val="1"/>
        </w:numPr>
        <w:rPr/>
      </w:pPr>
      <w:r>
        <w:rPr/>
        <w:t>Remove nonpermanent labels, and clean surfaces immediately after installation.</w:t>
      </w:r>
    </w:p>
    <w:p>
      <w:pPr>
        <w:pStyle w:val="ART"/>
        <w:numPr>
          <w:ilvl w:val="3"/>
          <w:numId w:val="1"/>
        </w:numPr>
        <w:ind w:hanging="0" w:left="0"/>
        <w:rPr/>
      </w:pPr>
      <w:r>
        <w:rPr/>
        <w:t>TUB AND SHOWER DOOR AND ENCLOSURE HARDWARE SCHEDULE</w:t>
      </w:r>
    </w:p>
    <w:p>
      <w:pPr>
        <w:pStyle w:val="CMT"/>
        <w:rPr/>
      </w:pPr>
      <w:r>
        <w:rPr/>
        <w:t>Retain this article if inserting schedule below. Otherwise, delete this article and indicate tub and shower door and enclosure hardware schedule on Drawings.</w:t>
      </w:r>
    </w:p>
    <w:p>
      <w:pPr>
        <w:pStyle w:val="CMT"/>
        <w:rPr/>
      </w:pPr>
      <w:r>
        <w:rPr/>
        <w:t>Schedule a hardware set for each unique door and enclosure configuration required for Project. Identify each set with a unique number designation.</w:t>
      </w:r>
    </w:p>
    <w:p>
      <w:pPr>
        <w:pStyle w:val="CMT"/>
        <w:rPr/>
      </w:pPr>
      <w:r>
        <w:rPr/>
        <w:t>See "Sample Tub and Shower Door and Enclosure Hardware Schedule" Article in the Evaluations for additional information.</w:t>
      </w:r>
    </w:p>
    <w:p>
      <w:pPr>
        <w:pStyle w:val="CMT"/>
        <w:rPr/>
      </w:pPr>
      <w:r>
        <w:rPr/>
        <w:t>Coordinate products in each door hardware set with products specified in Part 2. Do not duplicate requirements specified in Part 2.</w:t>
      </w:r>
    </w:p>
    <w:p>
      <w:pPr>
        <w:pStyle w:val="EOS"/>
        <w:rPr/>
      </w:pPr>
      <w:r>
        <w:rPr/>
        <w:t>END OF SECTION 102819</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TUB AND SHOWER ENCLOSURES</w:t>
          </w:r>
        </w:p>
      </w:tc>
      <w:tc>
        <w:tcPr>
          <w:tcW w:w="1872" w:type="dxa"/>
          <w:tcBorders/>
        </w:tcPr>
        <w:p>
          <w:pPr>
            <w:pStyle w:val="RJUST"/>
            <w:rPr/>
          </w:pPr>
          <w:r>
            <w:rPr>
              <w:rStyle w:val="NUM"/>
            </w:rPr>
            <w:t>102819</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102819"/>
    <w:docVar w:name="MFOrigin" w:val="MF04"/>
    <w:docVar w:name="SpecType" w:val="MasterSpec"/>
    <w:docVar w:name="Version" w:val="159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819&amp;ver=03-01-21&amp;format=FL&amp;sid=15979&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specagent.com/LookUp/?ulid=9051&amp;mf=&amp;src=wd" TargetMode="External"/><Relationship Id="rId5" Type="http://schemas.openxmlformats.org/officeDocument/2006/relationships/hyperlink" Target="http://www.arcomnet.com/sustainable_design.aspx?topic=45" TargetMode="External"/><Relationship Id="rId6" Type="http://schemas.openxmlformats.org/officeDocument/2006/relationships/hyperlink" Target="http://www.arcomnet.com/sustainable_design.aspx?topic=46" TargetMode="External"/><Relationship Id="rId7" Type="http://schemas.openxmlformats.org/officeDocument/2006/relationships/hyperlink" Target="http://www.specagent.com/LookUp/?ulid=9052&amp;mf=&amp;src=wd" TargetMode="External"/><Relationship Id="rId8" Type="http://schemas.openxmlformats.org/officeDocument/2006/relationships/hyperlink" Target="http://www.arcomnet.com/sustainable_design.aspx?topic=45" TargetMode="External"/><Relationship Id="rId9" Type="http://schemas.openxmlformats.org/officeDocument/2006/relationships/hyperlink" Target="http://www.arcomnet.com/sustainable_design.aspx?topic=46"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2022-09-26T02:29:00Z</dcterms:created>
  <dc:creator>Deltek, Inc.</dc:creator>
  <dc:description/>
  <cp:keywords>BAS-12345-MS80</cp:keywords>
  <dc:language>zh-CN</dc:language>
  <cp:lastModifiedBy>Janice Nacional</cp:lastModifiedBy>
  <dcterms:modified xsi:type="dcterms:W3CDTF">2022-09-26T02:29:00Z</dcterms:modified>
  <cp:revision>2</cp:revision>
  <dc:subject>TUB AND SHOWER ENCLOSURES</dc:subject>
  <dc:title>SECTION 102819 - TUB AND SHOWER ENCLOSURES</dc:title>
</cp:coreProperties>
</file>