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104513</w:t>
      </w:r>
      <w:r>
        <w:rPr/>
        <w:t xml:space="preserve"> - </w:t>
      </w:r>
      <w:r>
        <w:rPr>
          <w:rStyle w:val="NAM"/>
        </w:rPr>
        <w:t>PHOTOLUMINESCENT EGRESS PATH MARKINGS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photoluminescent egress path markings.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101423 "Panel Signage" for photoluminescent floor number and evacuation route signs.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adhesives.&gt;</w:t>
        </w:r>
      </w:hyperlink>
    </w:p>
    <w:p>
      <w:pPr>
        <w:pStyle w:val="PR1"/>
        <w:numPr>
          <w:ilvl w:val="4"/>
          <w:numId w:val="1"/>
        </w:numPr>
        <w:rPr/>
      </w:pPr>
      <w:r>
        <w:rPr/>
        <w:t>Shop Drawings: For photoluminescent egress path markings.</w:t>
      </w:r>
    </w:p>
    <w:p>
      <w:pPr>
        <w:pStyle w:val="PR2"/>
        <w:numPr>
          <w:ilvl w:val="5"/>
          <w:numId w:val="1"/>
        </w:numPr>
        <w:spacing w:before="240" w:after="0"/>
        <w:rPr/>
      </w:pPr>
      <w:r>
        <w:rPr/>
        <w:t>Include plans, elevations, and details.</w:t>
      </w:r>
    </w:p>
    <w:p>
      <w:pPr>
        <w:pStyle w:val="PR1"/>
        <w:numPr>
          <w:ilvl w:val="4"/>
          <w:numId w:val="1"/>
        </w:numPr>
        <w:rPr/>
      </w:pPr>
      <w:r>
        <w:rPr/>
        <w:t xml:space="preserve">Samples: For each exposed product and for each color and texture specified, </w:t>
      </w:r>
      <w:r>
        <w:rPr>
          <w:rStyle w:val="IP"/>
        </w:rPr>
        <w:t>6 inches</w:t>
      </w:r>
      <w:r>
        <w:rPr>
          <w:rStyle w:val="SI"/>
        </w:rPr>
        <w:t xml:space="preserve"> (150 mm)</w:t>
      </w:r>
      <w:r>
        <w:rPr/>
        <w:t xml:space="preserve"> long or full size.</w:t>
      </w:r>
    </w:p>
    <w:p>
      <w:pPr>
        <w:pStyle w:val="ART"/>
        <w:numPr>
          <w:ilvl w:val="3"/>
          <w:numId w:val="1"/>
        </w:numPr>
        <w:ind w:hanging="0" w:left="0"/>
        <w:rPr/>
      </w:pPr>
      <w:r>
        <w:rPr/>
        <w:t>INFORMATIONAL SUBMITTALS</w:t>
      </w:r>
    </w:p>
    <w:p>
      <w:pPr>
        <w:pStyle w:val="PR1"/>
        <w:numPr>
          <w:ilvl w:val="4"/>
          <w:numId w:val="1"/>
        </w:numPr>
        <w:rPr/>
      </w:pPr>
      <w:r>
        <w:rPr/>
        <w:t>Product Test Reports: Based on evaluation of comprehensive tests performed by a qualified testing agency, for luminance level of photoluminescent egress path markings.</w:t>
      </w:r>
    </w:p>
    <w:p>
      <w:pPr>
        <w:pStyle w:val="PR1"/>
        <w:numPr>
          <w:ilvl w:val="4"/>
          <w:numId w:val="1"/>
        </w:numPr>
        <w:rPr/>
      </w:pPr>
      <w:r>
        <w:rPr/>
        <w:t>Sample Warranties: For special warranties.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Warranty: Manufacturer agrees to replace photoluminescent egress path markings that fail in materials or workmanship within specified warranty period.</w:t>
      </w:r>
    </w:p>
    <w:p>
      <w:pPr>
        <w:pStyle w:val="PR2"/>
        <w:numPr>
          <w:ilvl w:val="5"/>
          <w:numId w:val="1"/>
        </w:numPr>
        <w:spacing w:before="240" w:after="0"/>
        <w:rPr/>
      </w:pPr>
      <w:r>
        <w:rPr/>
        <w:t>Failure includes, but is not limited to, decline in luminance below specified brightness level.</w:t>
      </w:r>
    </w:p>
    <w:p>
      <w:pPr>
        <w:pStyle w:val="CMT"/>
        <w:rPr/>
      </w:pPr>
      <w:r>
        <w:rPr/>
        <w:t>Several manufacturers offer limited lifetime warranties. Confirm availability and suitability.</w:t>
      </w:r>
    </w:p>
    <w:p>
      <w:pPr>
        <w:pStyle w:val="PR2"/>
        <w:numPr>
          <w:ilvl w:val="5"/>
          <w:numId w:val="1"/>
        </w:numPr>
        <w:rPr/>
      </w:pPr>
      <w:r>
        <w:rPr/>
        <w:t>Warranty Period: [</w:t>
      </w:r>
      <w:r>
        <w:rPr>
          <w:b/>
        </w:rPr>
        <w:t>25</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Requirements in "Luminance" Paragraph below are based on the IBC; confirm with authorities having jurisdiction.</w:t>
      </w:r>
    </w:p>
    <w:p>
      <w:pPr>
        <w:pStyle w:val="PR1"/>
        <w:numPr>
          <w:ilvl w:val="4"/>
          <w:numId w:val="1"/>
        </w:numPr>
        <w:rPr/>
      </w:pPr>
      <w:r>
        <w:rPr/>
        <w:t>Luminance: Comply with one of the following; testing by a qualified testing agency:</w:t>
      </w:r>
    </w:p>
    <w:p>
      <w:pPr>
        <w:pStyle w:val="PR2"/>
        <w:numPr>
          <w:ilvl w:val="5"/>
          <w:numId w:val="1"/>
        </w:numPr>
        <w:spacing w:before="240" w:after="0"/>
        <w:rPr/>
      </w:pPr>
      <w:r>
        <w:rPr/>
        <w:t>UL 1994.</w:t>
      </w:r>
    </w:p>
    <w:p>
      <w:pPr>
        <w:pStyle w:val="PR2"/>
        <w:numPr>
          <w:ilvl w:val="5"/>
          <w:numId w:val="1"/>
        </w:numPr>
        <w:rPr/>
      </w:pPr>
      <w:r>
        <w:rPr/>
        <w:t xml:space="preserve">ASTM E2072; except that the charging source is to be </w:t>
      </w:r>
      <w:r>
        <w:rPr>
          <w:rStyle w:val="IP"/>
        </w:rPr>
        <w:t>1 foot-candle</w:t>
      </w:r>
      <w:r>
        <w:rPr>
          <w:rStyle w:val="SI"/>
        </w:rPr>
        <w:t xml:space="preserve"> (11 lux)</w:t>
      </w:r>
      <w:r>
        <w:rPr/>
        <w:t xml:space="preserve"> of fluorescent illumination for 60 min., and the minimum luminance is to be 30 millicandelas/sq. m after 10 min. and 5 millicandelas/sq. m after 90 min.</w:t>
      </w:r>
    </w:p>
    <w:p>
      <w:pPr>
        <w:pStyle w:val="ART"/>
        <w:numPr>
          <w:ilvl w:val="3"/>
          <w:numId w:val="1"/>
        </w:numPr>
        <w:ind w:hanging="0" w:left="0"/>
        <w:rPr/>
      </w:pPr>
      <w:r>
        <w:rPr/>
        <w:t>PHOTOLUMINESCENT EGRESS PATH MARKINGS</w:t>
      </w:r>
    </w:p>
    <w:p>
      <w:pPr>
        <w:pStyle w:val="PR1"/>
        <w:numPr>
          <w:ilvl w:val="4"/>
          <w:numId w:val="1"/>
        </w:numPr>
        <w:rPr/>
      </w:pPr>
      <w:r>
        <w:rPr/>
        <w:t>Photoluminescent Egress Path Markings: Photoluminescent products containing no radioactive materials and requiring no electrical power.</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Stair-and-Landing Nosing Markings:</w:t>
      </w:r>
    </w:p>
    <w:p>
      <w:pPr>
        <w:pStyle w:val="CMT"/>
        <w:rPr/>
      </w:pPr>
      <w:r>
        <w:rPr/>
        <w:t>Retain one of two subparagraphs below. NFPA 101 and local codes may not permit adhesive tape stripes.</w:t>
      </w:r>
    </w:p>
    <w:p>
      <w:pPr>
        <w:pStyle w:val="PR2"/>
        <w:numPr>
          <w:ilvl w:val="5"/>
          <w:numId w:val="1"/>
        </w:numPr>
        <w:spacing w:before="240" w:after="0"/>
        <w:rPr/>
      </w:pPr>
      <w:r>
        <w:rPr/>
        <w:t>Slip-resistive self-adhesive tape stripes; [</w:t>
      </w:r>
      <w:r>
        <w:rPr>
          <w:rStyle w:val="IP"/>
          <w:b/>
        </w:rPr>
        <w:t>1 inch</w:t>
      </w:r>
      <w:r>
        <w:rPr>
          <w:rStyle w:val="SI"/>
          <w:b/>
        </w:rPr>
        <w:t xml:space="preserve"> (25 mm)</w:t>
      </w:r>
      <w:r>
        <w:rPr/>
        <w:t>] [</w:t>
      </w:r>
      <w:r>
        <w:rPr>
          <w:rStyle w:val="IP"/>
          <w:b/>
        </w:rPr>
        <w:t>2 inches</w:t>
      </w:r>
      <w:r>
        <w:rPr>
          <w:rStyle w:val="SI"/>
          <w:b/>
        </w:rPr>
        <w:t xml:space="preserve"> (51 mm)</w:t>
      </w:r>
      <w:r>
        <w:rPr/>
        <w:t>] wide.</w:t>
      </w:r>
    </w:p>
    <w:p>
      <w:pPr>
        <w:pStyle w:val="PR2"/>
        <w:numPr>
          <w:ilvl w:val="5"/>
          <w:numId w:val="1"/>
        </w:numPr>
        <w:rPr/>
      </w:pPr>
      <w:r>
        <w:rPr/>
        <w:t>Slip-resistive [</w:t>
      </w:r>
      <w:r>
        <w:rPr>
          <w:rStyle w:val="IP"/>
          <w:b/>
        </w:rPr>
        <w:t>1-inch-</w:t>
      </w:r>
      <w:r>
        <w:rPr>
          <w:rStyle w:val="SI"/>
          <w:b/>
        </w:rPr>
        <w:t xml:space="preserve"> (25-mm-)</w:t>
      </w:r>
      <w:r>
        <w:rPr/>
        <w:t>] [</w:t>
      </w:r>
      <w:r>
        <w:rPr>
          <w:rStyle w:val="IP"/>
          <w:b/>
        </w:rPr>
        <w:t>2-inch-</w:t>
      </w:r>
      <w:r>
        <w:rPr>
          <w:rStyle w:val="SI"/>
          <w:b/>
        </w:rPr>
        <w:t xml:space="preserve"> (51-mm-)</w:t>
      </w:r>
      <w:r>
        <w:rPr/>
        <w:t>] wide stripes mounted to extruded-aluminum nosings[</w:t>
      </w:r>
      <w:r>
        <w:rPr>
          <w:b/>
        </w:rPr>
        <w:t>; with self-adhesive foam backing</w:t>
      </w:r>
      <w:r>
        <w:rPr/>
        <w:t>].</w:t>
      </w:r>
    </w:p>
    <w:p>
      <w:pPr>
        <w:pStyle w:val="PR1"/>
        <w:numPr>
          <w:ilvl w:val="4"/>
          <w:numId w:val="1"/>
        </w:numPr>
        <w:rPr/>
      </w:pPr>
      <w:r>
        <w:rPr/>
        <w:t>Handrail Markings: Self-adhesive [</w:t>
      </w:r>
      <w:r>
        <w:rPr>
          <w:b/>
        </w:rPr>
        <w:t>tape</w:t>
      </w:r>
      <w:r>
        <w:rPr/>
        <w:t>] [</w:t>
      </w:r>
      <w:r>
        <w:rPr>
          <w:b/>
        </w:rPr>
        <w:t>semi-rigid</w:t>
      </w:r>
      <w:r>
        <w:rPr/>
        <w:t>] stripes; [</w:t>
      </w:r>
      <w:r>
        <w:rPr>
          <w:rStyle w:val="IP"/>
          <w:b/>
        </w:rPr>
        <w:t>1 inch</w:t>
      </w:r>
      <w:r>
        <w:rPr>
          <w:rStyle w:val="SI"/>
          <w:b/>
        </w:rPr>
        <w:t xml:space="preserve"> (25 mm)</w:t>
      </w:r>
      <w:r>
        <w:rPr/>
        <w:t>] [</w:t>
      </w:r>
      <w:r>
        <w:rPr>
          <w:rStyle w:val="IP"/>
          <w:b/>
        </w:rPr>
        <w:t>2 inches</w:t>
      </w:r>
      <w:r>
        <w:rPr>
          <w:rStyle w:val="SI"/>
          <w:b/>
        </w:rPr>
        <w:t xml:space="preserve"> (51 mm)</w:t>
      </w:r>
      <w:r>
        <w:rPr/>
        <w:t>] wide.</w:t>
      </w:r>
    </w:p>
    <w:p>
      <w:pPr>
        <w:pStyle w:val="PR1"/>
        <w:numPr>
          <w:ilvl w:val="4"/>
          <w:numId w:val="1"/>
        </w:numPr>
        <w:rPr/>
      </w:pPr>
      <w:r>
        <w:rPr/>
        <w:t>Floor-Mounted Perimeter Markings: Self-adhesive tape stripes; [</w:t>
      </w:r>
      <w:r>
        <w:rPr>
          <w:rStyle w:val="IP"/>
          <w:b/>
        </w:rPr>
        <w:t>1 inch</w:t>
      </w:r>
      <w:r>
        <w:rPr>
          <w:rStyle w:val="SI"/>
          <w:b/>
        </w:rPr>
        <w:t xml:space="preserve"> (25 mm)</w:t>
      </w:r>
      <w:r>
        <w:rPr/>
        <w:t>] [</w:t>
      </w:r>
      <w:r>
        <w:rPr>
          <w:rStyle w:val="IP"/>
          <w:b/>
        </w:rPr>
        <w:t>2 inches</w:t>
      </w:r>
      <w:r>
        <w:rPr>
          <w:rStyle w:val="SI"/>
          <w:b/>
        </w:rPr>
        <w:t xml:space="preserve"> (51 mm)</w:t>
      </w:r>
      <w:r>
        <w:rPr/>
        <w:t>] wide[</w:t>
      </w:r>
      <w:r>
        <w:rPr>
          <w:b/>
        </w:rPr>
        <w:t>; with directional arrows</w:t>
      </w:r>
      <w:r>
        <w:rPr/>
        <w:t>].</w:t>
      </w:r>
    </w:p>
    <w:p>
      <w:pPr>
        <w:pStyle w:val="PR1"/>
        <w:numPr>
          <w:ilvl w:val="4"/>
          <w:numId w:val="1"/>
        </w:numPr>
        <w:rPr/>
      </w:pPr>
      <w:r>
        <w:rPr/>
        <w:t>Wall-Mounted Perimeter Markings:</w:t>
      </w:r>
    </w:p>
    <w:p>
      <w:pPr>
        <w:pStyle w:val="CMT"/>
        <w:rPr/>
      </w:pPr>
      <w:r>
        <w:rPr/>
        <w:t>Retain one of two subparagraphs below.</w:t>
      </w:r>
    </w:p>
    <w:p>
      <w:pPr>
        <w:pStyle w:val="PR2"/>
        <w:numPr>
          <w:ilvl w:val="5"/>
          <w:numId w:val="1"/>
        </w:numPr>
        <w:spacing w:before="240" w:after="0"/>
        <w:rPr/>
      </w:pPr>
      <w:r>
        <w:rPr/>
        <w:t>Self-adhesive tape stripes; [</w:t>
      </w:r>
      <w:r>
        <w:rPr>
          <w:rStyle w:val="IP"/>
          <w:b/>
        </w:rPr>
        <w:t>1 inch</w:t>
      </w:r>
      <w:r>
        <w:rPr>
          <w:rStyle w:val="SI"/>
          <w:b/>
        </w:rPr>
        <w:t xml:space="preserve"> (25 mm)</w:t>
      </w:r>
      <w:r>
        <w:rPr/>
        <w:t>] [</w:t>
      </w:r>
      <w:r>
        <w:rPr>
          <w:rStyle w:val="IP"/>
          <w:b/>
        </w:rPr>
        <w:t>2 inches</w:t>
      </w:r>
      <w:r>
        <w:rPr>
          <w:rStyle w:val="SI"/>
          <w:b/>
        </w:rPr>
        <w:t xml:space="preserve"> (51 mm)</w:t>
      </w:r>
      <w:r>
        <w:rPr/>
        <w:t>] wide[</w:t>
      </w:r>
      <w:r>
        <w:rPr>
          <w:b/>
        </w:rPr>
        <w:t>; with directional arrows</w:t>
      </w:r>
      <w:r>
        <w:rPr/>
        <w:t>].</w:t>
      </w:r>
    </w:p>
    <w:p>
      <w:pPr>
        <w:pStyle w:val="PR2"/>
        <w:numPr>
          <w:ilvl w:val="5"/>
          <w:numId w:val="1"/>
        </w:numPr>
        <w:rPr/>
      </w:pPr>
      <w:r>
        <w:rPr/>
        <w:t>[</w:t>
      </w:r>
      <w:r>
        <w:rPr>
          <w:rStyle w:val="IP"/>
          <w:b/>
        </w:rPr>
        <w:t>1-inch-</w:t>
      </w:r>
      <w:r>
        <w:rPr>
          <w:rStyle w:val="SI"/>
          <w:b/>
        </w:rPr>
        <w:t xml:space="preserve"> (25-mm-)</w:t>
      </w:r>
      <w:r>
        <w:rPr/>
        <w:t>] [</w:t>
      </w:r>
      <w:r>
        <w:rPr>
          <w:rStyle w:val="IP"/>
          <w:b/>
        </w:rPr>
        <w:t>2-inch-</w:t>
      </w:r>
      <w:r>
        <w:rPr>
          <w:rStyle w:val="SI"/>
          <w:b/>
        </w:rPr>
        <w:t xml:space="preserve"> (51-mm-)</w:t>
      </w:r>
      <w:r>
        <w:rPr/>
        <w:t>] wide stripes mounted to aluminum retainer[</w:t>
      </w:r>
      <w:r>
        <w:rPr>
          <w:b/>
        </w:rPr>
        <w:t>; with directional arrows</w:t>
      </w:r>
      <w:r>
        <w:rPr/>
        <w:t>].</w:t>
      </w:r>
    </w:p>
    <w:p>
      <w:pPr>
        <w:pStyle w:val="PR1"/>
        <w:numPr>
          <w:ilvl w:val="4"/>
          <w:numId w:val="1"/>
        </w:numPr>
        <w:rPr/>
      </w:pPr>
      <w:r>
        <w:rPr/>
        <w:t>Obstacle Marking: Self-adhesive stripe with alternating diagonal bands of black and photoluminescent material.</w:t>
      </w:r>
    </w:p>
    <w:p>
      <w:pPr>
        <w:pStyle w:val="PR1"/>
        <w:numPr>
          <w:ilvl w:val="4"/>
          <w:numId w:val="1"/>
        </w:numPr>
        <w:rPr/>
      </w:pPr>
      <w:r>
        <w:rPr/>
        <w:t>Door Frame Markings:</w:t>
      </w:r>
    </w:p>
    <w:p>
      <w:pPr>
        <w:pStyle w:val="CMT"/>
        <w:rPr/>
      </w:pPr>
      <w:r>
        <w:rPr/>
        <w:t>Retain one of two subparagraphs below.</w:t>
      </w:r>
    </w:p>
    <w:p>
      <w:pPr>
        <w:pStyle w:val="PR2"/>
        <w:numPr>
          <w:ilvl w:val="5"/>
          <w:numId w:val="1"/>
        </w:numPr>
        <w:spacing w:before="240" w:after="0"/>
        <w:rPr/>
      </w:pPr>
      <w:r>
        <w:rPr/>
        <w:t>Self-adhesive tape stripes [</w:t>
      </w:r>
      <w:r>
        <w:rPr>
          <w:rStyle w:val="IP"/>
          <w:b/>
        </w:rPr>
        <w:t>1 inch</w:t>
      </w:r>
      <w:r>
        <w:rPr>
          <w:rStyle w:val="SI"/>
          <w:b/>
        </w:rPr>
        <w:t xml:space="preserve"> (25 mm)</w:t>
      </w:r>
      <w:r>
        <w:rPr/>
        <w:t>] [</w:t>
      </w:r>
      <w:r>
        <w:rPr>
          <w:rStyle w:val="IP"/>
          <w:b/>
        </w:rPr>
        <w:t>2 inches</w:t>
      </w:r>
      <w:r>
        <w:rPr>
          <w:rStyle w:val="SI"/>
          <w:b/>
        </w:rPr>
        <w:t xml:space="preserve"> (51 mm)</w:t>
      </w:r>
      <w:r>
        <w:rPr/>
        <w:t>] wide[</w:t>
      </w:r>
      <w:r>
        <w:rPr>
          <w:b/>
        </w:rPr>
        <w:t>; with directional arrows</w:t>
      </w:r>
      <w:r>
        <w:rPr/>
        <w:t>].</w:t>
      </w:r>
    </w:p>
    <w:p>
      <w:pPr>
        <w:pStyle w:val="PR2"/>
        <w:numPr>
          <w:ilvl w:val="5"/>
          <w:numId w:val="1"/>
        </w:numPr>
        <w:rPr/>
      </w:pPr>
      <w:r>
        <w:rPr/>
        <w:t>[</w:t>
      </w:r>
      <w:r>
        <w:rPr>
          <w:rStyle w:val="IP"/>
          <w:b/>
        </w:rPr>
        <w:t>1-inch-</w:t>
      </w:r>
      <w:r>
        <w:rPr>
          <w:rStyle w:val="SI"/>
          <w:b/>
        </w:rPr>
        <w:t xml:space="preserve"> (25-mm-)</w:t>
      </w:r>
      <w:r>
        <w:rPr/>
        <w:t>] [</w:t>
      </w:r>
      <w:r>
        <w:rPr>
          <w:rStyle w:val="IP"/>
          <w:b/>
        </w:rPr>
        <w:t>2-inch</w:t>
      </w:r>
      <w:r>
        <w:rPr>
          <w:rStyle w:val="SI"/>
          <w:b/>
        </w:rPr>
        <w:t xml:space="preserve"> (51-mm-)</w:t>
      </w:r>
      <w:r>
        <w:rPr/>
        <w:t>] wide stripes mounted to aluminum retainer[</w:t>
      </w:r>
      <w:r>
        <w:rPr>
          <w:b/>
        </w:rPr>
        <w:t>; with directional arrows</w:t>
      </w:r>
      <w:r>
        <w:rPr/>
        <w:t>].</w:t>
      </w:r>
    </w:p>
    <w:p>
      <w:pPr>
        <w:pStyle w:val="PR1"/>
        <w:numPr>
          <w:ilvl w:val="4"/>
          <w:numId w:val="1"/>
        </w:numPr>
        <w:rPr/>
      </w:pPr>
      <w:r>
        <w:rPr/>
        <w:t>Door Hardware Markings: Square [</w:t>
      </w:r>
      <w:r>
        <w:rPr>
          <w:b/>
        </w:rPr>
        <w:t>self-adhesive sticker</w:t>
      </w:r>
      <w:r>
        <w:rPr/>
        <w:t>] [</w:t>
      </w:r>
      <w:r>
        <w:rPr>
          <w:b/>
        </w:rPr>
        <w:t>rigid plastic</w:t>
      </w:r>
      <w:r>
        <w:rPr/>
        <w:t xml:space="preserve">], </w:t>
      </w:r>
      <w:r>
        <w:rPr>
          <w:rStyle w:val="IP"/>
        </w:rPr>
        <w:t>4 inches by 4 inches</w:t>
      </w:r>
      <w:r>
        <w:rPr>
          <w:rStyle w:val="SI"/>
        </w:rPr>
        <w:t xml:space="preserve"> (102 mm by 102 mm)</w:t>
      </w:r>
      <w:r>
        <w:rPr/>
        <w:t>.</w:t>
      </w:r>
    </w:p>
    <w:p>
      <w:pPr>
        <w:pStyle w:val="CMT"/>
        <w:rPr/>
      </w:pPr>
      <w:r>
        <w:rPr/>
        <w:t>Signs required by "Exit Signs" Paragraph below are for photoluminescent egress path requirements only; they do not meet the requirements for emergency exit signs and lighting in other parts of the IBC.</w:t>
      </w:r>
    </w:p>
    <w:p>
      <w:pPr>
        <w:pStyle w:val="PR1"/>
        <w:numPr>
          <w:ilvl w:val="4"/>
          <w:numId w:val="1"/>
        </w:numPr>
        <w:rPr/>
      </w:pPr>
      <w:r>
        <w:rPr/>
        <w:t>Exit Signs: Rigid plastic or aluminum sign for low-level mounting, with emergency exit symbol complying with NFPA 170[</w:t>
      </w:r>
      <w:r>
        <w:rPr>
          <w:b/>
        </w:rPr>
        <w:t>; with self-adhesive backing</w:t>
      </w:r>
      <w:r>
        <w:rPr/>
        <w:t xml:space="preserve">]; with a minimum height of </w:t>
      </w:r>
      <w:r>
        <w:rPr>
          <w:rStyle w:val="IP"/>
        </w:rPr>
        <w:t>4 inches</w:t>
      </w:r>
      <w:r>
        <w:rPr>
          <w:rStyle w:val="SI"/>
        </w:rPr>
        <w:t xml:space="preserve"> (102 mm)</w:t>
      </w:r>
      <w:r>
        <w:rPr/>
        <w:t>; and with running man symbol facing right or left to suit installation condition.</w:t>
      </w:r>
    </w:p>
    <w:p>
      <w:pPr>
        <w:pStyle w:val="PR1"/>
        <w:numPr>
          <w:ilvl w:val="4"/>
          <w:numId w:val="1"/>
        </w:numPr>
        <w:rPr/>
      </w:pPr>
      <w:r>
        <w:rPr/>
        <w:t xml:space="preserve">Extruded Aluminum: </w:t>
      </w:r>
      <w:r>
        <w:rPr>
          <w:rStyle w:val="IP"/>
        </w:rPr>
        <w:t>ASTM B221</w:t>
      </w:r>
      <w:r>
        <w:rPr>
          <w:rStyle w:val="SI"/>
        </w:rPr>
        <w:t xml:space="preserve"> (ASTM B221M)</w:t>
      </w:r>
      <w:r>
        <w:rPr/>
        <w:t>, Alloy 6063.</w:t>
      </w:r>
    </w:p>
    <w:p>
      <w:pPr>
        <w:pStyle w:val="PR1"/>
        <w:numPr>
          <w:ilvl w:val="4"/>
          <w:numId w:val="1"/>
        </w:numPr>
        <w:rPr/>
      </w:pPr>
      <w:r>
        <w:rPr/>
        <w:t>Adhesive: As recommended by manufacturer.</w:t>
      </w:r>
    </w:p>
    <w:p>
      <w:pPr>
        <w:pStyle w:val="PR2"/>
        <w:numPr>
          <w:ilvl w:val="5"/>
          <w:numId w:val="1"/>
        </w:numPr>
        <w:spacing w:before="240" w:after="0"/>
        <w:rPr/>
      </w:pPr>
      <w:hyperlink r:id="rId6">
        <w:r>
          <w:rPr>
            <w:rStyle w:val="Hyperlink"/>
          </w:rPr>
          <w:t>&lt;Double click to insert sustainable design text for VOC content of adhesive.&gt;</w:t>
        </w:r>
      </w:hyperlink>
    </w:p>
    <w:p>
      <w:pPr>
        <w:pStyle w:val="PR2"/>
        <w:numPr>
          <w:ilvl w:val="5"/>
          <w:numId w:val="1"/>
        </w:numPr>
        <w:rPr/>
      </w:pPr>
      <w:hyperlink r:id="rId7">
        <w:r>
          <w:rPr>
            <w:rStyle w:val="Hyperlink"/>
          </w:rPr>
          <w:t>&lt;Double click to insert sustainable design text for low emitting adhesives.&gt;</w:t>
        </w:r>
      </w:hyperlink>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Comply with manufacturer's written instructions for surface preparation.</w:t>
      </w:r>
    </w:p>
    <w:p>
      <w:pPr>
        <w:pStyle w:val="PR1"/>
        <w:numPr>
          <w:ilvl w:val="4"/>
          <w:numId w:val="1"/>
        </w:numPr>
        <w:rPr/>
      </w:pPr>
      <w:r>
        <w:rPr/>
        <w:t>Clean and prepare surfaces to achieve a smooth, dry, clean surface free of flaking, unsound coatings, cracks, defects, projections, depressions, and substances that could impair bond between photoluminescent egress path markings and wall or floor surfaces.</w:t>
      </w:r>
    </w:p>
    <w:p>
      <w:pPr>
        <w:pStyle w:val="ART"/>
        <w:numPr>
          <w:ilvl w:val="3"/>
          <w:numId w:val="1"/>
        </w:numPr>
        <w:ind w:hanging="0" w:left="0"/>
        <w:rPr/>
      </w:pPr>
      <w:r>
        <w:rPr/>
        <w:t>INSTALLATION</w:t>
      </w:r>
    </w:p>
    <w:p>
      <w:pPr>
        <w:pStyle w:val="PR1"/>
        <w:numPr>
          <w:ilvl w:val="4"/>
          <w:numId w:val="1"/>
        </w:numPr>
        <w:rPr/>
      </w:pPr>
      <w:r>
        <w:rPr/>
        <w:t>General: Install photoluminescent egress path markings according to manufacturer's written instructions.</w:t>
      </w:r>
    </w:p>
    <w:p>
      <w:pPr>
        <w:pStyle w:val="PR1"/>
        <w:numPr>
          <w:ilvl w:val="4"/>
          <w:numId w:val="1"/>
        </w:numPr>
        <w:rPr/>
      </w:pPr>
      <w:r>
        <w:rPr/>
        <w:t>Install aluminum nosings with adhesive and mechanical fasteners.</w:t>
      </w:r>
    </w:p>
    <w:p>
      <w:pPr>
        <w:pStyle w:val="EOS"/>
        <w:rPr/>
      </w:pPr>
      <w:r>
        <w:rPr/>
        <w:t>END OF SECTION 104513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PHOTOLUMINESCENT EGRESS PATH MARKINGS</w:t>
          </w:r>
        </w:p>
      </w:tc>
      <w:tc>
        <w:tcPr>
          <w:tcW w:w="1872" w:type="dxa"/>
          <w:tcBorders/>
        </w:tcPr>
        <w:p>
          <w:pPr>
            <w:pStyle w:val="RJUST"/>
            <w:rPr/>
          </w:pPr>
          <w:r>
            <w:rPr>
              <w:rStyle w:val="NUM"/>
            </w:rPr>
            <w:t>104513</w:t>
          </w:r>
          <w:r>
            <w:rPr/>
            <w:t xml:space="preserve"> - </w:t>
          </w:r>
          <w:r>
            <w:rPr/>
            <w:fldChar w:fldCharType="begin"/>
          </w:r>
          <w:r>
            <w:rPr/>
            <w:instrText xml:space="preserve"> PAGE </w:instrText>
          </w:r>
          <w:r>
            <w:rPr/>
            <w:fldChar w:fldCharType="separate"/>
          </w:r>
          <w:r>
            <w:rPr/>
            <w:t>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104513"/>
    <w:docVar w:name="MF95" w:val="10142"/>
    <w:docVar w:name="MFOrigin" w:val="MF04"/>
    <w:docVar w:name="SpecType" w:val="MasterSpec"/>
    <w:docVar w:name="Version" w:val="1602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4513&amp;ver=06-01-21&amp;format=FL&amp;sid=16027&amp;utm_source=MasterSpec&amp;utm_medium=Word" TargetMode="External"/><Relationship Id="rId3" Type="http://schemas.openxmlformats.org/officeDocument/2006/relationships/hyperlink" Target="http://www.productmasterspec.com/construction_specifications?mf04=104513&amp;update=ms2022_3&amp;utm_source=MasterSpec&amp;utm_medium=Word"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specagent.com/LookUp/?ulid=12427&amp;mf=&amp;src=wd" TargetMode="External"/><Relationship Id="rId6" Type="http://schemas.openxmlformats.org/officeDocument/2006/relationships/hyperlink" Target="http://www.arcomnet.com/sustainable_design.aspx?topic=143" TargetMode="External"/><Relationship Id="rId7" Type="http://schemas.openxmlformats.org/officeDocument/2006/relationships/hyperlink" Target="http://www.arcomnet.com/sustainable_design.aspx?topic=140"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2022-09-26T02:30:00Z</dcterms:created>
  <dc:creator>Deltek, Inc.</dc:creator>
  <dc:description/>
  <cp:keywords>BAS-12345-MS80</cp:keywords>
  <dc:language>zh-CN</dc:language>
  <cp:lastModifiedBy>Janice Nacional</cp:lastModifiedBy>
  <dcterms:modified xsi:type="dcterms:W3CDTF">2022-09-26T02:30:00Z</dcterms:modified>
  <cp:revision>2</cp:revision>
  <dc:subject>PHOTOLUMINESCENT EGRESS PATH MARKINGS</dc:subject>
  <dc:title>SECTION 104513 - PHOTOLUMINESCENT EGRESS PATH MARKINGS</dc:title>
</cp:coreProperties>
</file>