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111313</w:t>
      </w:r>
      <w:r>
        <w:rPr/>
        <w:t xml:space="preserve"> - </w:t>
      </w:r>
      <w:r>
        <w:rPr>
          <w:rStyle w:val="NAM"/>
        </w:rPr>
        <w:t>LOADING DOCK BUMPERS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loading dock bumpers.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111319 "Stationary Loading Dock Equipment" for loading dock bumpers that are integral with dock levelers.</w:t>
      </w:r>
    </w:p>
    <w:p>
      <w:pPr>
        <w:pStyle w:val="ART"/>
        <w:numPr>
          <w:ilvl w:val="3"/>
          <w:numId w:val="1"/>
        </w:numPr>
        <w:ind w:hanging="0" w:left="0"/>
        <w:rPr/>
      </w:pPr>
      <w:r>
        <w:rPr/>
        <w:t>ACTION SUBMITTALS</w:t>
      </w:r>
    </w:p>
    <w:p>
      <w:pPr>
        <w:pStyle w:val="PR1"/>
        <w:numPr>
          <w:ilvl w:val="4"/>
          <w:numId w:val="1"/>
        </w:numPr>
        <w:ind w:hanging="0" w:left="0"/>
        <w:rPr/>
      </w:pPr>
      <w:r>
        <w:rPr/>
        <w:t>Product Data: For each type of loading dock bumper.</w:t>
      </w:r>
    </w:p>
    <w:p>
      <w:pPr>
        <w:pStyle w:val="PR1"/>
        <w:numPr>
          <w:ilvl w:val="4"/>
          <w:numId w:val="1"/>
        </w:numPr>
        <w:ind w:hanging="0" w:left="0"/>
        <w:rPr/>
      </w:pPr>
      <w:r>
        <w:rPr/>
        <w:t>Shop Drawings: For dock bumpers. Include plans, elevations, sections, and attachment details.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LOADING DOCK BUMPERS</w:t>
      </w:r>
    </w:p>
    <w:p>
      <w:pPr>
        <w:pStyle w:val="PR1"/>
        <w:numPr>
          <w:ilvl w:val="4"/>
          <w:numId w:val="1"/>
        </w:numPr>
        <w:ind w:hanging="0" w:left="0"/>
        <w:rPr/>
      </w:pPr>
      <w:r>
        <w:rPr/>
        <w:t>General: Surface-mounted bumpers; of type, size, and construction indicated; designed to absorb kinetic energy and minimize damage to loading dock structure.</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Source Limitations: Obtain from single source from single manufacturer.</w:t>
      </w:r>
    </w:p>
    <w:p>
      <w:pPr>
        <w:pStyle w:val="CMT"/>
        <w:rPr/>
      </w:pPr>
      <w:r>
        <w:rPr/>
        <w:t>Copy any of first four dock bumper paragraphs below and re-edit for each product.</w:t>
      </w:r>
    </w:p>
    <w:p>
      <w:pPr>
        <w:pStyle w:val="CMT"/>
        <w:rPr/>
      </w:pPr>
      <w:r>
        <w:rPr/>
        <w:t>Insert drawing designation. Use these designations on Drawings to identify each product.</w:t>
      </w:r>
    </w:p>
    <w:p>
      <w:pPr>
        <w:pStyle w:val="CMT"/>
        <w:rPr/>
      </w:pPr>
      <w:r>
        <w:rPr/>
        <w:t>Coordinate depth of dock bumpers with depth of dock seals and shelters.</w:t>
      </w:r>
    </w:p>
    <w:p>
      <w:pPr>
        <w:pStyle w:val="CMT"/>
        <w:rPr/>
      </w:pPr>
      <w:r>
        <w:rPr/>
        <w:t>Not all types of loading dock bumpers are available from all manufacturers. See the "Dock Bumper Table" Article in the Evaluations and verify with manufacturers.</w:t>
      </w:r>
    </w:p>
    <w:p>
      <w:pPr>
        <w:pStyle w:val="PR1"/>
        <w:numPr>
          <w:ilvl w:val="4"/>
          <w:numId w:val="1"/>
        </w:numPr>
        <w:ind w:hanging="0" w:left="0"/>
        <w:rPr/>
      </w:pPr>
      <w:r>
        <w:rPr/>
        <w:t>Laminated-Tread Loading Dock Bumper &lt;</w:t>
      </w:r>
      <w:r>
        <w:rPr>
          <w:b/>
        </w:rPr>
        <w:t>Insert drawing designation</w:t>
      </w:r>
      <w:r>
        <w:rPr/>
        <w:t xml:space="preserve">&gt;: Fabricated from multiple, uniformly thick plies cut from fabric-reinforced rubber tires. Laminate plies under pressure on not less than two </w:t>
      </w:r>
      <w:r>
        <w:rPr>
          <w:rStyle w:val="IP"/>
        </w:rPr>
        <w:t>3/4-inch-</w:t>
      </w:r>
      <w:r>
        <w:rPr>
          <w:rStyle w:val="SI"/>
        </w:rPr>
        <w:t xml:space="preserve"> (19-mm-)</w:t>
      </w:r>
      <w:r>
        <w:rPr/>
        <w:t xml:space="preserve"> diameter, steel supporting rods that are welded at one end to </w:t>
      </w:r>
      <w:r>
        <w:rPr>
          <w:rStyle w:val="IP"/>
        </w:rPr>
        <w:t>1/4-inch-</w:t>
      </w:r>
      <w:r>
        <w:rPr>
          <w:rStyle w:val="SI"/>
        </w:rPr>
        <w:t xml:space="preserve"> (6-mm-)</w:t>
      </w:r>
      <w:r>
        <w:rPr/>
        <w:t xml:space="preserve"> thick, structural-steel end angle and secured with a nut and angle at the other end. Fabricate angles with predrilled anchor holes and sized to provide not less than </w:t>
      </w:r>
      <w:r>
        <w:rPr>
          <w:rStyle w:val="IP"/>
        </w:rPr>
        <w:t>1 inch</w:t>
      </w:r>
      <w:r>
        <w:rPr>
          <w:rStyle w:val="SI"/>
        </w:rPr>
        <w:t xml:space="preserve"> (25 mm)</w:t>
      </w:r>
      <w:r>
        <w:rPr/>
        <w:t xml:space="preserve"> of tread plies extending beyond the face of closure angles.</w:t>
      </w:r>
    </w:p>
    <w:p>
      <w:pPr>
        <w:pStyle w:val="CMT"/>
        <w:rPr/>
      </w:pPr>
      <w:r>
        <w:rPr/>
        <w:t>Thicknesses of 9, 10-1/2, and 12 inches (229, 267, and 305 mm) are also available from some manufacturers.</w:t>
      </w:r>
    </w:p>
    <w:p>
      <w:pPr>
        <w:pStyle w:val="PR2"/>
        <w:numPr>
          <w:ilvl w:val="5"/>
          <w:numId w:val="1"/>
        </w:numPr>
        <w:spacing w:before="240" w:after="0"/>
        <w:ind w:hanging="0" w:left="0"/>
        <w:rPr/>
      </w:pPr>
      <w:r>
        <w:rPr/>
        <w:t>Thickness: [</w:t>
      </w:r>
      <w:r>
        <w:rPr>
          <w:rStyle w:val="IP"/>
          <w:b/>
        </w:rPr>
        <w:t>4-1/2 inches</w:t>
      </w:r>
      <w:r>
        <w:rPr>
          <w:rStyle w:val="SI"/>
          <w:b/>
        </w:rPr>
        <w:t xml:space="preserve"> (114 mm)</w:t>
      </w:r>
      <w:r>
        <w:rPr/>
        <w:t>] [</w:t>
      </w:r>
      <w:r>
        <w:rPr>
          <w:rStyle w:val="IP"/>
          <w:b/>
        </w:rPr>
        <w:t>6 inches</w:t>
      </w:r>
      <w:r>
        <w:rPr>
          <w:rStyle w:val="SI"/>
          <w:b/>
        </w:rPr>
        <w:t xml:space="preserve"> (152 mm)</w:t>
      </w:r>
      <w:r>
        <w:rPr/>
        <w:t>] [</w:t>
      </w:r>
      <w:r>
        <w:rPr>
          <w:b/>
        </w:rPr>
        <w:t>As indicated on Drawings</w:t>
      </w:r>
      <w:r>
        <w:rPr/>
        <w:t>] &lt;</w:t>
      </w:r>
      <w:r>
        <w:rPr>
          <w:b/>
        </w:rPr>
        <w:t>Insert dimension</w:t>
      </w:r>
      <w:r>
        <w:rPr/>
        <w:t>&gt;.</w:t>
      </w:r>
    </w:p>
    <w:p>
      <w:pPr>
        <w:pStyle w:val="PR2"/>
        <w:numPr>
          <w:ilvl w:val="5"/>
          <w:numId w:val="1"/>
        </w:numPr>
        <w:ind w:hanging="0" w:left="0"/>
        <w:rPr/>
      </w:pPr>
      <w:r>
        <w:rPr/>
        <w:t>Horizontal Style: [</w:t>
      </w:r>
      <w:r>
        <w:rPr>
          <w:rStyle w:val="IP"/>
          <w:b/>
        </w:rPr>
        <w:t>6 inches</w:t>
      </w:r>
      <w:r>
        <w:rPr>
          <w:rStyle w:val="SI"/>
          <w:b/>
        </w:rPr>
        <w:t xml:space="preserve"> (152 mm)</w:t>
      </w:r>
      <w:r>
        <w:rPr/>
        <w:t>] [</w:t>
      </w:r>
      <w:r>
        <w:rPr>
          <w:rStyle w:val="IP"/>
          <w:b/>
        </w:rPr>
        <w:t>10 inches</w:t>
      </w:r>
      <w:r>
        <w:rPr>
          <w:rStyle w:val="SI"/>
          <w:b/>
        </w:rPr>
        <w:t xml:space="preserve"> (250 mm)</w:t>
      </w:r>
      <w:r>
        <w:rPr/>
        <w:t>] [</w:t>
      </w:r>
      <w:r>
        <w:rPr>
          <w:rStyle w:val="IP"/>
          <w:b/>
        </w:rPr>
        <w:t>12 inches</w:t>
      </w:r>
      <w:r>
        <w:rPr>
          <w:rStyle w:val="SI"/>
          <w:b/>
        </w:rPr>
        <w:t xml:space="preserve"> (305 mm)</w:t>
      </w:r>
      <w:r>
        <w:rPr/>
        <w:t>] high by [</w:t>
      </w:r>
      <w:r>
        <w:rPr>
          <w:b/>
        </w:rPr>
        <w:t>length indicated on Drawings</w:t>
      </w:r>
      <w:r>
        <w:rPr/>
        <w:t>] &lt;</w:t>
      </w:r>
      <w:r>
        <w:rPr>
          <w:b/>
        </w:rPr>
        <w:t>Insert dimension</w:t>
      </w:r>
      <w:r>
        <w:rPr/>
        <w:t>&gt;.</w:t>
      </w:r>
    </w:p>
    <w:p>
      <w:pPr>
        <w:pStyle w:val="PR2"/>
        <w:numPr>
          <w:ilvl w:val="5"/>
          <w:numId w:val="1"/>
        </w:numPr>
        <w:ind w:hanging="0" w:left="0"/>
        <w:rPr/>
      </w:pPr>
      <w:r>
        <w:rPr/>
        <w:t xml:space="preserve">Vertical Style: </w:t>
      </w:r>
      <w:r>
        <w:rPr>
          <w:rStyle w:val="IP"/>
        </w:rPr>
        <w:t>8 inches</w:t>
      </w:r>
      <w:r>
        <w:rPr>
          <w:rStyle w:val="SI"/>
        </w:rPr>
        <w:t xml:space="preserve"> (203 mm)</w:t>
      </w:r>
      <w:r>
        <w:rPr/>
        <w:t xml:space="preserve"> wide by [</w:t>
      </w:r>
      <w:r>
        <w:rPr>
          <w:rStyle w:val="IP"/>
          <w:b/>
        </w:rPr>
        <w:t>20 inches</w:t>
      </w:r>
      <w:r>
        <w:rPr>
          <w:rStyle w:val="SI"/>
          <w:b/>
        </w:rPr>
        <w:t xml:space="preserve"> (508 mm)</w:t>
      </w:r>
      <w:r>
        <w:rPr>
          <w:b/>
        </w:rPr>
        <w:t xml:space="preserve"> high</w:t>
      </w:r>
      <w:r>
        <w:rPr/>
        <w:t>] [</w:t>
      </w:r>
      <w:r>
        <w:rPr>
          <w:rStyle w:val="IP"/>
          <w:b/>
        </w:rPr>
        <w:t>24 inches</w:t>
      </w:r>
      <w:r>
        <w:rPr>
          <w:rStyle w:val="SI"/>
          <w:b/>
        </w:rPr>
        <w:t xml:space="preserve"> (610 mm)</w:t>
      </w:r>
      <w:r>
        <w:rPr>
          <w:b/>
        </w:rPr>
        <w:t xml:space="preserve"> high</w:t>
      </w:r>
      <w:r>
        <w:rPr/>
        <w:t>] [</w:t>
      </w:r>
      <w:r>
        <w:rPr>
          <w:rStyle w:val="IP"/>
          <w:b/>
        </w:rPr>
        <w:t>36 inches</w:t>
      </w:r>
      <w:r>
        <w:rPr>
          <w:rStyle w:val="SI"/>
          <w:b/>
        </w:rPr>
        <w:t xml:space="preserve"> (914 mm)</w:t>
      </w:r>
      <w:r>
        <w:rPr>
          <w:b/>
        </w:rPr>
        <w:t xml:space="preserve"> high</w:t>
      </w:r>
      <w:r>
        <w:rPr/>
        <w:t>] [</w:t>
      </w:r>
      <w:r>
        <w:rPr>
          <w:b/>
        </w:rPr>
        <w:t>height indicated on Drawings</w:t>
      </w:r>
      <w:r>
        <w:rPr/>
        <w:t>] &lt;</w:t>
      </w:r>
      <w:r>
        <w:rPr>
          <w:b/>
        </w:rPr>
        <w:t>Insert dimension</w:t>
      </w:r>
      <w:r>
        <w:rPr/>
        <w:t>&gt;.</w:t>
      </w:r>
    </w:p>
    <w:p>
      <w:pPr>
        <w:pStyle w:val="PR1"/>
        <w:numPr>
          <w:ilvl w:val="4"/>
          <w:numId w:val="1"/>
        </w:numPr>
        <w:ind w:hanging="0" w:left="0"/>
        <w:rPr/>
      </w:pPr>
      <w:r>
        <w:rPr/>
        <w:t>Molded-Rubber Loading Dock Bumpers &lt;</w:t>
      </w:r>
      <w:r>
        <w:rPr>
          <w:b/>
        </w:rPr>
        <w:t>Insert drawing designation</w:t>
      </w:r>
      <w:r>
        <w:rPr/>
        <w:t>&gt;: Fabricated from molded-rubber compound reinforced with nylon, rayon, or polyester cord; with Shore A durometer hardness of 80, plus or minus 5, when tested according to ASTM D2240; of size and configuration indicated. Fabricate units with not less than two predrilled anchor holes.</w:t>
      </w:r>
    </w:p>
    <w:p>
      <w:pPr>
        <w:pStyle w:val="PR2"/>
        <w:numPr>
          <w:ilvl w:val="5"/>
          <w:numId w:val="1"/>
        </w:numPr>
        <w:spacing w:before="240" w:after="0"/>
        <w:ind w:hanging="0" w:left="0"/>
        <w:rPr/>
      </w:pPr>
      <w:r>
        <w:rPr/>
        <w:t>Configuration: [</w:t>
      </w:r>
      <w:r>
        <w:rPr>
          <w:b/>
        </w:rPr>
        <w:t>T shape</w:t>
      </w:r>
      <w:r>
        <w:rPr/>
        <w:t>] [</w:t>
      </w:r>
      <w:r>
        <w:rPr>
          <w:b/>
        </w:rPr>
        <w:t>Inverted-L shape</w:t>
      </w:r>
      <w:r>
        <w:rPr/>
        <w:t>] [</w:t>
      </w:r>
      <w:r>
        <w:rPr>
          <w:b/>
        </w:rPr>
        <w:t>Square</w:t>
      </w:r>
      <w:r>
        <w:rPr/>
        <w:t>] [</w:t>
      </w:r>
      <w:r>
        <w:rPr>
          <w:b/>
        </w:rPr>
        <w:t>Rectangular</w:t>
      </w:r>
      <w:r>
        <w:rPr/>
        <w:t>] [</w:t>
      </w:r>
      <w:r>
        <w:rPr>
          <w:b/>
        </w:rPr>
        <w:t>As indicated on Drawings</w:t>
      </w:r>
      <w:r>
        <w:rPr/>
        <w:t>] &lt;</w:t>
      </w:r>
      <w:r>
        <w:rPr>
          <w:b/>
        </w:rPr>
        <w:t>Insert configuration</w:t>
      </w:r>
      <w:r>
        <w:rPr/>
        <w:t>&gt;.</w:t>
      </w:r>
    </w:p>
    <w:p>
      <w:pPr>
        <w:pStyle w:val="PR2"/>
        <w:numPr>
          <w:ilvl w:val="5"/>
          <w:numId w:val="1"/>
        </w:numPr>
        <w:ind w:hanging="0" w:left="0"/>
        <w:rPr/>
      </w:pPr>
      <w:r>
        <w:rPr/>
        <w:t>Thickness: [</w:t>
      </w:r>
      <w:r>
        <w:rPr>
          <w:rStyle w:val="IP"/>
          <w:b/>
        </w:rPr>
        <w:t>2 inches</w:t>
      </w:r>
      <w:r>
        <w:rPr>
          <w:rStyle w:val="SI"/>
          <w:b/>
        </w:rPr>
        <w:t xml:space="preserve"> (50 mm)</w:t>
      </w:r>
      <w:r>
        <w:rPr/>
        <w:t>] [</w:t>
      </w:r>
      <w:r>
        <w:rPr>
          <w:rStyle w:val="IP"/>
          <w:b/>
        </w:rPr>
        <w:t>3 inches</w:t>
      </w:r>
      <w:r>
        <w:rPr>
          <w:rStyle w:val="SI"/>
          <w:b/>
        </w:rPr>
        <w:t xml:space="preserve"> (76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b/>
        </w:rPr>
        <w:t>As indicated on Drawings</w:t>
      </w:r>
      <w:r>
        <w:rPr/>
        <w:t>] &lt;</w:t>
      </w:r>
      <w:r>
        <w:rPr>
          <w:b/>
        </w:rPr>
        <w:t>Insert dimension</w:t>
      </w:r>
      <w:r>
        <w:rPr/>
        <w:t>&gt;.</w:t>
      </w:r>
    </w:p>
    <w:p>
      <w:pPr>
        <w:pStyle w:val="PR1"/>
        <w:numPr>
          <w:ilvl w:val="4"/>
          <w:numId w:val="1"/>
        </w:numPr>
        <w:ind w:hanging="0" w:left="0"/>
        <w:rPr/>
      </w:pPr>
      <w:r>
        <w:rPr/>
        <w:t>Extruded-Rubber Loading Dock Bumpers &lt;</w:t>
      </w:r>
      <w:r>
        <w:rPr>
          <w:b/>
        </w:rPr>
        <w:t>Insert drawing designation</w:t>
      </w:r>
      <w:r>
        <w:rPr/>
        <w:t>&gt;: Fabricated from ASTM D2000, extruded synthetic rubber with Shore A durometer hardness of 75, plus or minus 5, when tested according to ASTM D2240; of size and configuration indicated. Furnish units with predrilled anchor holes and concealed, flat, steel mounting bar.</w:t>
      </w:r>
    </w:p>
    <w:p>
      <w:pPr>
        <w:pStyle w:val="PR2"/>
        <w:numPr>
          <w:ilvl w:val="5"/>
          <w:numId w:val="1"/>
        </w:numPr>
        <w:spacing w:before="240" w:after="0"/>
        <w:ind w:hanging="0" w:left="0"/>
        <w:rPr/>
      </w:pPr>
      <w:r>
        <w:rPr/>
        <w:t>Configuration: [</w:t>
      </w:r>
      <w:r>
        <w:rPr>
          <w:b/>
        </w:rPr>
        <w:t xml:space="preserve">Flat or ribbed, with </w:t>
      </w:r>
      <w:r>
        <w:rPr>
          <w:rStyle w:val="IP"/>
          <w:b/>
        </w:rPr>
        <w:t>2-inch</w:t>
      </w:r>
      <w:r>
        <w:rPr>
          <w:rStyle w:val="SI"/>
          <w:b/>
        </w:rPr>
        <w:t xml:space="preserve"> (50-mm)</w:t>
      </w:r>
      <w:r>
        <w:rPr>
          <w:b/>
        </w:rPr>
        <w:t xml:space="preserve"> nominal thickness and </w:t>
      </w:r>
      <w:r>
        <w:rPr>
          <w:rStyle w:val="IP"/>
          <w:b/>
        </w:rPr>
        <w:t>9-inch</w:t>
      </w:r>
      <w:r>
        <w:rPr>
          <w:rStyle w:val="SI"/>
          <w:b/>
        </w:rPr>
        <w:t xml:space="preserve"> (229-mm)</w:t>
      </w:r>
      <w:r>
        <w:rPr>
          <w:b/>
        </w:rPr>
        <w:t xml:space="preserve"> height</w:t>
      </w:r>
      <w:r>
        <w:rPr/>
        <w:t>] [</w:t>
      </w:r>
      <w:r>
        <w:rPr>
          <w:rStyle w:val="IP"/>
          <w:b/>
        </w:rPr>
        <w:t>4-1/2-inch-</w:t>
      </w:r>
      <w:r>
        <w:rPr>
          <w:rStyle w:val="SI"/>
          <w:b/>
        </w:rPr>
        <w:t xml:space="preserve"> (114-mm-)</w:t>
      </w:r>
      <w:r>
        <w:rPr>
          <w:b/>
        </w:rPr>
        <w:t xml:space="preserve"> wide base and </w:t>
      </w:r>
      <w:r>
        <w:rPr>
          <w:rStyle w:val="IP"/>
          <w:b/>
        </w:rPr>
        <w:t>4-inch</w:t>
      </w:r>
      <w:r>
        <w:rPr>
          <w:rStyle w:val="SI"/>
          <w:b/>
        </w:rPr>
        <w:t xml:space="preserve"> (102-mm)</w:t>
      </w:r>
      <w:r>
        <w:rPr>
          <w:b/>
        </w:rPr>
        <w:t xml:space="preserve"> depth with half-oval shape that compresses and returns to original shape</w:t>
      </w:r>
      <w:r>
        <w:rPr/>
        <w:t>] [</w:t>
      </w:r>
      <w:r>
        <w:rPr>
          <w:b/>
        </w:rPr>
        <w:t>As indicated on Drawings</w:t>
      </w:r>
      <w:r>
        <w:rPr/>
        <w:t>] &lt;</w:t>
      </w:r>
      <w:r>
        <w:rPr>
          <w:b/>
        </w:rPr>
        <w:t>Insert configuration</w:t>
      </w:r>
      <w:r>
        <w:rPr/>
        <w:t>&gt;.</w:t>
      </w:r>
    </w:p>
    <w:p>
      <w:pPr>
        <w:pStyle w:val="PR1"/>
        <w:numPr>
          <w:ilvl w:val="4"/>
          <w:numId w:val="1"/>
        </w:numPr>
        <w:ind w:hanging="0" w:left="0"/>
        <w:rPr/>
      </w:pPr>
      <w:r>
        <w:rPr/>
        <w:t>Steel-Face, Laminated-Tread Loading Dock Bumpers &lt;</w:t>
      </w:r>
      <w:r>
        <w:rPr>
          <w:b/>
        </w:rPr>
        <w:t>Insert drawing designation</w:t>
      </w:r>
      <w:r>
        <w:rPr/>
        <w:t xml:space="preserve">&gt;: Fabricated from multiple, uniformly thick plies cut from fabric-reinforced rubber tires and with </w:t>
      </w:r>
      <w:r>
        <w:rPr>
          <w:rStyle w:val="IP"/>
        </w:rPr>
        <w:t>3/8-inch</w:t>
      </w:r>
      <w:r>
        <w:rPr>
          <w:rStyle w:val="SI"/>
        </w:rPr>
        <w:t xml:space="preserve"> (9.5-mm)</w:t>
      </w:r>
      <w:r>
        <w:rPr/>
        <w:t xml:space="preserve"> steel faceplate of same size as rubber surface. Laminate plies under pressure on not less than two </w:t>
      </w:r>
      <w:r>
        <w:rPr>
          <w:rStyle w:val="IP"/>
        </w:rPr>
        <w:t>3/4-inch-</w:t>
      </w:r>
      <w:r>
        <w:rPr>
          <w:rStyle w:val="SI"/>
        </w:rPr>
        <w:t xml:space="preserve"> (19-mm-)</w:t>
      </w:r>
      <w:r>
        <w:rPr/>
        <w:t xml:space="preserve"> diameter, steel supporting rods that are welded at one end to </w:t>
      </w:r>
      <w:r>
        <w:rPr>
          <w:rStyle w:val="IP"/>
        </w:rPr>
        <w:t>1/4-inch-</w:t>
      </w:r>
      <w:r>
        <w:rPr>
          <w:rStyle w:val="SI"/>
        </w:rPr>
        <w:t xml:space="preserve"> (6-mm-)</w:t>
      </w:r>
      <w:r>
        <w:rPr/>
        <w:t xml:space="preserve"> thick, structural-steel end angle and secured with a nut and angle at the other end. Fabricate angles with predrilled anchor holes and sized to provide not less than </w:t>
      </w:r>
      <w:r>
        <w:rPr>
          <w:rStyle w:val="IP"/>
        </w:rPr>
        <w:t>1 inch</w:t>
      </w:r>
      <w:r>
        <w:rPr>
          <w:rStyle w:val="SI"/>
        </w:rPr>
        <w:t xml:space="preserve"> (25 mm)</w:t>
      </w:r>
      <w:r>
        <w:rPr/>
        <w:t xml:space="preserve"> of tread plies extending beyond the face of closure angles. Weld faceplate to two steel support brackets, which shall extend back to and engage </w:t>
      </w:r>
      <w:r>
        <w:rPr>
          <w:rStyle w:val="IP"/>
        </w:rPr>
        <w:t>3/4-inch-</w:t>
      </w:r>
      <w:r>
        <w:rPr>
          <w:rStyle w:val="SI"/>
        </w:rPr>
        <w:t xml:space="preserve"> (19-mm-)</w:t>
      </w:r>
      <w:r>
        <w:rPr/>
        <w:t xml:space="preserve"> diameter support rods in elongated holes, allowing steel face to float on impact.</w:t>
      </w:r>
    </w:p>
    <w:p>
      <w:pPr>
        <w:pStyle w:val="PR2"/>
        <w:numPr>
          <w:ilvl w:val="5"/>
          <w:numId w:val="1"/>
        </w:numPr>
        <w:spacing w:before="240" w:after="0"/>
        <w:ind w:hanging="0" w:left="0"/>
        <w:rPr/>
      </w:pPr>
      <w:r>
        <w:rPr/>
        <w:t>Thickness: [</w:t>
      </w:r>
      <w:r>
        <w:rPr>
          <w:rStyle w:val="IP"/>
          <w:b/>
        </w:rPr>
        <w:t>4-1/2 inches</w:t>
      </w:r>
      <w:r>
        <w:rPr>
          <w:rStyle w:val="SI"/>
          <w:b/>
        </w:rPr>
        <w:t xml:space="preserve"> (114 mm)</w:t>
      </w:r>
      <w:r>
        <w:rPr/>
        <w:t>] [</w:t>
      </w:r>
      <w:r>
        <w:rPr>
          <w:rStyle w:val="IP"/>
          <w:b/>
        </w:rPr>
        <w:t>6 inches</w:t>
      </w:r>
      <w:r>
        <w:rPr>
          <w:rStyle w:val="SI"/>
          <w:b/>
        </w:rPr>
        <w:t xml:space="preserve"> (152 mm)</w:t>
      </w:r>
      <w:r>
        <w:rPr/>
        <w:t>] [</w:t>
      </w:r>
      <w:r>
        <w:rPr>
          <w:b/>
        </w:rPr>
        <w:t>As indicated on Drawings</w:t>
      </w:r>
      <w:r>
        <w:rPr/>
        <w:t>] &lt;</w:t>
      </w:r>
      <w:r>
        <w:rPr>
          <w:b/>
        </w:rPr>
        <w:t>Insert dimension</w:t>
      </w:r>
      <w:r>
        <w:rPr/>
        <w:t>&gt;.</w:t>
      </w:r>
    </w:p>
    <w:p>
      <w:pPr>
        <w:pStyle w:val="PR2"/>
        <w:numPr>
          <w:ilvl w:val="5"/>
          <w:numId w:val="1"/>
        </w:numPr>
        <w:ind w:hanging="0" w:left="0"/>
        <w:rPr/>
      </w:pPr>
      <w:r>
        <w:rPr/>
        <w:t>Horizontal Style: [</w:t>
      </w:r>
      <w:r>
        <w:rPr>
          <w:rStyle w:val="IP"/>
          <w:b/>
        </w:rPr>
        <w:t>6 inches</w:t>
      </w:r>
      <w:r>
        <w:rPr>
          <w:rStyle w:val="SI"/>
          <w:b/>
        </w:rPr>
        <w:t xml:space="preserve"> (152 mm)</w:t>
      </w:r>
      <w:r>
        <w:rPr/>
        <w:t>] [</w:t>
      </w:r>
      <w:r>
        <w:rPr>
          <w:rStyle w:val="IP"/>
          <w:b/>
        </w:rPr>
        <w:t>10 inches</w:t>
      </w:r>
      <w:r>
        <w:rPr>
          <w:rStyle w:val="SI"/>
          <w:b/>
        </w:rPr>
        <w:t xml:space="preserve"> (250 mm)</w:t>
      </w:r>
      <w:r>
        <w:rPr/>
        <w:t>] [</w:t>
      </w:r>
      <w:r>
        <w:rPr>
          <w:rStyle w:val="IP"/>
          <w:b/>
        </w:rPr>
        <w:t>12 inches</w:t>
      </w:r>
      <w:r>
        <w:rPr>
          <w:rStyle w:val="SI"/>
          <w:b/>
        </w:rPr>
        <w:t xml:space="preserve"> (305 mm)</w:t>
      </w:r>
      <w:r>
        <w:rPr/>
        <w:t>] high by [</w:t>
      </w:r>
      <w:r>
        <w:rPr>
          <w:b/>
        </w:rPr>
        <w:t>length indicated on Drawings</w:t>
      </w:r>
      <w:r>
        <w:rPr/>
        <w:t>] &lt;</w:t>
      </w:r>
      <w:r>
        <w:rPr>
          <w:b/>
        </w:rPr>
        <w:t>Insert dimension</w:t>
      </w:r>
      <w:r>
        <w:rPr/>
        <w:t>&gt;.</w:t>
      </w:r>
    </w:p>
    <w:p>
      <w:pPr>
        <w:pStyle w:val="PR2"/>
        <w:numPr>
          <w:ilvl w:val="5"/>
          <w:numId w:val="1"/>
        </w:numPr>
        <w:ind w:hanging="0" w:left="0"/>
        <w:rPr/>
      </w:pPr>
      <w:r>
        <w:rPr/>
        <w:t xml:space="preserve">Vertical Style: </w:t>
      </w:r>
      <w:r>
        <w:rPr>
          <w:rStyle w:val="IP"/>
        </w:rPr>
        <w:t>8 inches</w:t>
      </w:r>
      <w:r>
        <w:rPr>
          <w:rStyle w:val="SI"/>
        </w:rPr>
        <w:t xml:space="preserve"> (203 mm)</w:t>
      </w:r>
      <w:r>
        <w:rPr/>
        <w:t xml:space="preserve"> wide by [</w:t>
      </w:r>
      <w:r>
        <w:rPr>
          <w:rStyle w:val="IP"/>
          <w:b/>
        </w:rPr>
        <w:t>20 inches</w:t>
      </w:r>
      <w:r>
        <w:rPr>
          <w:rStyle w:val="SI"/>
          <w:b/>
        </w:rPr>
        <w:t xml:space="preserve"> (508 mm)</w:t>
      </w:r>
      <w:r>
        <w:rPr>
          <w:b/>
        </w:rPr>
        <w:t xml:space="preserve"> high</w:t>
      </w:r>
      <w:r>
        <w:rPr/>
        <w:t>] [</w:t>
      </w:r>
      <w:r>
        <w:rPr>
          <w:rStyle w:val="IP"/>
          <w:b/>
        </w:rPr>
        <w:t>24 inches</w:t>
      </w:r>
      <w:r>
        <w:rPr>
          <w:rStyle w:val="SI"/>
          <w:b/>
        </w:rPr>
        <w:t xml:space="preserve"> (610 mm)</w:t>
      </w:r>
      <w:r>
        <w:rPr>
          <w:b/>
        </w:rPr>
        <w:t xml:space="preserve"> high</w:t>
      </w:r>
      <w:r>
        <w:rPr/>
        <w:t>] [</w:t>
      </w:r>
      <w:r>
        <w:rPr>
          <w:rStyle w:val="IP"/>
          <w:b/>
        </w:rPr>
        <w:t>36 inches</w:t>
      </w:r>
      <w:r>
        <w:rPr>
          <w:rStyle w:val="SI"/>
          <w:b/>
        </w:rPr>
        <w:t xml:space="preserve"> (914 mm)</w:t>
      </w:r>
      <w:r>
        <w:rPr>
          <w:b/>
        </w:rPr>
        <w:t xml:space="preserve"> high</w:t>
      </w:r>
      <w:r>
        <w:rPr/>
        <w:t>] [</w:t>
      </w:r>
      <w:r>
        <w:rPr>
          <w:b/>
        </w:rPr>
        <w:t>height indicated on Drawings</w:t>
      </w:r>
      <w:r>
        <w:rPr/>
        <w:t>] &lt;</w:t>
      </w:r>
      <w:r>
        <w:rPr>
          <w:b/>
        </w:rPr>
        <w:t>Insert dimension</w:t>
      </w:r>
      <w:r>
        <w:rPr/>
        <w:t>&gt;.</w:t>
      </w:r>
    </w:p>
    <w:p>
      <w:pPr>
        <w:pStyle w:val="CMT"/>
        <w:rPr/>
      </w:pPr>
      <w:r>
        <w:rPr/>
        <w:t>Usually, retain "Anchorage Devices" Paragraph below for dock bumpers. Delete if an all-welded attachment method suits product(s) and Project.</w:t>
      </w:r>
    </w:p>
    <w:p>
      <w:pPr>
        <w:pStyle w:val="PR1"/>
        <w:numPr>
          <w:ilvl w:val="4"/>
          <w:numId w:val="1"/>
        </w:numPr>
        <w:ind w:hanging="0" w:left="0"/>
        <w:rPr/>
      </w:pPr>
      <w:r>
        <w:rPr/>
        <w:t>Anchorage Devices: Galvanized-steel anchor bolts, nuts, washers, bolts, sleeves, cast-in-place plates, and other anchorage devices as required to fasten bumpers securely in place and to suit installation type indicated. Hot-dip galvanized according to ASTM A153/A153M or ASTM F2329/F2329M.</w:t>
      </w:r>
    </w:p>
    <w:p>
      <w:pPr>
        <w:pStyle w:val="PR1"/>
        <w:numPr>
          <w:ilvl w:val="4"/>
          <w:numId w:val="1"/>
        </w:numPr>
        <w:ind w:hanging="0" w:left="0"/>
        <w:rPr/>
      </w:pPr>
      <w:r>
        <w:rPr/>
        <w:t>Materials: ASTM A36/A36M for steel plates, shapes, and bars. Hot-dip galvanize according to ASTM A123/A123M.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Loading Dock Bumpers: Attach loading dock bumpers to face of loading dock in a manner that complies with requirements indicated for spacing, arrangement, and position relative to top of platform and anchorage.</w:t>
      </w:r>
    </w:p>
    <w:p>
      <w:pPr>
        <w:pStyle w:val="CMT"/>
        <w:rPr/>
      </w:pPr>
      <w:r>
        <w:rPr/>
        <w:t>"Welded Attachment" Subparagraph below is inapplicable to molded- or extruded-rubber loading dock bumpers.</w:t>
      </w:r>
    </w:p>
    <w:p>
      <w:pPr>
        <w:pStyle w:val="PR2"/>
        <w:numPr>
          <w:ilvl w:val="5"/>
          <w:numId w:val="1"/>
        </w:numPr>
        <w:spacing w:before="240" w:after="0"/>
        <w:ind w:hanging="0" w:left="0"/>
        <w:rPr/>
      </w:pPr>
      <w:r>
        <w:rPr/>
        <w:t>Welded Attachment: Plug-weld anchor holes in contact with steel inserts and fillet weld at other locations.</w:t>
      </w:r>
    </w:p>
    <w:p>
      <w:pPr>
        <w:pStyle w:val="PR2"/>
        <w:numPr>
          <w:ilvl w:val="5"/>
          <w:numId w:val="1"/>
        </w:numPr>
        <w:ind w:hanging="0" w:left="0"/>
        <w:rPr/>
      </w:pPr>
      <w:r>
        <w:rPr/>
        <w:t>Bolted Attachment: Attach dock bumpers to preset anchor bolts embedded in concrete or to cast-in-place inserts or threaded studs welded to embedded-steel plates or angles. If preset anchor bolts, cast-in-place inserts, or threaded studs welded to embedded-steel plates or angles are not provided, attach dock bumpers by drilling and anchoring with expansion anchors and bolts.</w:t>
      </w:r>
    </w:p>
    <w:p>
      <w:pPr>
        <w:pStyle w:val="PR2"/>
        <w:numPr>
          <w:ilvl w:val="5"/>
          <w:numId w:val="1"/>
        </w:numPr>
        <w:ind w:hanging="0" w:left="0"/>
        <w:rPr/>
      </w:pPr>
      <w:r>
        <w:rPr/>
        <w:t>Screw Attachment: Attach dock bumpers to wood construction with lag bolts as indicated.</w:t>
      </w:r>
    </w:p>
    <w:p>
      <w:pPr>
        <w:pStyle w:val="ART"/>
        <w:numPr>
          <w:ilvl w:val="3"/>
          <w:numId w:val="1"/>
        </w:numPr>
        <w:ind w:hanging="0" w:left="0"/>
        <w:rPr/>
      </w:pPr>
      <w:r>
        <w:rPr/>
        <w:t>ADJUSTING</w:t>
      </w:r>
    </w:p>
    <w:p>
      <w:pPr>
        <w:pStyle w:val="PR1"/>
        <w:numPr>
          <w:ilvl w:val="4"/>
          <w:numId w:val="1"/>
        </w:numPr>
        <w:ind w:hanging="0" w:left="0"/>
        <w:rPr/>
      </w:pPr>
      <w:r>
        <w:rPr/>
        <w:t>After completing installation of exposed, factory-finished dock bumpers, inspect exposed finishes and repair damaged finishes.</w:t>
      </w:r>
    </w:p>
    <w:p>
      <w:pPr>
        <w:pStyle w:val="EOS"/>
        <w:rPr/>
      </w:pPr>
      <w:r>
        <w:rPr/>
        <w:t>END OF SECTION 111313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LOADING DOCK BUMPERS</w:t>
          </w:r>
        </w:p>
      </w:tc>
      <w:tc>
        <w:tcPr>
          <w:tcW w:w="1872" w:type="dxa"/>
          <w:tcBorders/>
        </w:tcPr>
        <w:p>
          <w:pPr>
            <w:pStyle w:val="RJUST"/>
            <w:rPr/>
          </w:pPr>
          <w:r>
            <w:rPr>
              <w:rStyle w:val="NUM"/>
            </w:rPr>
            <w:t>111313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111313"/>
    <w:docVar w:name="MF95" w:val="11161"/>
    <w:docVar w:name="MFOrigin" w:val="MF04"/>
    <w:docVar w:name="SectionID" w:val="1784"/>
    <w:docVar w:name="SpecType" w:val="MasterSpec"/>
    <w:docVar w:name="Version" w:val="128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1313&amp;ver=09-01-17&amp;format=FL&amp;sid=12849&amp;utm_source=MasterSpec&amp;utm_medium=Word" TargetMode="External"/><Relationship Id="rId3" Type="http://schemas.openxmlformats.org/officeDocument/2006/relationships/hyperlink" Target="http://www.specagent.com/LookUp/?ulid=9076&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2022-09-26T02:34:00Z</dcterms:created>
  <dc:creator>Deltek, Inc.</dc:creator>
  <dc:description/>
  <cp:keywords>BAS-12345-MS80</cp:keywords>
  <dc:language>zh-CN</dc:language>
  <cp:lastModifiedBy>Janice Nacional</cp:lastModifiedBy>
  <dcterms:modified xsi:type="dcterms:W3CDTF">2022-09-26T02:34:00Z</dcterms:modified>
  <cp:revision>2</cp:revision>
  <dc:subject>LOADING DOCK BUMPERS</dc:subject>
  <dc:title>SECTION 111313 - LOADING DOCK BUMPERS</dc:title>
</cp:coreProperties>
</file>