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122416</w:t>
      </w:r>
      <w:r>
        <w:rPr/>
        <w:t xml:space="preserve"> - </w:t>
      </w:r>
      <w:r>
        <w:rPr>
          <w:rStyle w:val="NAM"/>
        </w:rPr>
        <w:t>PLEATED WINDOW SHADES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Z-pleated shades.</w:t>
      </w:r>
    </w:p>
    <w:p>
      <w:pPr>
        <w:pStyle w:val="PR2"/>
        <w:numPr>
          <w:ilvl w:val="5"/>
          <w:numId w:val="1"/>
        </w:numPr>
        <w:rPr/>
      </w:pPr>
      <w:r>
        <w:rPr/>
        <w:t>Cellular pleated shades.</w:t>
      </w:r>
    </w:p>
    <w:p>
      <w:pPr>
        <w:pStyle w:val="PR2"/>
        <w:numPr>
          <w:ilvl w:val="5"/>
          <w:numId w:val="1"/>
        </w:numPr>
        <w:rPr/>
      </w:pPr>
      <w:r>
        <w:rPr/>
        <w:t>Motorized operators.</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061000 "Rough Carpentry" for wood blocking and grounds for mounting pleated shades and accessories.</w:t>
      </w:r>
    </w:p>
    <w:p>
      <w:pPr>
        <w:pStyle w:val="ART"/>
        <w:numPr>
          <w:ilvl w:val="3"/>
          <w:numId w:val="1"/>
        </w:numPr>
        <w:ind w:hanging="0" w:left="0"/>
        <w:rPr/>
      </w:pPr>
      <w:r>
        <w:rPr/>
        <w:t>ALLOWANCES</w:t>
      </w:r>
    </w:p>
    <w:p>
      <w:pPr>
        <w:pStyle w:val="CMT"/>
        <w:rPr/>
      </w:pPr>
      <w:r>
        <w:rPr/>
        <w:t>Retain products and Work included in this Section that are covered by cash or quantity allowance. Do not include amounts. Insert descriptions of items in Part 2 or 3 to provide information affecting the cost of the Work that is not included under the allowance.</w:t>
      </w:r>
    </w:p>
    <w:p>
      <w:pPr>
        <w:pStyle w:val="PR1"/>
        <w:numPr>
          <w:ilvl w:val="4"/>
          <w:numId w:val="1"/>
        </w:numPr>
        <w:rPr/>
      </w:pPr>
      <w:r>
        <w:rPr/>
        <w:t>Pleated shades are part of [</w:t>
      </w:r>
      <w:r>
        <w:rPr>
          <w:b/>
        </w:rPr>
        <w:t>Window-Covering Allowance</w:t>
      </w:r>
      <w:r>
        <w:rPr/>
        <w:t>] &lt;</w:t>
      </w:r>
      <w:r>
        <w:rPr>
          <w:b/>
        </w:rPr>
        <w:t>Insert name of allowance</w:t>
      </w:r>
      <w:r>
        <w:rPr/>
        <w:t>&gt;.</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1"/>
        <w:numPr>
          <w:ilvl w:val="4"/>
          <w:numId w:val="1"/>
        </w:numPr>
        <w:rPr/>
      </w:pPr>
      <w:r>
        <w:rPr/>
        <w:t>Shop Drawings: Show fabrication and installation details for pleated shades.</w:t>
      </w:r>
    </w:p>
    <w:p>
      <w:pPr>
        <w:pStyle w:val="PR2"/>
        <w:numPr>
          <w:ilvl w:val="5"/>
          <w:numId w:val="1"/>
        </w:numPr>
        <w:spacing w:before="240" w:after="0"/>
        <w:rPr/>
      </w:pPr>
      <w:r>
        <w:rPr/>
        <w:t>Motorized Operators: Include details of installation and diagrams for power, signal, and control wiring.</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 xml:space="preserve">Samples: For each exposed product and for each color and texture specified, </w:t>
      </w:r>
      <w:r>
        <w:rPr>
          <w:rStyle w:val="IP"/>
        </w:rPr>
        <w:t>10 inches</w:t>
      </w:r>
      <w:r>
        <w:rPr>
          <w:rStyle w:val="SI"/>
        </w:rPr>
        <w:t xml:space="preserve"> (250 mm)</w:t>
      </w:r>
      <w:r>
        <w:rPr/>
        <w:t xml:space="preserve"> long.</w:t>
      </w:r>
    </w:p>
    <w:p>
      <w:pPr>
        <w:pStyle w:val="PR1"/>
        <w:numPr>
          <w:ilvl w:val="4"/>
          <w:numId w:val="1"/>
        </w:numPr>
        <w:rPr/>
      </w:pPr>
      <w:r>
        <w:rPr/>
        <w:t>Samples for Initial Selection: For each type of pleated shade.</w:t>
      </w:r>
    </w:p>
    <w:p>
      <w:pPr>
        <w:pStyle w:val="PR2"/>
        <w:numPr>
          <w:ilvl w:val="5"/>
          <w:numId w:val="1"/>
        </w:numPr>
        <w:spacing w:before="240" w:after="0"/>
        <w:rPr/>
      </w:pPr>
      <w:r>
        <w:rPr/>
        <w:t>Include Samples of accessories involving color selection.</w:t>
      </w:r>
    </w:p>
    <w:p>
      <w:pPr>
        <w:pStyle w:val="PR1"/>
        <w:numPr>
          <w:ilvl w:val="4"/>
          <w:numId w:val="1"/>
        </w:numPr>
        <w:rPr/>
      </w:pPr>
      <w:r>
        <w:rPr/>
        <w:t>Samples for Verification: For each type of pleated shade.</w:t>
      </w:r>
    </w:p>
    <w:p>
      <w:pPr>
        <w:pStyle w:val="PR2"/>
        <w:numPr>
          <w:ilvl w:val="5"/>
          <w:numId w:val="1"/>
        </w:numPr>
        <w:spacing w:before="240" w:after="0"/>
        <w:rPr/>
      </w:pPr>
      <w:r>
        <w:rPr/>
        <w:t xml:space="preserve">Shade Fabric: Not less than </w:t>
      </w:r>
      <w:r>
        <w:rPr>
          <w:rStyle w:val="IP"/>
        </w:rPr>
        <w:t>3 inches</w:t>
      </w:r>
      <w:r>
        <w:rPr>
          <w:rStyle w:val="SI"/>
        </w:rPr>
        <w:t xml:space="preserve"> (76 mm)</w:t>
      </w:r>
      <w:r>
        <w:rPr/>
        <w:t xml:space="preserve"> square, with specified treatments applied. Mark interior face of material.</w:t>
      </w:r>
    </w:p>
    <w:p>
      <w:pPr>
        <w:pStyle w:val="PR2"/>
        <w:numPr>
          <w:ilvl w:val="5"/>
          <w:numId w:val="1"/>
        </w:numPr>
        <w:rPr/>
      </w:pPr>
      <w:r>
        <w:rPr/>
        <w:t xml:space="preserve">Pleated Shade: Complete, full-size operating unit not less than </w:t>
      </w:r>
      <w:r>
        <w:rPr>
          <w:rStyle w:val="IP"/>
        </w:rPr>
        <w:t>16 inches</w:t>
      </w:r>
      <w:r>
        <w:rPr>
          <w:rStyle w:val="SI"/>
        </w:rPr>
        <w:t xml:space="preserve"> (400 mm)</w:t>
      </w:r>
      <w:r>
        <w:rPr/>
        <w:t xml:space="preserve"> wide by </w:t>
      </w:r>
      <w:r>
        <w:rPr>
          <w:rStyle w:val="IP"/>
        </w:rPr>
        <w:t>24 inches</w:t>
      </w:r>
      <w:r>
        <w:rPr>
          <w:rStyle w:val="SI"/>
        </w:rPr>
        <w:t xml:space="preserve"> (600 mm)</w:t>
      </w:r>
      <w:r>
        <w:rPr/>
        <w:t xml:space="preserve"> long for each type of shade indicated.</w:t>
      </w:r>
    </w:p>
    <w:p>
      <w:pPr>
        <w:pStyle w:val="PR2"/>
        <w:numPr>
          <w:ilvl w:val="5"/>
          <w:numId w:val="1"/>
        </w:numPr>
        <w:rPr/>
      </w:pPr>
      <w:r>
        <w:rPr/>
        <w:t xml:space="preserve">Valance: Full-size unit, not less than </w:t>
      </w:r>
      <w:r>
        <w:rPr>
          <w:rStyle w:val="IP"/>
        </w:rPr>
        <w:t>10 inches</w:t>
      </w:r>
      <w:r>
        <w:rPr>
          <w:rStyle w:val="SI"/>
        </w:rPr>
        <w:t xml:space="preserve"> (250 mm)</w:t>
      </w:r>
      <w:r>
        <w:rPr/>
        <w:t xml:space="preserve"> wide.</w:t>
      </w:r>
    </w:p>
    <w:p>
      <w:pPr>
        <w:pStyle w:val="PR1"/>
        <w:numPr>
          <w:ilvl w:val="4"/>
          <w:numId w:val="1"/>
        </w:numPr>
        <w:rPr/>
      </w:pPr>
      <w:r>
        <w:rPr/>
        <w:t>Product Schedule: For pleated shades.[</w:t>
      </w:r>
      <w:r>
        <w:rPr>
          <w:b/>
        </w:rPr>
        <w:t> Use same designations indicated on Drawings.</w:t>
      </w:r>
      <w:r>
        <w:rPr/>
        <w:t>]</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pleated shade.</w:t>
      </w:r>
    </w:p>
    <w:p>
      <w:pPr>
        <w:pStyle w:val="CMT"/>
        <w:rPr/>
      </w:pPr>
      <w:r>
        <w:rPr/>
        <w:t>Retain "Product Test Reports" Paragraph below to require submittal of product test reports with or without product certificates from manufacturers.</w:t>
      </w:r>
    </w:p>
    <w:p>
      <w:pPr>
        <w:pStyle w:val="PR1"/>
        <w:numPr>
          <w:ilvl w:val="4"/>
          <w:numId w:val="1"/>
        </w:numPr>
        <w:rPr/>
      </w:pPr>
      <w:r>
        <w:rPr/>
        <w:t>Product Test Reports: For each type of pleated shade, for tests performed by [</w:t>
      </w:r>
      <w:r>
        <w:rPr>
          <w:b/>
        </w:rPr>
        <w:t>manufacturer and witnessed by a qualified testing agency</w:t>
      </w:r>
      <w:r>
        <w:rPr/>
        <w:t>] [</w:t>
      </w:r>
      <w:r>
        <w:rPr>
          <w:b/>
        </w:rPr>
        <w:t>a qualified testing agency</w:t>
      </w:r>
      <w:r>
        <w:rPr/>
        <w:t>].</w:t>
      </w:r>
    </w:p>
    <w:p>
      <w:pPr>
        <w:pStyle w:val="ART"/>
        <w:numPr>
          <w:ilvl w:val="3"/>
          <w:numId w:val="1"/>
        </w:numPr>
        <w:ind w:hanging="0" w:left="0"/>
        <w:rPr/>
      </w:pPr>
      <w:r>
        <w:rPr/>
        <w:t>CLOSEOUT SUBMITTALS</w:t>
      </w:r>
    </w:p>
    <w:p>
      <w:pPr>
        <w:pStyle w:val="PR1"/>
        <w:numPr>
          <w:ilvl w:val="4"/>
          <w:numId w:val="1"/>
        </w:numPr>
        <w:rPr/>
      </w:pPr>
      <w:r>
        <w:rPr/>
        <w:t>Maintenance Data: For pleated shades to include in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Pleated Shades: Full-size units equal to 5 percent of quantity installed for each size, color, texture, and pattern indicated, but no fewer than [</w:t>
      </w:r>
      <w:r>
        <w:rPr>
          <w:b/>
        </w:rPr>
        <w:t>two</w:t>
      </w:r>
      <w:r>
        <w:rPr/>
        <w:t>] &lt;</w:t>
      </w:r>
      <w:r>
        <w:rPr>
          <w:b/>
        </w:rPr>
        <w:t>Insert number</w:t>
      </w:r>
      <w:r>
        <w:rPr/>
        <w:t>&gt; units.</w:t>
      </w:r>
    </w:p>
    <w:p>
      <w:pPr>
        <w:pStyle w:val="ART"/>
        <w:numPr>
          <w:ilvl w:val="3"/>
          <w:numId w:val="1"/>
        </w:numPr>
        <w:ind w:hanging="0" w:left="0"/>
        <w:rPr/>
      </w:pPr>
      <w:r>
        <w:rPr/>
        <w:t>QUALITY ASSURANCE</w:t>
      </w:r>
    </w:p>
    <w:p>
      <w:pPr>
        <w:pStyle w:val="PR1"/>
        <w:numPr>
          <w:ilvl w:val="4"/>
          <w:numId w:val="1"/>
        </w:numPr>
        <w:rPr/>
      </w:pPr>
      <w:r>
        <w:rPr/>
        <w:t>Installer Qualifications: Fabricator of products.</w:t>
      </w:r>
    </w:p>
    <w:p>
      <w:pPr>
        <w:pStyle w:val="PR1"/>
        <w:numPr>
          <w:ilvl w:val="4"/>
          <w:numId w:val="1"/>
        </w:numPr>
        <w:rPr/>
      </w:pPr>
      <w:r>
        <w:rPr/>
        <w:t>Mockups: Build mockups to verify selections made under Sample submittals, to demonstrate aesthetic effects, and to set quality standards for materials and execution.</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spacing w:before="240" w:after="0"/>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Deliver pleated shades in factory packages, marked with manufacturer, product name, and location of installation using same designations indicated on Drawings.</w:t>
      </w:r>
    </w:p>
    <w:p>
      <w:pPr>
        <w:pStyle w:val="ART"/>
        <w:numPr>
          <w:ilvl w:val="3"/>
          <w:numId w:val="1"/>
        </w:numPr>
        <w:ind w:hanging="0" w:left="0"/>
        <w:rPr/>
      </w:pPr>
      <w:r>
        <w:rPr/>
        <w:t>FIELD CONDITIONS</w:t>
      </w:r>
    </w:p>
    <w:p>
      <w:pPr>
        <w:pStyle w:val="PR1"/>
        <w:numPr>
          <w:ilvl w:val="4"/>
          <w:numId w:val="1"/>
        </w:numPr>
        <w:rPr/>
      </w:pPr>
      <w:r>
        <w:rPr/>
        <w:t>Environmental Limitations: Do not install pleated shades until construction and finish work in spaces, including painting, is complete and ambient temperature and humidity conditions are maintained at the levels indicated for Project when occupied for its intended use.</w:t>
      </w:r>
    </w:p>
    <w:p>
      <w:pPr>
        <w:pStyle w:val="PR1"/>
        <w:numPr>
          <w:ilvl w:val="4"/>
          <w:numId w:val="1"/>
        </w:numPr>
        <w:rPr/>
      </w:pPr>
      <w:r>
        <w:rPr/>
        <w:t>Field Measurements: Where pleated shades are indicated to fit to other construction, verify dimensions of other construction by field measurements before fabrication and indicate measurements on Shop Drawings. Allow clearances for operating hardware of operable glazed units through entire operating range. Notify Architect of installation conditions that vary from Drawings. Coordinate fabrication schedule with construction progress to avoid delaying the Work.</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Z-PLEATED SHADES</w:t>
      </w:r>
    </w:p>
    <w:p>
      <w:pPr>
        <w:pStyle w:val="PR1"/>
        <w:numPr>
          <w:ilvl w:val="4"/>
          <w:numId w:val="1"/>
        </w:numPr>
        <w:rPr/>
      </w:pPr>
      <w:r>
        <w:rPr/>
        <w:t>Z-Pleated Shades: Permanently creased, horizontally folded shades that maintain uniform spacing between folds (pleats).</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PR1"/>
        <w:numPr>
          <w:ilvl w:val="4"/>
          <w:numId w:val="1"/>
        </w:numPr>
        <w:rPr/>
      </w:pPr>
      <w:r>
        <w:rPr/>
        <w:t>Source Limitations: Obtain Z-pleated shades from single source from single manufacturer.</w:t>
      </w:r>
    </w:p>
    <w:p>
      <w:pPr>
        <w:pStyle w:val="CMT"/>
        <w:rPr/>
      </w:pPr>
      <w:r>
        <w:rPr/>
        <w:t>Pleats are typically 1 inch (25 mm) wide. They are availa</w:t>
      </w:r>
      <w:r>
        <w:rPr>
          <w:u w:val="single"/>
        </w:rPr>
        <w:t>b</w:t>
      </w:r>
      <w:r>
        <w:rPr/>
        <w:t>le in 2-inch (50-mm) widths from some manufacturers.</w:t>
      </w:r>
    </w:p>
    <w:p>
      <w:pPr>
        <w:pStyle w:val="PR1"/>
        <w:numPr>
          <w:ilvl w:val="4"/>
          <w:numId w:val="1"/>
        </w:numPr>
        <w:rPr/>
      </w:pPr>
      <w:r>
        <w:rPr/>
        <w:t>Nominal Pleat Width: [</w:t>
      </w:r>
      <w:r>
        <w:rPr>
          <w:rStyle w:val="IP"/>
          <w:b/>
        </w:rPr>
        <w:t>1 inch</w:t>
      </w:r>
      <w:r>
        <w:rPr>
          <w:rStyle w:val="SI"/>
          <w:b/>
        </w:rPr>
        <w:t xml:space="preserve"> (25 mm)</w:t>
      </w:r>
      <w:r>
        <w:rPr/>
        <w:t>] [</w:t>
      </w:r>
      <w:r>
        <w:rPr>
          <w:rStyle w:val="IP"/>
          <w:b/>
        </w:rPr>
        <w:t>2 inches</w:t>
      </w:r>
      <w:r>
        <w:rPr>
          <w:rStyle w:val="SI"/>
          <w:b/>
        </w:rPr>
        <w:t xml:space="preserve"> (51 mm)</w:t>
      </w:r>
      <w:r>
        <w:rPr/>
        <w:t>] &lt;</w:t>
      </w:r>
      <w:r>
        <w:rPr>
          <w:b/>
        </w:rPr>
        <w:t>Insert dimension</w:t>
      </w:r>
      <w:r>
        <w:rPr/>
        <w:t>&gt;.</w:t>
      </w:r>
    </w:p>
    <w:p>
      <w:pPr>
        <w:pStyle w:val="CMT"/>
        <w:rPr/>
      </w:pPr>
      <w:r>
        <w:rPr/>
        <w:t>Revise "Shade Fabric" Paragraph below if shades have backing fabric.</w:t>
      </w:r>
    </w:p>
    <w:p>
      <w:pPr>
        <w:pStyle w:val="PR1"/>
        <w:numPr>
          <w:ilvl w:val="4"/>
          <w:numId w:val="1"/>
        </w:numPr>
        <w:rPr/>
      </w:pPr>
      <w:r>
        <w:rPr/>
        <w:t>Shade Fabric: Stain and fade resistant.</w:t>
      </w:r>
    </w:p>
    <w:p>
      <w:pPr>
        <w:pStyle w:val="PR2"/>
        <w:numPr>
          <w:ilvl w:val="5"/>
          <w:numId w:val="1"/>
        </w:numPr>
        <w:spacing w:before="240" w:after="0"/>
        <w:rPr/>
      </w:pPr>
      <w:r>
        <w:rPr/>
        <w:t>Flame-Resistance Rating: Comply with [</w:t>
      </w:r>
      <w:r>
        <w:rPr>
          <w:b/>
        </w:rPr>
        <w:t>NFPA 701</w:t>
      </w:r>
      <w:r>
        <w:rPr/>
        <w:t>] &lt;</w:t>
      </w:r>
      <w:r>
        <w:rPr>
          <w:b/>
        </w:rPr>
        <w:t>Insert requirements</w:t>
      </w:r>
      <w:r>
        <w:rPr/>
        <w:t>&gt;; testing by a qualified testing agency. Identify products with appropriate markings of applicable testing agency.</w:t>
      </w:r>
    </w:p>
    <w:p>
      <w:pPr>
        <w:pStyle w:val="PR2"/>
        <w:numPr>
          <w:ilvl w:val="5"/>
          <w:numId w:val="1"/>
        </w:numPr>
        <w:rPr/>
      </w:pPr>
      <w:r>
        <w:rPr/>
        <w:t>Type: [</w:t>
      </w:r>
      <w:r>
        <w:rPr>
          <w:b/>
        </w:rPr>
        <w:t>Manufacturer's standard</w:t>
      </w:r>
      <w:r>
        <w:rPr/>
        <w:t>] [</w:t>
      </w:r>
      <w:r>
        <w:rPr>
          <w:b/>
        </w:rPr>
        <w:t>100 percent nonwoven polyester with antistatic treatment</w:t>
      </w:r>
      <w:r>
        <w:rPr/>
        <w:t>] [</w:t>
      </w:r>
      <w:r>
        <w:rPr>
          <w:b/>
        </w:rPr>
        <w:t>PVC-coated polyester mesh</w:t>
      </w:r>
      <w:r>
        <w:rPr/>
        <w:t>] [</w:t>
      </w:r>
      <w:r>
        <w:rPr>
          <w:b/>
        </w:rPr>
        <w:t>100 percent spun-woven polyester</w:t>
      </w:r>
      <w:r>
        <w:rPr/>
        <w:t>] &lt;</w:t>
      </w:r>
      <w:r>
        <w:rPr>
          <w:b/>
        </w:rPr>
        <w:t>Insert description</w:t>
      </w:r>
      <w:r>
        <w:rPr/>
        <w:t>&gt;.</w:t>
      </w:r>
    </w:p>
    <w:p>
      <w:pPr>
        <w:pStyle w:val="PR2"/>
        <w:numPr>
          <w:ilvl w:val="5"/>
          <w:numId w:val="1"/>
        </w:numPr>
        <w:rPr/>
      </w:pPr>
      <w:r>
        <w:rPr/>
        <w:t>Fabric Width: [</w:t>
      </w:r>
      <w:r>
        <w:rPr>
          <w:b/>
        </w:rPr>
        <w:t>As required to produce shades without seams for locations indicated</w:t>
      </w:r>
      <w:r>
        <w:rPr/>
        <w:t>] [</w:t>
      </w:r>
      <w:r>
        <w:rPr>
          <w:rStyle w:val="IP"/>
          <w:b/>
        </w:rPr>
        <w:t>36 inches</w:t>
      </w:r>
      <w:r>
        <w:rPr>
          <w:rStyle w:val="SI"/>
          <w:b/>
        </w:rPr>
        <w:t xml:space="preserve"> (910 mm)</w:t>
      </w:r>
      <w:r>
        <w:rPr/>
        <w:t>] [</w:t>
      </w:r>
      <w:r>
        <w:rPr>
          <w:rStyle w:val="IP"/>
          <w:b/>
        </w:rPr>
        <w:t>48 inches</w:t>
      </w:r>
      <w:r>
        <w:rPr>
          <w:rStyle w:val="SI"/>
          <w:b/>
        </w:rPr>
        <w:t xml:space="preserve"> (1220 mm)</w:t>
      </w:r>
      <w:r>
        <w:rPr/>
        <w:t>] [</w:t>
      </w:r>
      <w:r>
        <w:rPr>
          <w:rStyle w:val="IP"/>
          <w:b/>
        </w:rPr>
        <w:t>60 inches</w:t>
      </w:r>
      <w:r>
        <w:rPr>
          <w:rStyle w:val="SI"/>
          <w:b/>
        </w:rPr>
        <w:t xml:space="preserve"> (1520 mm)</w:t>
      </w:r>
      <w:r>
        <w:rPr/>
        <w:t>] [</w:t>
      </w:r>
      <w:r>
        <w:rPr>
          <w:rStyle w:val="IP"/>
          <w:b/>
        </w:rPr>
        <w:t>72 inches</w:t>
      </w:r>
      <w:r>
        <w:rPr>
          <w:rStyle w:val="SI"/>
          <w:b/>
        </w:rPr>
        <w:t xml:space="preserve"> (1830 mm)</w:t>
      </w:r>
      <w:r>
        <w:rPr/>
        <w:t>] [</w:t>
      </w:r>
      <w:r>
        <w:rPr>
          <w:rStyle w:val="IP"/>
          <w:b/>
        </w:rPr>
        <w:t>84 inches</w:t>
      </w:r>
      <w:r>
        <w:rPr>
          <w:rStyle w:val="SI"/>
          <w:b/>
        </w:rPr>
        <w:t xml:space="preserve"> (2130 mm)</w:t>
      </w:r>
      <w:r>
        <w:rPr/>
        <w:t>] [</w:t>
      </w:r>
      <w:r>
        <w:rPr>
          <w:rStyle w:val="IP"/>
          <w:b/>
        </w:rPr>
        <w:t>96 inches</w:t>
      </w:r>
      <w:r>
        <w:rPr>
          <w:rStyle w:val="SI"/>
          <w:b/>
        </w:rPr>
        <w:t xml:space="preserve"> (2440 mm)</w:t>
      </w:r>
      <w:r>
        <w:rPr/>
        <w:t>] [</w:t>
      </w:r>
      <w:r>
        <w:rPr>
          <w:b/>
        </w:rPr>
        <w:t>As indicated in window-treatment schedule</w:t>
      </w:r>
      <w:r>
        <w:rPr/>
        <w:t>] [</w:t>
      </w:r>
      <w:r>
        <w:rPr>
          <w:b/>
        </w:rPr>
        <w:t>As indicated on Drawings</w:t>
      </w:r>
      <w:r>
        <w:rPr/>
        <w:t>] &lt;</w:t>
      </w:r>
      <w:r>
        <w:rPr>
          <w:b/>
        </w:rPr>
        <w:t>Insert dimension</w:t>
      </w:r>
      <w:r>
        <w:rPr/>
        <w:t>&gt;.</w:t>
      </w:r>
    </w:p>
    <w:p>
      <w:pPr>
        <w:pStyle w:val="PR2"/>
        <w:numPr>
          <w:ilvl w:val="5"/>
          <w:numId w:val="1"/>
        </w:numPr>
        <w:rPr/>
      </w:pPr>
      <w:r>
        <w:rPr/>
        <w:t>Pattern: [</w:t>
      </w:r>
      <w:r>
        <w:rPr>
          <w:b/>
        </w:rPr>
        <w:t>As indicated in window-treatment schedule</w:t>
      </w:r>
      <w:r>
        <w:rPr/>
        <w:t>] &lt;</w:t>
      </w:r>
      <w:r>
        <w:rPr>
          <w:b/>
        </w:rPr>
        <w:t>Insert pattern</w:t>
      </w:r>
      <w:r>
        <w:rPr/>
        <w:t>&gt;.</w:t>
      </w:r>
    </w:p>
    <w:p>
      <w:pPr>
        <w:pStyle w:val="PR2"/>
        <w:numPr>
          <w:ilvl w:val="5"/>
          <w:numId w:val="1"/>
        </w:numPr>
        <w:rPr/>
      </w:pPr>
      <w:r>
        <w:rPr/>
        <w:t>Style: [</w:t>
      </w:r>
      <w:r>
        <w:rPr>
          <w:b/>
        </w:rPr>
        <w:t>As indicated in window-treatment schedule</w:t>
      </w:r>
      <w:r>
        <w:rPr/>
        <w:t>] &lt;</w:t>
      </w:r>
      <w:r>
        <w:rPr>
          <w:b/>
        </w:rPr>
        <w:t>Insert style</w:t>
      </w:r>
      <w:r>
        <w:rPr/>
        <w:t>&gt;.</w:t>
      </w:r>
    </w:p>
    <w:p>
      <w:pPr>
        <w:pStyle w:val="PR2"/>
        <w:numPr>
          <w:ilvl w:val="5"/>
          <w:numId w:val="1"/>
        </w:numPr>
        <w:rPr/>
      </w:pPr>
      <w:r>
        <w:rPr/>
        <w:t>Colors: [</w:t>
      </w:r>
      <w:r>
        <w:rPr>
          <w:b/>
        </w:rPr>
        <w:t>Match Architect's samples</w:t>
      </w:r>
      <w:r>
        <w:rPr/>
        <w:t>] [</w:t>
      </w:r>
      <w:r>
        <w:rPr>
          <w:b/>
        </w:rPr>
        <w:t>As selected by Architect from manufacturer's full range</w:t>
      </w:r>
      <w:r>
        <w:rPr/>
        <w:t>] [</w:t>
      </w:r>
      <w:r>
        <w:rPr>
          <w:b/>
        </w:rPr>
        <w:t>As indicated in window-treatment schedule</w:t>
      </w:r>
      <w:r>
        <w:rPr/>
        <w:t>] [</w:t>
      </w:r>
      <w:r>
        <w:rPr>
          <w:b/>
        </w:rPr>
        <w:t>As indicated on Drawings</w:t>
      </w:r>
      <w:r>
        <w:rPr/>
        <w:t>] &lt;</w:t>
      </w:r>
      <w:r>
        <w:rPr>
          <w:b/>
        </w:rPr>
        <w:t>Insert colors</w:t>
      </w:r>
      <w:r>
        <w:rPr/>
        <w:t>&gt;.</w:t>
      </w:r>
    </w:p>
    <w:p>
      <w:pPr>
        <w:pStyle w:val="PR2"/>
        <w:numPr>
          <w:ilvl w:val="5"/>
          <w:numId w:val="1"/>
        </w:numPr>
        <w:rPr/>
      </w:pPr>
      <w:r>
        <w:rPr/>
        <w:t>Material Solar-Optical Properties: &lt;</w:t>
      </w:r>
      <w:r>
        <w:rPr>
          <w:b/>
        </w:rPr>
        <w:t>Insert requirements</w:t>
      </w:r>
      <w:r>
        <w:rPr/>
        <w:t>&gt;.</w:t>
      </w:r>
    </w:p>
    <w:p>
      <w:pPr>
        <w:pStyle w:val="PR2"/>
        <w:numPr>
          <w:ilvl w:val="5"/>
          <w:numId w:val="1"/>
        </w:numPr>
        <w:rPr/>
      </w:pPr>
      <w:r>
        <w:rPr/>
        <w:t>Material Openness Factor: &lt;</w:t>
      </w:r>
      <w:r>
        <w:rPr>
          <w:b/>
        </w:rPr>
        <w:t>Insert number</w:t>
      </w:r>
      <w:r>
        <w:rPr/>
        <w:t>&gt; percent.</w:t>
      </w:r>
    </w:p>
    <w:p>
      <w:pPr>
        <w:pStyle w:val="PR2"/>
        <w:numPr>
          <w:ilvl w:val="5"/>
          <w:numId w:val="1"/>
        </w:numPr>
        <w:rPr/>
      </w:pPr>
      <w:r>
        <w:rPr/>
        <w:t>Material UV Blockage: &lt;</w:t>
      </w:r>
      <w:r>
        <w:rPr>
          <w:b/>
        </w:rPr>
        <w:t>Insert number</w:t>
      </w:r>
      <w:r>
        <w:rPr/>
        <w:t>&gt; percent.</w:t>
      </w:r>
    </w:p>
    <w:p>
      <w:pPr>
        <w:pStyle w:val="PR1"/>
        <w:numPr>
          <w:ilvl w:val="4"/>
          <w:numId w:val="1"/>
        </w:numPr>
        <w:rPr/>
      </w:pPr>
      <w:r>
        <w:rPr/>
        <w:t>Headrail: Extruded aluminum. Headrails fully enclose operating mechanisms on three sides and have capped ends.</w:t>
      </w:r>
    </w:p>
    <w:p>
      <w:pPr>
        <w:pStyle w:val="PR2"/>
        <w:numPr>
          <w:ilvl w:val="5"/>
          <w:numId w:val="1"/>
        </w:numPr>
        <w:spacing w:before="240" w:after="0"/>
        <w:rPr/>
      </w:pPr>
      <w:r>
        <w:rPr/>
        <w:t>Capacity: [</w:t>
      </w:r>
      <w:r>
        <w:rPr>
          <w:b/>
        </w:rPr>
        <w:t>One shade</w:t>
      </w:r>
      <w:r>
        <w:rPr/>
        <w:t>] [</w:t>
      </w:r>
      <w:r>
        <w:rPr>
          <w:b/>
        </w:rPr>
        <w:t>Two shades</w:t>
      </w:r>
      <w:r>
        <w:rPr/>
        <w:t>] per headrail unless otherwise indicated.</w:t>
      </w:r>
    </w:p>
    <w:p>
      <w:pPr>
        <w:pStyle w:val="CMT"/>
        <w:rPr/>
      </w:pPr>
      <w:r>
        <w:rPr/>
        <w:t>Retain "Motorized Operating Mechanisms" Subparagraph below for motor-operated shades.</w:t>
      </w:r>
    </w:p>
    <w:p>
      <w:pPr>
        <w:pStyle w:val="PR2"/>
        <w:numPr>
          <w:ilvl w:val="5"/>
          <w:numId w:val="1"/>
        </w:numPr>
        <w:rPr/>
      </w:pPr>
      <w:r>
        <w:rPr/>
        <w:t>Motorized Operating Mechanisms: Coordinate headrail with motorized-operator requirements. Provide headrail acceptable to shade and motorized-operator manufacturers and suitable for applications indicated.</w:t>
      </w:r>
    </w:p>
    <w:p>
      <w:pPr>
        <w:pStyle w:val="CMT"/>
        <w:rPr/>
      </w:pPr>
      <w:r>
        <w:rPr/>
        <w:t>Retain "Manual Operating Mechanisms" Subparagraph below for manually operated shades. Revise for bottom-up or top-down and bottom-up operations.</w:t>
      </w:r>
    </w:p>
    <w:p>
      <w:pPr>
        <w:pStyle w:val="PR2"/>
        <w:numPr>
          <w:ilvl w:val="5"/>
          <w:numId w:val="1"/>
        </w:numPr>
        <w:rPr/>
      </w:pPr>
      <w:r>
        <w:rPr/>
        <w:t>Manual Operating Mechanisms: Manufacturer's standard [</w:t>
      </w:r>
      <w:r>
        <w:rPr>
          <w:b/>
        </w:rPr>
        <w:t>cordlock</w:t>
      </w:r>
      <w:r>
        <w:rPr/>
        <w:t>] [</w:t>
      </w:r>
      <w:r>
        <w:rPr>
          <w:b/>
        </w:rPr>
        <w:t>continuous-looped cord and clutch</w:t>
      </w:r>
      <w:r>
        <w:rPr/>
        <w:t>] [</w:t>
      </w:r>
      <w:r>
        <w:rPr>
          <w:b/>
        </w:rPr>
        <w:t>cordless-control</w:t>
      </w:r>
      <w:r>
        <w:rPr/>
        <w:t>] system.</w:t>
      </w:r>
    </w:p>
    <w:p>
      <w:pPr>
        <w:pStyle w:val="CMT"/>
        <w:rPr/>
      </w:pPr>
      <w:r>
        <w:rPr/>
        <w:t>Retain "Control Location" Subparagraph below for cordlock or continuous-looped cord and clutch operating mechanism. Verify availability of control positions with manufacturers. Industry standard is to reference positions relative to the headrail as an operator faces the shade.</w:t>
      </w:r>
    </w:p>
    <w:p>
      <w:pPr>
        <w:pStyle w:val="PR3"/>
        <w:numPr>
          <w:ilvl w:val="6"/>
          <w:numId w:val="1"/>
        </w:numPr>
        <w:spacing w:before="240" w:after="0"/>
        <w:rPr/>
      </w:pPr>
      <w:r>
        <w:rPr/>
        <w:t>Control Location: [</w:t>
      </w:r>
      <w:r>
        <w:rPr>
          <w:b/>
        </w:rPr>
        <w:t>Manufacturer's standard</w:t>
      </w:r>
      <w:r>
        <w:rPr/>
        <w:t>] [</w:t>
      </w:r>
      <w:r>
        <w:rPr>
          <w:b/>
        </w:rPr>
        <w:t>Right side of headrail</w:t>
      </w:r>
      <w:r>
        <w:rPr/>
        <w:t>] [</w:t>
      </w:r>
      <w:r>
        <w:rPr>
          <w:b/>
        </w:rPr>
        <w:t>Left side of headrail</w:t>
      </w:r>
      <w:r>
        <w:rPr/>
        <w:t>] unless otherwise indicated.</w:t>
      </w:r>
    </w:p>
    <w:p>
      <w:pPr>
        <w:pStyle w:val="CMT"/>
        <w:rPr/>
      </w:pPr>
      <w:r>
        <w:rPr/>
        <w:t>Retain "Cord Tensioner" Subparagraph below for continuous-looped cord and clutch systems, which require a cord-tensioning device to comply with WCMA A 100.1.</w:t>
      </w:r>
    </w:p>
    <w:p>
      <w:pPr>
        <w:pStyle w:val="PR3"/>
        <w:numPr>
          <w:ilvl w:val="6"/>
          <w:numId w:val="1"/>
        </w:numPr>
        <w:rPr/>
      </w:pPr>
      <w:r>
        <w:rPr/>
        <w:t>Cord Tensioner: For continuous-looped cord; locate at [</w:t>
      </w:r>
      <w:r>
        <w:rPr>
          <w:b/>
        </w:rPr>
        <w:t>sill</w:t>
      </w:r>
      <w:r>
        <w:rPr/>
        <w:t>] [</w:t>
      </w:r>
      <w:r>
        <w:rPr>
          <w:b/>
        </w:rPr>
        <w:t>jamb</w:t>
      </w:r>
      <w:r>
        <w:rPr/>
        <w:t>] [</w:t>
      </w:r>
      <w:r>
        <w:rPr>
          <w:b/>
        </w:rPr>
        <w:t>location indicated on Drawings</w:t>
      </w:r>
      <w:r>
        <w:rPr/>
        <w:t>] &lt;</w:t>
      </w:r>
      <w:r>
        <w:rPr>
          <w:b/>
        </w:rPr>
        <w:t>Insert requirements</w:t>
      </w:r>
      <w:r>
        <w:rPr/>
        <w:t>&gt;.</w:t>
      </w:r>
    </w:p>
    <w:p>
      <w:pPr>
        <w:pStyle w:val="PR1"/>
        <w:numPr>
          <w:ilvl w:val="4"/>
          <w:numId w:val="1"/>
        </w:numPr>
        <w:rPr/>
      </w:pPr>
      <w:r>
        <w:rPr/>
        <w:t>Bottom Rail: Formed-steel or extruded-aluminum tube that secures end of shade fabric and has capped ends.</w:t>
      </w:r>
    </w:p>
    <w:p>
      <w:pPr>
        <w:pStyle w:val="PR1"/>
        <w:numPr>
          <w:ilvl w:val="4"/>
          <w:numId w:val="1"/>
        </w:numPr>
        <w:rPr/>
      </w:pPr>
      <w:r>
        <w:rPr/>
        <w:t>Mounting Brackets: With spacers and shims required for shade placement and alignment indicated.</w:t>
      </w:r>
    </w:p>
    <w:p>
      <w:pPr>
        <w:pStyle w:val="PR2"/>
        <w:numPr>
          <w:ilvl w:val="5"/>
          <w:numId w:val="1"/>
        </w:numPr>
        <w:spacing w:before="240" w:after="0"/>
        <w:rPr/>
      </w:pPr>
      <w:r>
        <w:rPr/>
        <w:t>Intermediate Support: Provide intermediate support brackets to produce support spacing recommended by shade manufacturer for weight and size of shade.</w:t>
      </w:r>
    </w:p>
    <w:p>
      <w:pPr>
        <w:pStyle w:val="CMT"/>
        <w:rPr/>
      </w:pPr>
      <w:r>
        <w:rPr/>
        <w:t>Retain "Hold-Down Brackets" Paragraph below to prevent shades from swaying from air movement or for shades used on doors. If only certain shades need hold-down brackets, indicate locations on Drawings or in a window-treatment schedule.</w:t>
      </w:r>
    </w:p>
    <w:p>
      <w:pPr>
        <w:pStyle w:val="PR1"/>
        <w:numPr>
          <w:ilvl w:val="4"/>
          <w:numId w:val="1"/>
        </w:numPr>
        <w:rPr/>
      </w:pPr>
      <w:r>
        <w:rPr/>
        <w:t>Hold-Down Brackets: Manufacturer's standard.</w:t>
      </w:r>
    </w:p>
    <w:p>
      <w:pPr>
        <w:pStyle w:val="PR1"/>
        <w:numPr>
          <w:ilvl w:val="4"/>
          <w:numId w:val="1"/>
        </w:numPr>
        <w:rPr/>
      </w:pPr>
      <w:r>
        <w:rPr/>
        <w:t>Valance: [</w:t>
      </w:r>
      <w:r>
        <w:rPr>
          <w:b/>
        </w:rPr>
        <w:t>Manufacturer's standard with fabric insert matching shade fabric</w:t>
      </w:r>
      <w:r>
        <w:rPr/>
        <w:t>] &lt;</w:t>
      </w:r>
      <w:r>
        <w:rPr>
          <w:b/>
        </w:rPr>
        <w:t>Insert description</w:t>
      </w:r>
      <w:r>
        <w:rPr/>
        <w:t>&gt;.</w:t>
      </w:r>
    </w:p>
    <w:p>
      <w:pPr>
        <w:pStyle w:val="PR1"/>
        <w:numPr>
          <w:ilvl w:val="4"/>
          <w:numId w:val="1"/>
        </w:numPr>
        <w:rPr/>
      </w:pPr>
      <w:r>
        <w:rPr/>
        <w:t>Component Colors: Provide rails, cords, and other materials exposed to view in colors [</w:t>
      </w:r>
      <w:r>
        <w:rPr>
          <w:b/>
        </w:rPr>
        <w:t>as selected by Architect from manufacturer's full range</w:t>
      </w:r>
      <w:r>
        <w:rPr/>
        <w:t>] &lt;</w:t>
      </w:r>
      <w:r>
        <w:rPr>
          <w:b/>
        </w:rPr>
        <w:t>Insert description</w:t>
      </w:r>
      <w:r>
        <w:rPr/>
        <w:t>&gt;.</w:t>
      </w:r>
    </w:p>
    <w:p>
      <w:pPr>
        <w:pStyle w:val="ART"/>
        <w:numPr>
          <w:ilvl w:val="3"/>
          <w:numId w:val="1"/>
        </w:numPr>
        <w:ind w:hanging="0" w:left="0"/>
        <w:rPr/>
      </w:pPr>
      <w:r>
        <w:rPr/>
        <w:t>CELLULAR PLEATED SHADES</w:t>
      </w:r>
    </w:p>
    <w:p>
      <w:pPr>
        <w:pStyle w:val="PR1"/>
        <w:numPr>
          <w:ilvl w:val="4"/>
          <w:numId w:val="1"/>
        </w:numPr>
        <w:rPr/>
      </w:pPr>
      <w:r>
        <w:rPr/>
        <w:t>Cellular Pleated Shades: Horizontally folded shades with multiple fabric layers that form accordion folds that enclose airspaces or cells between the fabric layers.</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1"/>
        <w:numPr>
          <w:ilvl w:val="4"/>
          <w:numId w:val="1"/>
        </w:numPr>
        <w:rPr/>
      </w:pPr>
      <w:r>
        <w:rPr/>
        <w:t>Source Limitations: Obtain cellular pleated shades from single source from single manufacturer.</w:t>
      </w:r>
    </w:p>
    <w:p>
      <w:pPr>
        <w:pStyle w:val="PR1"/>
        <w:numPr>
          <w:ilvl w:val="4"/>
          <w:numId w:val="1"/>
        </w:numPr>
        <w:rPr/>
      </w:pPr>
      <w:r>
        <w:rPr/>
        <w:t>Cellular Pleated-Shade Construction: [</w:t>
      </w:r>
      <w:r>
        <w:rPr>
          <w:b/>
        </w:rPr>
        <w:t>Two</w:t>
      </w:r>
      <w:r>
        <w:rPr/>
        <w:t>] [</w:t>
      </w:r>
      <w:r>
        <w:rPr>
          <w:b/>
        </w:rPr>
        <w:t>Three</w:t>
      </w:r>
      <w:r>
        <w:rPr/>
        <w:t>] [</w:t>
      </w:r>
      <w:r>
        <w:rPr>
          <w:b/>
        </w:rPr>
        <w:t>Four</w:t>
      </w:r>
      <w:r>
        <w:rPr/>
        <w:t>] [</w:t>
      </w:r>
      <w:r>
        <w:rPr>
          <w:b/>
        </w:rPr>
        <w:t>Six</w:t>
      </w:r>
      <w:r>
        <w:rPr/>
        <w:t>]-fabric thicknesses.</w:t>
      </w:r>
    </w:p>
    <w:p>
      <w:pPr>
        <w:pStyle w:val="PR1"/>
        <w:numPr>
          <w:ilvl w:val="4"/>
          <w:numId w:val="1"/>
        </w:numPr>
        <w:rPr/>
      </w:pPr>
      <w:r>
        <w:rPr/>
        <w:t>Shade Face Fabric: Stain and fade resistant.</w:t>
      </w:r>
    </w:p>
    <w:p>
      <w:pPr>
        <w:pStyle w:val="PR2"/>
        <w:numPr>
          <w:ilvl w:val="5"/>
          <w:numId w:val="1"/>
        </w:numPr>
        <w:spacing w:before="240" w:after="0"/>
        <w:rPr/>
      </w:pPr>
      <w:r>
        <w:rPr/>
        <w:t>Flame-Resistance Rating: Comply with [</w:t>
      </w:r>
      <w:r>
        <w:rPr>
          <w:b/>
        </w:rPr>
        <w:t>NFPA 701</w:t>
      </w:r>
      <w:r>
        <w:rPr/>
        <w:t>] &lt;</w:t>
      </w:r>
      <w:r>
        <w:rPr>
          <w:b/>
        </w:rPr>
        <w:t>Insert requirements</w:t>
      </w:r>
      <w:r>
        <w:rPr/>
        <w:t>&gt;; testing by a qualified testing agency. Identify products with appropriate markings of applicable testing agency.</w:t>
      </w:r>
    </w:p>
    <w:p>
      <w:pPr>
        <w:pStyle w:val="PR2"/>
        <w:numPr>
          <w:ilvl w:val="5"/>
          <w:numId w:val="1"/>
        </w:numPr>
        <w:rPr/>
      </w:pPr>
      <w:r>
        <w:rPr/>
        <w:t>Type: [</w:t>
      </w:r>
      <w:r>
        <w:rPr>
          <w:b/>
        </w:rPr>
        <w:t>Manufacturer's standard</w:t>
      </w:r>
      <w:r>
        <w:rPr/>
        <w:t>] [</w:t>
      </w:r>
      <w:r>
        <w:rPr>
          <w:b/>
        </w:rPr>
        <w:t>100 percent nonwoven polyester with antistatic treatment</w:t>
      </w:r>
      <w:r>
        <w:rPr/>
        <w:t>] [</w:t>
      </w:r>
      <w:r>
        <w:rPr>
          <w:b/>
        </w:rPr>
        <w:t>PVC-coated polyester mesh</w:t>
      </w:r>
      <w:r>
        <w:rPr/>
        <w:t>] [</w:t>
      </w:r>
      <w:r>
        <w:rPr>
          <w:b/>
        </w:rPr>
        <w:t>100 percent spun-woven polyester</w:t>
      </w:r>
      <w:r>
        <w:rPr/>
        <w:t>] &lt;</w:t>
      </w:r>
      <w:r>
        <w:rPr>
          <w:b/>
        </w:rPr>
        <w:t>Insert description</w:t>
      </w:r>
      <w:r>
        <w:rPr/>
        <w:t>&gt;.</w:t>
      </w:r>
    </w:p>
    <w:p>
      <w:pPr>
        <w:pStyle w:val="PR2"/>
        <w:numPr>
          <w:ilvl w:val="5"/>
          <w:numId w:val="1"/>
        </w:numPr>
        <w:rPr/>
      </w:pPr>
      <w:r>
        <w:rPr/>
        <w:t>Fabric Width: [</w:t>
      </w:r>
      <w:r>
        <w:rPr>
          <w:b/>
        </w:rPr>
        <w:t>As required to produce shades without seams for locations indicated</w:t>
      </w:r>
      <w:r>
        <w:rPr/>
        <w:t>] [</w:t>
      </w:r>
      <w:r>
        <w:rPr>
          <w:rStyle w:val="IP"/>
          <w:b/>
        </w:rPr>
        <w:t>36 inches</w:t>
      </w:r>
      <w:r>
        <w:rPr>
          <w:rStyle w:val="SI"/>
          <w:b/>
        </w:rPr>
        <w:t xml:space="preserve"> (910 mm)</w:t>
      </w:r>
      <w:r>
        <w:rPr/>
        <w:t>] [</w:t>
      </w:r>
      <w:r>
        <w:rPr>
          <w:rStyle w:val="IP"/>
          <w:b/>
        </w:rPr>
        <w:t>48 inches</w:t>
      </w:r>
      <w:r>
        <w:rPr>
          <w:rStyle w:val="SI"/>
          <w:b/>
        </w:rPr>
        <w:t xml:space="preserve"> (1220 mm)</w:t>
      </w:r>
      <w:r>
        <w:rPr/>
        <w:t>] [</w:t>
      </w:r>
      <w:r>
        <w:rPr>
          <w:rStyle w:val="IP"/>
          <w:b/>
        </w:rPr>
        <w:t>60 inches</w:t>
      </w:r>
      <w:r>
        <w:rPr>
          <w:rStyle w:val="SI"/>
          <w:b/>
        </w:rPr>
        <w:t xml:space="preserve"> (1520 mm)</w:t>
      </w:r>
      <w:r>
        <w:rPr/>
        <w:t>] [</w:t>
      </w:r>
      <w:r>
        <w:rPr>
          <w:rStyle w:val="IP"/>
          <w:b/>
        </w:rPr>
        <w:t>72 inches</w:t>
      </w:r>
      <w:r>
        <w:rPr>
          <w:rStyle w:val="SI"/>
          <w:b/>
        </w:rPr>
        <w:t xml:space="preserve"> (1830 mm)</w:t>
      </w:r>
      <w:r>
        <w:rPr/>
        <w:t>] [</w:t>
      </w:r>
      <w:r>
        <w:rPr>
          <w:rStyle w:val="IP"/>
          <w:b/>
        </w:rPr>
        <w:t>84 inches</w:t>
      </w:r>
      <w:r>
        <w:rPr>
          <w:rStyle w:val="SI"/>
          <w:b/>
        </w:rPr>
        <w:t xml:space="preserve"> (2130 mm)</w:t>
      </w:r>
      <w:r>
        <w:rPr/>
        <w:t>] [</w:t>
      </w:r>
      <w:r>
        <w:rPr>
          <w:rStyle w:val="IP"/>
          <w:b/>
        </w:rPr>
        <w:t>96 inches</w:t>
      </w:r>
      <w:r>
        <w:rPr>
          <w:rStyle w:val="SI"/>
          <w:b/>
        </w:rPr>
        <w:t xml:space="preserve"> (2440 mm)</w:t>
      </w:r>
      <w:r>
        <w:rPr/>
        <w:t>] [</w:t>
      </w:r>
      <w:r>
        <w:rPr>
          <w:b/>
        </w:rPr>
        <w:t>As indicated in window-treatment schedule</w:t>
      </w:r>
      <w:r>
        <w:rPr/>
        <w:t>] [</w:t>
      </w:r>
      <w:r>
        <w:rPr>
          <w:b/>
        </w:rPr>
        <w:t>As indicated on Drawings</w:t>
      </w:r>
      <w:r>
        <w:rPr/>
        <w:t>] &lt;</w:t>
      </w:r>
      <w:r>
        <w:rPr>
          <w:b/>
        </w:rPr>
        <w:t>Insert dimension</w:t>
      </w:r>
      <w:r>
        <w:rPr/>
        <w:t>&gt;.</w:t>
      </w:r>
    </w:p>
    <w:p>
      <w:pPr>
        <w:pStyle w:val="PR2"/>
        <w:numPr>
          <w:ilvl w:val="5"/>
          <w:numId w:val="1"/>
        </w:numPr>
        <w:rPr/>
      </w:pPr>
      <w:r>
        <w:rPr/>
        <w:t>Pattern: [</w:t>
      </w:r>
      <w:r>
        <w:rPr>
          <w:b/>
        </w:rPr>
        <w:t>As indicated in window-treatment schedule</w:t>
      </w:r>
      <w:r>
        <w:rPr/>
        <w:t>] &lt;</w:t>
      </w:r>
      <w:r>
        <w:rPr>
          <w:b/>
        </w:rPr>
        <w:t>Insert pattern</w:t>
      </w:r>
      <w:r>
        <w:rPr/>
        <w:t>&gt;.</w:t>
      </w:r>
    </w:p>
    <w:p>
      <w:pPr>
        <w:pStyle w:val="PR2"/>
        <w:numPr>
          <w:ilvl w:val="5"/>
          <w:numId w:val="1"/>
        </w:numPr>
        <w:rPr/>
      </w:pPr>
      <w:r>
        <w:rPr/>
        <w:t>Style: [</w:t>
      </w:r>
      <w:r>
        <w:rPr>
          <w:b/>
        </w:rPr>
        <w:t>As indicated in window-treatment schedule</w:t>
      </w:r>
      <w:r>
        <w:rPr/>
        <w:t>] &lt;</w:t>
      </w:r>
      <w:r>
        <w:rPr>
          <w:b/>
        </w:rPr>
        <w:t>Insert style</w:t>
      </w:r>
      <w:r>
        <w:rPr/>
        <w:t>&gt;.</w:t>
      </w:r>
    </w:p>
    <w:p>
      <w:pPr>
        <w:pStyle w:val="PR2"/>
        <w:numPr>
          <w:ilvl w:val="5"/>
          <w:numId w:val="1"/>
        </w:numPr>
        <w:rPr/>
      </w:pPr>
      <w:r>
        <w:rPr/>
        <w:t>Color: [</w:t>
      </w:r>
      <w:r>
        <w:rPr>
          <w:b/>
        </w:rPr>
        <w:t>Match Architect's samples</w:t>
      </w:r>
      <w:r>
        <w:rPr/>
        <w:t>] [</w:t>
      </w:r>
      <w:r>
        <w:rPr>
          <w:b/>
        </w:rPr>
        <w:t>As selected by Architect from manufacturer's full range</w:t>
      </w:r>
      <w:r>
        <w:rPr/>
        <w:t>] [</w:t>
      </w:r>
      <w:r>
        <w:rPr>
          <w:b/>
        </w:rPr>
        <w:t>As indicated in window-treatment schedule</w:t>
      </w:r>
      <w:r>
        <w:rPr/>
        <w:t>] [</w:t>
      </w:r>
      <w:r>
        <w:rPr>
          <w:b/>
        </w:rPr>
        <w:t>As indicated on Drawings</w:t>
      </w:r>
      <w:r>
        <w:rPr/>
        <w:t>] &lt;</w:t>
      </w:r>
      <w:r>
        <w:rPr>
          <w:b/>
        </w:rPr>
        <w:t>Insert color</w:t>
      </w:r>
      <w:r>
        <w:rPr/>
        <w:t>&gt;.</w:t>
      </w:r>
    </w:p>
    <w:p>
      <w:pPr>
        <w:pStyle w:val="PR1"/>
        <w:numPr>
          <w:ilvl w:val="4"/>
          <w:numId w:val="1"/>
        </w:numPr>
        <w:rPr/>
      </w:pPr>
      <w:r>
        <w:rPr/>
        <w:t>Shade Backup Fabric: Stain and fade resistant.</w:t>
      </w:r>
    </w:p>
    <w:p>
      <w:pPr>
        <w:pStyle w:val="PR2"/>
        <w:numPr>
          <w:ilvl w:val="5"/>
          <w:numId w:val="1"/>
        </w:numPr>
        <w:spacing w:before="240" w:after="0"/>
        <w:rPr/>
      </w:pPr>
      <w:r>
        <w:rPr/>
        <w:t>Flame-Resistance Rating: Comply with [</w:t>
      </w:r>
      <w:r>
        <w:rPr>
          <w:b/>
        </w:rPr>
        <w:t>NFPA 701</w:t>
      </w:r>
      <w:r>
        <w:rPr/>
        <w:t>] &lt;</w:t>
      </w:r>
      <w:r>
        <w:rPr>
          <w:b/>
        </w:rPr>
        <w:t>Insert requirements</w:t>
      </w:r>
      <w:r>
        <w:rPr/>
        <w:t>&gt;; testing by a qualified testing agency. Identify products with appropriate markings of applicable testing agency.</w:t>
      </w:r>
    </w:p>
    <w:p>
      <w:pPr>
        <w:pStyle w:val="PR2"/>
        <w:numPr>
          <w:ilvl w:val="5"/>
          <w:numId w:val="1"/>
        </w:numPr>
        <w:rPr/>
      </w:pPr>
      <w:r>
        <w:rPr/>
        <w:t>Type: [</w:t>
      </w:r>
      <w:r>
        <w:rPr>
          <w:b/>
        </w:rPr>
        <w:t>Manufacturer's standard</w:t>
      </w:r>
      <w:r>
        <w:rPr/>
        <w:t>] [</w:t>
      </w:r>
      <w:r>
        <w:rPr>
          <w:b/>
        </w:rPr>
        <w:t>Matching face fabric</w:t>
      </w:r>
      <w:r>
        <w:rPr/>
        <w:t>] &lt;</w:t>
      </w:r>
      <w:r>
        <w:rPr>
          <w:b/>
        </w:rPr>
        <w:t>Insert description</w:t>
      </w:r>
      <w:r>
        <w:rPr/>
        <w:t>&gt;.</w:t>
      </w:r>
    </w:p>
    <w:p>
      <w:pPr>
        <w:pStyle w:val="PR2"/>
        <w:numPr>
          <w:ilvl w:val="5"/>
          <w:numId w:val="1"/>
        </w:numPr>
        <w:rPr/>
      </w:pPr>
      <w:r>
        <w:rPr/>
        <w:t>Fabric Width: Matching face fabric.</w:t>
      </w:r>
    </w:p>
    <w:p>
      <w:pPr>
        <w:pStyle w:val="PR2"/>
        <w:numPr>
          <w:ilvl w:val="5"/>
          <w:numId w:val="1"/>
        </w:numPr>
        <w:rPr/>
      </w:pPr>
      <w:r>
        <w:rPr/>
        <w:t>Color: [</w:t>
      </w:r>
      <w:r>
        <w:rPr>
          <w:b/>
        </w:rPr>
        <w:t>White</w:t>
      </w:r>
      <w:r>
        <w:rPr/>
        <w:t>] [</w:t>
      </w:r>
      <w:r>
        <w:rPr>
          <w:b/>
        </w:rPr>
        <w:t>Manufacturer's standard</w:t>
      </w:r>
      <w:r>
        <w:rPr/>
        <w:t>] [</w:t>
      </w:r>
      <w:r>
        <w:rPr>
          <w:b/>
        </w:rPr>
        <w:t>As selected by Architect from manufacturer's full range</w:t>
      </w:r>
      <w:r>
        <w:rPr/>
        <w:t>] [</w:t>
      </w:r>
      <w:r>
        <w:rPr>
          <w:b/>
        </w:rPr>
        <w:t>As indicated in window-treatment schedule</w:t>
      </w:r>
      <w:r>
        <w:rPr/>
        <w:t>] [</w:t>
      </w:r>
      <w:r>
        <w:rPr>
          <w:b/>
        </w:rPr>
        <w:t>As indicated on Drawings</w:t>
      </w:r>
      <w:r>
        <w:rPr/>
        <w:t>] &lt;</w:t>
      </w:r>
      <w:r>
        <w:rPr>
          <w:b/>
        </w:rPr>
        <w:t>Insert color</w:t>
      </w:r>
      <w:r>
        <w:rPr/>
        <w:t>&gt;.</w:t>
      </w:r>
    </w:p>
    <w:p>
      <w:pPr>
        <w:pStyle w:val="PR1"/>
        <w:numPr>
          <w:ilvl w:val="4"/>
          <w:numId w:val="1"/>
        </w:numPr>
        <w:rPr/>
      </w:pPr>
      <w:r>
        <w:rPr/>
        <w:t>Headrail: Extruded aluminum. Headrails fully enclose operating mechanisms on three sides and have capped ends.</w:t>
      </w:r>
    </w:p>
    <w:p>
      <w:pPr>
        <w:pStyle w:val="PR2"/>
        <w:numPr>
          <w:ilvl w:val="5"/>
          <w:numId w:val="1"/>
        </w:numPr>
        <w:spacing w:before="240" w:after="0"/>
        <w:rPr/>
      </w:pPr>
      <w:r>
        <w:rPr/>
        <w:t>Capacity: [</w:t>
      </w:r>
      <w:r>
        <w:rPr>
          <w:b/>
        </w:rPr>
        <w:t>One shade</w:t>
      </w:r>
      <w:r>
        <w:rPr/>
        <w:t>] [</w:t>
      </w:r>
      <w:r>
        <w:rPr>
          <w:b/>
        </w:rPr>
        <w:t>Two shades</w:t>
      </w:r>
      <w:r>
        <w:rPr/>
        <w:t>] per headrail unless otherwise indicated.</w:t>
      </w:r>
    </w:p>
    <w:p>
      <w:pPr>
        <w:pStyle w:val="CMT"/>
        <w:rPr/>
      </w:pPr>
      <w:r>
        <w:rPr/>
        <w:t>Retain "Motorized Operating Mechanisms" Subparagraph below for motor-operated shades.</w:t>
      </w:r>
    </w:p>
    <w:p>
      <w:pPr>
        <w:pStyle w:val="PR2"/>
        <w:numPr>
          <w:ilvl w:val="5"/>
          <w:numId w:val="1"/>
        </w:numPr>
        <w:rPr/>
      </w:pPr>
      <w:r>
        <w:rPr/>
        <w:t>Motorized Operating Mechanisms: Coordinate headrail with motorized-operator requirements. Provide headrail acceptable to shade and motorized-operator manufacturers and suitable for applications indicated.</w:t>
      </w:r>
    </w:p>
    <w:p>
      <w:pPr>
        <w:pStyle w:val="CMT"/>
        <w:rPr/>
      </w:pPr>
      <w:r>
        <w:rPr/>
        <w:t>Retain "Manual Operating Mechanisms" Subparagraph below for manually operated shades. Revise for bottom-up or top-down and bottom-up operations.</w:t>
      </w:r>
    </w:p>
    <w:p>
      <w:pPr>
        <w:pStyle w:val="PR2"/>
        <w:numPr>
          <w:ilvl w:val="5"/>
          <w:numId w:val="1"/>
        </w:numPr>
        <w:rPr/>
      </w:pPr>
      <w:r>
        <w:rPr/>
        <w:t>Manual Operating Mechanisms: Manufacturer's standard [</w:t>
      </w:r>
      <w:r>
        <w:rPr>
          <w:b/>
        </w:rPr>
        <w:t>cordlock</w:t>
      </w:r>
      <w:r>
        <w:rPr/>
        <w:t>] [</w:t>
      </w:r>
      <w:r>
        <w:rPr>
          <w:b/>
        </w:rPr>
        <w:t>continuous-looped cord and clutch</w:t>
      </w:r>
      <w:r>
        <w:rPr/>
        <w:t>] [</w:t>
      </w:r>
      <w:r>
        <w:rPr>
          <w:b/>
        </w:rPr>
        <w:t>cordless-control</w:t>
      </w:r>
      <w:r>
        <w:rPr/>
        <w:t>] system.</w:t>
      </w:r>
    </w:p>
    <w:p>
      <w:pPr>
        <w:pStyle w:val="CMT"/>
        <w:rPr/>
      </w:pPr>
      <w:r>
        <w:rPr/>
        <w:t>Retain "Control Location" Subparagraph below for cordlock or continuous-looped cord and clutch operating mechanism. Verify availability of control positions with manufacturers. Industry standard is to reference positions relative to the headrail as an operator faces the shade.</w:t>
      </w:r>
    </w:p>
    <w:p>
      <w:pPr>
        <w:pStyle w:val="PR3"/>
        <w:numPr>
          <w:ilvl w:val="6"/>
          <w:numId w:val="1"/>
        </w:numPr>
        <w:spacing w:before="240" w:after="0"/>
        <w:rPr/>
      </w:pPr>
      <w:r>
        <w:rPr/>
        <w:t>Control Location: [</w:t>
      </w:r>
      <w:r>
        <w:rPr>
          <w:b/>
        </w:rPr>
        <w:t>Manufacturer's standard</w:t>
      </w:r>
      <w:r>
        <w:rPr/>
        <w:t>] [</w:t>
      </w:r>
      <w:r>
        <w:rPr>
          <w:b/>
        </w:rPr>
        <w:t>Right side of headrail</w:t>
      </w:r>
      <w:r>
        <w:rPr/>
        <w:t>] [</w:t>
      </w:r>
      <w:r>
        <w:rPr>
          <w:b/>
        </w:rPr>
        <w:t>Left side of headrail</w:t>
      </w:r>
      <w:r>
        <w:rPr/>
        <w:t>] unless otherwise indicated.</w:t>
      </w:r>
    </w:p>
    <w:p>
      <w:pPr>
        <w:pStyle w:val="CMT"/>
        <w:rPr/>
      </w:pPr>
      <w:r>
        <w:rPr/>
        <w:t>Retain "Cord Tensioner" Subparagraph below for continuous-looped cord and clutch systems, which require a cord-tensioning device to comply with WCMA A 100.1.</w:t>
      </w:r>
    </w:p>
    <w:p>
      <w:pPr>
        <w:pStyle w:val="PR3"/>
        <w:numPr>
          <w:ilvl w:val="6"/>
          <w:numId w:val="1"/>
        </w:numPr>
        <w:rPr/>
      </w:pPr>
      <w:r>
        <w:rPr/>
        <w:t>Cord Tensioner: For continuous-looped cord; locate at [</w:t>
      </w:r>
      <w:r>
        <w:rPr>
          <w:b/>
        </w:rPr>
        <w:t>sill</w:t>
      </w:r>
      <w:r>
        <w:rPr/>
        <w:t>] [</w:t>
      </w:r>
      <w:r>
        <w:rPr>
          <w:b/>
        </w:rPr>
        <w:t>jamb</w:t>
      </w:r>
      <w:r>
        <w:rPr/>
        <w:t>] [</w:t>
      </w:r>
      <w:r>
        <w:rPr>
          <w:b/>
        </w:rPr>
        <w:t>location indicated on Drawings</w:t>
      </w:r>
      <w:r>
        <w:rPr/>
        <w:t>] &lt;</w:t>
      </w:r>
      <w:r>
        <w:rPr>
          <w:b/>
        </w:rPr>
        <w:t>Insert requirements</w:t>
      </w:r>
      <w:r>
        <w:rPr/>
        <w:t>&gt;.</w:t>
      </w:r>
    </w:p>
    <w:p>
      <w:pPr>
        <w:pStyle w:val="PR1"/>
        <w:numPr>
          <w:ilvl w:val="4"/>
          <w:numId w:val="1"/>
        </w:numPr>
        <w:rPr/>
      </w:pPr>
      <w:r>
        <w:rPr/>
        <w:t>Bottom Rail: Formed-steel or extruded-aluminum tube that secures end of shade fabric and has capped ends.</w:t>
      </w:r>
    </w:p>
    <w:p>
      <w:pPr>
        <w:pStyle w:val="PR1"/>
        <w:numPr>
          <w:ilvl w:val="4"/>
          <w:numId w:val="1"/>
        </w:numPr>
        <w:rPr/>
      </w:pPr>
      <w:r>
        <w:rPr/>
        <w:t>Mounting Brackets: With spacers and shims required for shade placement and alignment indicated.</w:t>
      </w:r>
    </w:p>
    <w:p>
      <w:pPr>
        <w:pStyle w:val="PR2"/>
        <w:numPr>
          <w:ilvl w:val="5"/>
          <w:numId w:val="1"/>
        </w:numPr>
        <w:spacing w:before="240" w:after="0"/>
        <w:rPr/>
      </w:pPr>
      <w:r>
        <w:rPr/>
        <w:t>Intermediate Support: Provide intermediate support brackets to produce support spacing recommended by shade manufacturer for weight and size of shade.</w:t>
      </w:r>
    </w:p>
    <w:p>
      <w:pPr>
        <w:pStyle w:val="CMT"/>
        <w:rPr/>
      </w:pPr>
      <w:r>
        <w:rPr/>
        <w:t>Retain "Hold-Down Brackets" Paragraph below to prevent shades from swaying from air movement or for shades used on doors. If only certain shades need hold-down brackets, indicate locations on Drawings or in a window-treatment schedule.</w:t>
      </w:r>
    </w:p>
    <w:p>
      <w:pPr>
        <w:pStyle w:val="PR1"/>
        <w:numPr>
          <w:ilvl w:val="4"/>
          <w:numId w:val="1"/>
        </w:numPr>
        <w:rPr/>
      </w:pPr>
      <w:r>
        <w:rPr/>
        <w:t>Hold-Down Brackets: Manufacturer's standard.</w:t>
      </w:r>
    </w:p>
    <w:p>
      <w:pPr>
        <w:pStyle w:val="PR1"/>
        <w:numPr>
          <w:ilvl w:val="4"/>
          <w:numId w:val="1"/>
        </w:numPr>
        <w:rPr/>
      </w:pPr>
      <w:r>
        <w:rPr/>
        <w:t>Valance: [</w:t>
      </w:r>
      <w:r>
        <w:rPr>
          <w:b/>
        </w:rPr>
        <w:t>Manufacturer's standard with fabric insert matching shade fabric</w:t>
      </w:r>
      <w:r>
        <w:rPr/>
        <w:t>] &lt;</w:t>
      </w:r>
      <w:r>
        <w:rPr>
          <w:b/>
        </w:rPr>
        <w:t>Insert description</w:t>
      </w:r>
      <w:r>
        <w:rPr/>
        <w:t>&gt;.</w:t>
      </w:r>
    </w:p>
    <w:p>
      <w:pPr>
        <w:pStyle w:val="PR1"/>
        <w:numPr>
          <w:ilvl w:val="4"/>
          <w:numId w:val="1"/>
        </w:numPr>
        <w:rPr/>
      </w:pPr>
      <w:r>
        <w:rPr/>
        <w:t>Component Colors: Provide rails, cords, and other materials exposed to view in colors [</w:t>
      </w:r>
      <w:r>
        <w:rPr>
          <w:b/>
        </w:rPr>
        <w:t>as selected by Architect from manufacturer's full range</w:t>
      </w:r>
      <w:r>
        <w:rPr/>
        <w:t>] &lt;</w:t>
      </w:r>
      <w:r>
        <w:rPr>
          <w:b/>
        </w:rPr>
        <w:t>Insert description</w:t>
      </w:r>
      <w:r>
        <w:rPr/>
        <w:t>&gt;.</w:t>
      </w:r>
    </w:p>
    <w:p>
      <w:pPr>
        <w:pStyle w:val="ART"/>
        <w:numPr>
          <w:ilvl w:val="3"/>
          <w:numId w:val="1"/>
        </w:numPr>
        <w:ind w:hanging="0" w:left="0"/>
        <w:rPr/>
      </w:pPr>
      <w:r>
        <w:rPr/>
        <w:t>PLEATED-SHADE FABRICATION</w:t>
      </w:r>
    </w:p>
    <w:p>
      <w:pPr>
        <w:pStyle w:val="PR1"/>
        <w:numPr>
          <w:ilvl w:val="4"/>
          <w:numId w:val="1"/>
        </w:numPr>
        <w:rPr/>
      </w:pPr>
      <w:r>
        <w:rPr/>
        <w:t>Product Safety Standard: Fabricate pleated shades to comply with WCMA A 100.1, including requirements for corded, flexible, looped devices; lead content of components; and warning labels.</w:t>
      </w:r>
    </w:p>
    <w:p>
      <w:pPr>
        <w:pStyle w:val="PR1"/>
        <w:numPr>
          <w:ilvl w:val="4"/>
          <w:numId w:val="1"/>
        </w:numPr>
        <w:rPr/>
      </w:pPr>
      <w:r>
        <w:rPr/>
        <w:t xml:space="preserve">Unit Sizes: Fabricate units in sizes to cover window and other openings as follows, measured at </w:t>
      </w:r>
      <w:r>
        <w:rPr>
          <w:rStyle w:val="IP"/>
        </w:rPr>
        <w:t>74 deg F</w:t>
      </w:r>
      <w:r>
        <w:rPr>
          <w:rStyle w:val="SI"/>
        </w:rPr>
        <w:t xml:space="preserve"> (23 deg C)</w:t>
      </w:r>
      <w:r>
        <w:rPr/>
        <w:t>:</w:t>
      </w:r>
    </w:p>
    <w:p>
      <w:pPr>
        <w:pStyle w:val="CMT"/>
        <w:rPr/>
      </w:pPr>
      <w:r>
        <w:rPr/>
        <w:t>Retain "Between (Inside) Jamb Installation" or "Outside of Jamb Installation" Subparagraph below. Alternatively, retain both subparagraphs and indicate locations of each on Drawings or in a window-treatment schedule. Coordinate clearance requirements with distance between shades and glass, glass type, and placement of heating/cooling air supplies to avoid heat buildup and possible damage to glass.</w:t>
      </w:r>
    </w:p>
    <w:p>
      <w:pPr>
        <w:pStyle w:val="CMT"/>
        <w:rPr/>
      </w:pPr>
      <w:r>
        <w:rPr/>
        <w:t>If retaining "Between (Inside) Jamb Installation" Subparagraph and shades are opaque, revise clearances to comply with recommendations in GANA's "Glazing Manual" where heat-strengthened glass is not specified. See "Product Characteristics" Article in the Evaluations.</w:t>
      </w:r>
    </w:p>
    <w:p>
      <w:pPr>
        <w:pStyle w:val="PR2"/>
        <w:numPr>
          <w:ilvl w:val="5"/>
          <w:numId w:val="1"/>
        </w:numPr>
        <w:spacing w:before="240" w:after="0"/>
        <w:rPr/>
      </w:pPr>
      <w:r>
        <w:rPr/>
        <w:t xml:space="preserve">Between (Inside) Jamb Installation: Width equal to jamb-to-jamb dimension of opening in which shade is installed less </w:t>
      </w:r>
      <w:r>
        <w:rPr>
          <w:rStyle w:val="IP"/>
        </w:rPr>
        <w:t>1/4 inch</w:t>
      </w:r>
      <w:r>
        <w:rPr>
          <w:rStyle w:val="SI"/>
        </w:rPr>
        <w:t xml:space="preserve"> (6 mm)</w:t>
      </w:r>
      <w:r>
        <w:rPr/>
        <w:t xml:space="preserve"> per side or </w:t>
      </w:r>
      <w:r>
        <w:rPr>
          <w:rStyle w:val="IP"/>
        </w:rPr>
        <w:t>1/2-inch</w:t>
      </w:r>
      <w:r>
        <w:rPr>
          <w:rStyle w:val="SI"/>
        </w:rPr>
        <w:t xml:space="preserve"> (13-mm)</w:t>
      </w:r>
      <w:r>
        <w:rPr/>
        <w:t xml:space="preserve"> total, plus or minus </w:t>
      </w:r>
      <w:r>
        <w:rPr>
          <w:rStyle w:val="IP"/>
        </w:rPr>
        <w:t>1/8 inch</w:t>
      </w:r>
      <w:r>
        <w:rPr>
          <w:rStyle w:val="SI"/>
        </w:rPr>
        <w:t xml:space="preserve"> (3.1 mm)</w:t>
      </w:r>
      <w:r>
        <w:rPr/>
        <w:t xml:space="preserve">. Length equal to head-to-sill or -floor dimension of opening in which shade is installed less </w:t>
      </w:r>
      <w:r>
        <w:rPr>
          <w:rStyle w:val="IP"/>
        </w:rPr>
        <w:t>1/4 inch</w:t>
      </w:r>
      <w:r>
        <w:rPr>
          <w:rStyle w:val="SI"/>
        </w:rPr>
        <w:t xml:space="preserve"> (6 mm)</w:t>
      </w:r>
      <w:r>
        <w:rPr/>
        <w:t xml:space="preserve">, plus or minus </w:t>
      </w:r>
      <w:r>
        <w:rPr>
          <w:rStyle w:val="IP"/>
        </w:rPr>
        <w:t>1/8 inch</w:t>
      </w:r>
      <w:r>
        <w:rPr>
          <w:rStyle w:val="SI"/>
        </w:rPr>
        <w:t xml:space="preserve"> (3.1 mm)</w:t>
      </w:r>
      <w:r>
        <w:rPr/>
        <w:t>.</w:t>
      </w:r>
    </w:p>
    <w:p>
      <w:pPr>
        <w:pStyle w:val="CMT"/>
        <w:rPr/>
      </w:pPr>
      <w:r>
        <w:rPr/>
        <w:t>If retaining "Outside of Jamb Installation" Subparagraph below, indicate locations of shades relative to openings and widths and lengths of shades on Drawings or in a window-treatment schedule.</w:t>
      </w:r>
    </w:p>
    <w:p>
      <w:pPr>
        <w:pStyle w:val="PR2"/>
        <w:numPr>
          <w:ilvl w:val="5"/>
          <w:numId w:val="1"/>
        </w:numPr>
        <w:rPr/>
      </w:pPr>
      <w:r>
        <w:rPr/>
        <w:t>Outside of Jamb Installation: Width and length as indicated, with terminations between shades of end-to-end installations at centerlines of mullion or other defined vertical separations between openings.</w:t>
      </w:r>
    </w:p>
    <w:p>
      <w:pPr>
        <w:pStyle w:val="CMT"/>
        <w:rPr/>
      </w:pPr>
      <w:r>
        <w:rPr/>
        <w:t>Revise "Fabric Shades" Paragraph below if seams are required for shades that are wider than available fabrics.</w:t>
      </w:r>
    </w:p>
    <w:p>
      <w:pPr>
        <w:pStyle w:val="PR1"/>
        <w:numPr>
          <w:ilvl w:val="4"/>
          <w:numId w:val="1"/>
        </w:numPr>
        <w:rPr/>
      </w:pPr>
      <w:r>
        <w:rPr/>
        <w:t>Fabric Shades: Fabricate from full widths of fabric, with fabric length as it comes off the roll oriented vertically on shades, and without seams.</w:t>
      </w:r>
    </w:p>
    <w:p>
      <w:pPr>
        <w:pStyle w:val="PR1"/>
        <w:numPr>
          <w:ilvl w:val="4"/>
          <w:numId w:val="1"/>
        </w:numPr>
        <w:rPr/>
      </w:pPr>
      <w:r>
        <w:rPr/>
        <w:t>Concealed Components: Noncorrodible or corrosion-resistant-coated materials.</w:t>
      </w:r>
    </w:p>
    <w:p>
      <w:pPr>
        <w:pStyle w:val="PR1"/>
        <w:numPr>
          <w:ilvl w:val="4"/>
          <w:numId w:val="1"/>
        </w:numPr>
        <w:rPr/>
      </w:pPr>
      <w:r>
        <w:rPr/>
        <w:t>Installation Brackets: Designed for easy removal and reinstallation of shade; for supporting headrail, valance, and operating hardware; and for hardware position and shade mounting method indicated.</w:t>
      </w:r>
    </w:p>
    <w:p>
      <w:pPr>
        <w:pStyle w:val="PR1"/>
        <w:numPr>
          <w:ilvl w:val="4"/>
          <w:numId w:val="1"/>
        </w:numPr>
        <w:rPr/>
      </w:pPr>
      <w:r>
        <w:rPr/>
        <w:t>Installation Fasteners: No fewer than two fasteners per bracket. Fabricated from metal noncorrosive to brackets and adjoining construction. Of type designed for securing to supporting construction and for supporting shades and accessories under conditions of normal use.</w:t>
      </w:r>
    </w:p>
    <w:p>
      <w:pPr>
        <w:pStyle w:val="PR1"/>
        <w:numPr>
          <w:ilvl w:val="4"/>
          <w:numId w:val="1"/>
        </w:numPr>
        <w:rPr/>
      </w:pPr>
      <w:r>
        <w:rPr/>
        <w:t>Color-Coated Finish: For metal components exposed to view, apply manufacturer's standard baked finish complying with manufacturer's written instructions for surface preparation including pretreatment, application, baking, and minimum dry film thickness.</w:t>
      </w:r>
    </w:p>
    <w:p>
      <w:pPr>
        <w:pStyle w:val="ART"/>
        <w:numPr>
          <w:ilvl w:val="3"/>
          <w:numId w:val="1"/>
        </w:numPr>
        <w:ind w:hanging="0" w:left="0"/>
        <w:rPr/>
      </w:pPr>
      <w:r>
        <w:rPr/>
        <w:t>MOTORIZED OPERATORS</w:t>
      </w:r>
    </w:p>
    <w:p>
      <w:pPr>
        <w:pStyle w:val="CMT"/>
        <w:rPr/>
      </w:pPr>
      <w:r>
        <w:rPr/>
        <w:t>If more than one type of motorized operator is required, copy and re-edit this article and insert unique designations for each operator type in article titles. Indicate shades where each operator type is required by using designations on Drawings or in a window-treatment schedule.</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Description: Provide factory-assembled, shade-operator systems of size and capacity and with features, characteristics, and accessories suitable for conditions indicated; recommended by shade and motorized-operator manufacturers for use with shades indicated; and complete with electric motors and factory-prewired motor controls, power disconnect switches, and enclosures protecting controls and operating parts required for reliable operation without malfunction. Include wiring from motor controls to motors. Coordinate operator wiring requirements and electrical characteristics with building electrical system.</w:t>
      </w:r>
    </w:p>
    <w:p>
      <w:pPr>
        <w:pStyle w:val="PR2"/>
        <w:numPr>
          <w:ilvl w:val="5"/>
          <w:numId w:val="1"/>
        </w:numPr>
        <w:spacing w:before="240" w:after="0"/>
        <w:rPr/>
      </w:pPr>
      <w:r>
        <w:rPr/>
        <w:t>Headrail: As specified for shade(s) operated by motorized operator.</w:t>
      </w:r>
    </w:p>
    <w:p>
      <w:pPr>
        <w:pStyle w:val="PR2"/>
        <w:numPr>
          <w:ilvl w:val="5"/>
          <w:numId w:val="1"/>
        </w:numPr>
        <w:rPr/>
      </w:pPr>
      <w:r>
        <w:rPr/>
        <w:t>Electrical Components: Listed and labeled as defined in NFPA 70, by a qualified testing agency, and marked for intended location and application.</w:t>
      </w:r>
    </w:p>
    <w:p>
      <w:pPr>
        <w:pStyle w:val="CMT"/>
        <w:rPr/>
      </w:pPr>
      <w:r>
        <w:rPr/>
        <w:t>If required, insert manufacturers' description of alternative motor that is available (for example, "quiet operation" motor, and so forth) in "Electric Motors" Paragraph below.</w:t>
      </w:r>
    </w:p>
    <w:p>
      <w:pPr>
        <w:pStyle w:val="PR1"/>
        <w:numPr>
          <w:ilvl w:val="4"/>
          <w:numId w:val="1"/>
        </w:numPr>
        <w:rPr/>
      </w:pPr>
      <w:r>
        <w:rPr/>
        <w:t>Electric Motors: [</w:t>
      </w:r>
      <w:r>
        <w:rPr>
          <w:b/>
        </w:rPr>
        <w:t>Manufacturer's standard</w:t>
      </w:r>
      <w:r>
        <w:rPr/>
        <w:t>] &lt;</w:t>
      </w:r>
      <w:r>
        <w:rPr>
          <w:b/>
        </w:rPr>
        <w:t>Insert description</w:t>
      </w:r>
      <w:r>
        <w:rPr/>
        <w:t>&gt; for operating pleated shades.</w:t>
      </w:r>
    </w:p>
    <w:p>
      <w:pPr>
        <w:pStyle w:val="PR2"/>
        <w:numPr>
          <w:ilvl w:val="5"/>
          <w:numId w:val="1"/>
        </w:numPr>
        <w:spacing w:before="240" w:after="0"/>
        <w:rPr/>
      </w:pPr>
      <w:r>
        <w:rPr/>
        <w:t>Electrical Characteristics: [</w:t>
      </w:r>
      <w:r>
        <w:rPr>
          <w:b/>
        </w:rPr>
        <w:t>110-V ac</w:t>
      </w:r>
      <w:r>
        <w:rPr/>
        <w:t>] [</w:t>
      </w:r>
      <w:r>
        <w:rPr>
          <w:b/>
        </w:rPr>
        <w:t>220-V ac</w:t>
      </w:r>
      <w:r>
        <w:rPr/>
        <w:t>] [</w:t>
      </w:r>
      <w:r>
        <w:rPr>
          <w:b/>
        </w:rPr>
        <w:t>24-V dc</w:t>
      </w:r>
      <w:r>
        <w:rPr/>
        <w:t>] [</w:t>
      </w:r>
      <w:r>
        <w:rPr>
          <w:b/>
        </w:rPr>
        <w:t>12-V dc</w:t>
      </w:r>
      <w:r>
        <w:rPr/>
        <w:t>] [</w:t>
      </w:r>
      <w:r>
        <w:rPr>
          <w:b/>
        </w:rPr>
        <w:t>Solar-powered dc</w:t>
      </w:r>
      <w:r>
        <w:rPr/>
        <w:t>] &lt;</w:t>
      </w:r>
      <w:r>
        <w:rPr>
          <w:b/>
        </w:rPr>
        <w:t>Insert requirements</w:t>
      </w:r>
      <w:r>
        <w:rPr/>
        <w:t>&gt;.</w:t>
      </w:r>
    </w:p>
    <w:p>
      <w:pPr>
        <w:pStyle w:val="PR1"/>
        <w:numPr>
          <w:ilvl w:val="4"/>
          <w:numId w:val="1"/>
        </w:numPr>
        <w:rPr/>
      </w:pPr>
      <w:r>
        <w:rPr/>
        <w:t>Remote Controls: Electric controls with NEMA ICS 6, Type 1 enclosure for [</w:t>
      </w:r>
      <w:r>
        <w:rPr>
          <w:b/>
        </w:rPr>
        <w:t>surface</w:t>
      </w:r>
      <w:r>
        <w:rPr/>
        <w:t>] [</w:t>
      </w:r>
      <w:r>
        <w:rPr>
          <w:b/>
        </w:rPr>
        <w:t>recessed or flush</w:t>
      </w:r>
      <w:r>
        <w:rPr/>
        <w:t>] [</w:t>
      </w:r>
      <w:r>
        <w:rPr>
          <w:b/>
        </w:rPr>
        <w:t>headrail</w:t>
      </w:r>
      <w:r>
        <w:rPr/>
        <w:t>] &lt;</w:t>
      </w:r>
      <w:r>
        <w:rPr>
          <w:b/>
        </w:rPr>
        <w:t>Insert type</w:t>
      </w:r>
      <w:r>
        <w:rPr/>
        <w:t>&gt; mounting. Provide the following devices for remote-control activation of shades:</w:t>
      </w:r>
    </w:p>
    <w:p>
      <w:pPr>
        <w:pStyle w:val="CMT"/>
        <w:rPr/>
      </w:pPr>
      <w:r>
        <w:rPr/>
        <w:t>Retain one or more of first eight subparagraphs below or revise to suit Project.</w:t>
      </w:r>
    </w:p>
    <w:p>
      <w:pPr>
        <w:pStyle w:val="PR2"/>
        <w:numPr>
          <w:ilvl w:val="5"/>
          <w:numId w:val="1"/>
        </w:numPr>
        <w:spacing w:before="240" w:after="0"/>
        <w:rPr/>
      </w:pPr>
      <w:r>
        <w:rPr/>
        <w:t>Keyed Control Stations: Keyed, [</w:t>
      </w:r>
      <w:r>
        <w:rPr>
          <w:b/>
        </w:rPr>
        <w:t>maintained</w:t>
      </w:r>
      <w:r>
        <w:rPr/>
        <w:t>] [</w:t>
      </w:r>
      <w:r>
        <w:rPr>
          <w:b/>
        </w:rPr>
        <w:t>momentary</w:t>
      </w:r>
      <w:r>
        <w:rPr/>
        <w:t>]-contact, three-position, switch-operated control station with open, close, and off functions. Provide two keys per station.</w:t>
      </w:r>
    </w:p>
    <w:p>
      <w:pPr>
        <w:pStyle w:val="PR2"/>
        <w:numPr>
          <w:ilvl w:val="5"/>
          <w:numId w:val="1"/>
        </w:numPr>
        <w:rPr/>
      </w:pPr>
      <w:r>
        <w:rPr/>
        <w:t>Individual Switch Control Stations: [</w:t>
      </w:r>
      <w:r>
        <w:rPr>
          <w:b/>
        </w:rPr>
        <w:t>Maintained</w:t>
      </w:r>
      <w:r>
        <w:rPr/>
        <w:t>] [</w:t>
      </w:r>
      <w:r>
        <w:rPr>
          <w:b/>
        </w:rPr>
        <w:t>Momentary</w:t>
      </w:r>
      <w:r>
        <w:rPr/>
        <w:t>]-contact, wall-switch-operated control station with open, close, and center off functions.</w:t>
      </w:r>
    </w:p>
    <w:p>
      <w:pPr>
        <w:pStyle w:val="PR3"/>
        <w:numPr>
          <w:ilvl w:val="6"/>
          <w:numId w:val="1"/>
        </w:numPr>
        <w:spacing w:before="240" w:after="0"/>
        <w:rPr/>
      </w:pPr>
      <w:r>
        <w:rPr/>
        <w:t>Switch Positions: [</w:t>
      </w:r>
      <w:r>
        <w:rPr>
          <w:b/>
        </w:rPr>
        <w:t>Three</w:t>
      </w:r>
      <w:r>
        <w:rPr/>
        <w:t>] [</w:t>
      </w:r>
      <w:r>
        <w:rPr>
          <w:b/>
        </w:rPr>
        <w:t>Five</w:t>
      </w:r>
      <w:r>
        <w:rPr/>
        <w:t>].</w:t>
      </w:r>
    </w:p>
    <w:p>
      <w:pPr>
        <w:pStyle w:val="PR3"/>
        <w:numPr>
          <w:ilvl w:val="6"/>
          <w:numId w:val="1"/>
        </w:numPr>
        <w:rPr/>
      </w:pPr>
      <w:r>
        <w:rPr/>
        <w:t>Switch Style: [</w:t>
      </w:r>
      <w:r>
        <w:rPr>
          <w:b/>
        </w:rPr>
        <w:t>Toggle</w:t>
      </w:r>
      <w:r>
        <w:rPr/>
        <w:t>] [</w:t>
      </w:r>
      <w:r>
        <w:rPr>
          <w:b/>
        </w:rPr>
        <w:t>Rocker</w:t>
      </w:r>
      <w:r>
        <w:rPr/>
        <w:t>].</w:t>
      </w:r>
    </w:p>
    <w:p>
      <w:pPr>
        <w:pStyle w:val="PR2"/>
        <w:numPr>
          <w:ilvl w:val="5"/>
          <w:numId w:val="1"/>
        </w:numPr>
        <w:spacing w:before="240" w:after="0"/>
        <w:rPr/>
      </w:pPr>
      <w:r>
        <w:rPr/>
        <w:t>Group Control Stations: [</w:t>
      </w:r>
      <w:r>
        <w:rPr>
          <w:b/>
        </w:rPr>
        <w:t>Maintained</w:t>
      </w:r>
      <w:r>
        <w:rPr/>
        <w:t>] [</w:t>
      </w:r>
      <w:r>
        <w:rPr>
          <w:b/>
        </w:rPr>
        <w:t>Momentary</w:t>
      </w:r>
      <w:r>
        <w:rPr/>
        <w:t>]-contact, three-position, rocker-style, wall-switch-operated control station with open, close, and center off functions for single-switch group control.</w:t>
      </w:r>
    </w:p>
    <w:p>
      <w:pPr>
        <w:pStyle w:val="PR2"/>
        <w:numPr>
          <w:ilvl w:val="5"/>
          <w:numId w:val="1"/>
        </w:numPr>
        <w:rPr/>
      </w:pPr>
      <w:r>
        <w:rPr/>
        <w:t>Individual/Group Control Stations: [</w:t>
      </w:r>
      <w:r>
        <w:rPr>
          <w:b/>
        </w:rPr>
        <w:t>Maintained</w:t>
      </w:r>
      <w:r>
        <w:rPr/>
        <w:t>] [</w:t>
      </w:r>
      <w:r>
        <w:rPr>
          <w:b/>
        </w:rPr>
        <w:t>Momentary</w:t>
      </w:r>
      <w:r>
        <w:rPr/>
        <w:t>]-contact, three-position, rocker-style, wall-switch-operated control station with open, close, and center off functions for individual and group control.</w:t>
      </w:r>
    </w:p>
    <w:p>
      <w:pPr>
        <w:pStyle w:val="PR2"/>
        <w:numPr>
          <w:ilvl w:val="5"/>
          <w:numId w:val="1"/>
        </w:numPr>
        <w:rPr/>
      </w:pPr>
      <w:r>
        <w:rPr/>
        <w:t>Sun Sensor Controls: Adjustable system consisting of digital displays detecting sun intensity and responding by automatically adjusting shades.</w:t>
      </w:r>
    </w:p>
    <w:p>
      <w:pPr>
        <w:pStyle w:val="PR2"/>
        <w:numPr>
          <w:ilvl w:val="5"/>
          <w:numId w:val="1"/>
        </w:numPr>
        <w:rPr/>
      </w:pPr>
      <w:r>
        <w:rPr/>
        <w:t>Infrared Controls: System consisting of concealed receiver complete with external eye and connecting modular cable and [</w:t>
      </w:r>
      <w:r>
        <w:rPr>
          <w:b/>
        </w:rPr>
        <w:t>two</w:t>
      </w:r>
      <w:r>
        <w:rPr/>
        <w:t>] &lt;</w:t>
      </w:r>
      <w:r>
        <w:rPr>
          <w:b/>
        </w:rPr>
        <w:t>Insert number</w:t>
      </w:r>
      <w:r>
        <w:rPr/>
        <w:t>&gt; portable, multiple-channel transmitters with separate buttons to open and close individual or groups of shades, to open and close shades simultaneously, to rotate shades, and to stop.</w:t>
      </w:r>
    </w:p>
    <w:p>
      <w:pPr>
        <w:pStyle w:val="PR3"/>
        <w:numPr>
          <w:ilvl w:val="6"/>
          <w:numId w:val="1"/>
        </w:numPr>
        <w:spacing w:before="240" w:after="0"/>
        <w:rPr/>
      </w:pPr>
      <w:r>
        <w:rPr/>
        <w:t>Capacity: Up to [</w:t>
      </w:r>
      <w:r>
        <w:rPr>
          <w:b/>
        </w:rPr>
        <w:t>12</w:t>
      </w:r>
      <w:r>
        <w:rPr/>
        <w:t>] &lt;</w:t>
      </w:r>
      <w:r>
        <w:rPr>
          <w:b/>
        </w:rPr>
        <w:t>Insert number</w:t>
      </w:r>
      <w:r>
        <w:rPr/>
        <w:t>&gt; individual or groups of shades.</w:t>
      </w:r>
    </w:p>
    <w:p>
      <w:pPr>
        <w:pStyle w:val="PR2"/>
        <w:numPr>
          <w:ilvl w:val="5"/>
          <w:numId w:val="1"/>
        </w:numPr>
        <w:spacing w:before="240" w:after="0"/>
        <w:rPr/>
      </w:pPr>
      <w:r>
        <w:rPr/>
        <w:t>Timer Controls: Clock timer, [</w:t>
      </w:r>
      <w:r>
        <w:rPr>
          <w:b/>
        </w:rPr>
        <w:t>24-hour</w:t>
      </w:r>
      <w:r>
        <w:rPr/>
        <w:t>] [</w:t>
      </w:r>
      <w:r>
        <w:rPr>
          <w:b/>
        </w:rPr>
        <w:t>seven-day</w:t>
      </w:r>
      <w:r>
        <w:rPr/>
        <w:t>] &lt;</w:t>
      </w:r>
      <w:r>
        <w:rPr>
          <w:b/>
        </w:rPr>
        <w:t>Insert period</w:t>
      </w:r>
      <w:r>
        <w:rPr/>
        <w:t>&gt; programmable for regular events.</w:t>
      </w:r>
    </w:p>
    <w:p>
      <w:pPr>
        <w:pStyle w:val="PR2"/>
        <w:numPr>
          <w:ilvl w:val="5"/>
          <w:numId w:val="1"/>
        </w:numPr>
        <w:rPr/>
      </w:pPr>
      <w:r>
        <w:rPr/>
        <w:t>Microprocessor Controls: Electronic programmable means for setting, changing, and adjusting control features; isolated from voltage spikes and surges.</w:t>
      </w:r>
    </w:p>
    <w:p>
      <w:pPr>
        <w:pStyle w:val="CMT"/>
        <w:rPr/>
      </w:pPr>
      <w:r>
        <w:rPr/>
        <w:t>Retain "Color" Subparagraph below if the color of control unit is critical.</w:t>
      </w:r>
    </w:p>
    <w:p>
      <w:pPr>
        <w:pStyle w:val="PR2"/>
        <w:numPr>
          <w:ilvl w:val="5"/>
          <w:numId w:val="1"/>
        </w:numPr>
        <w:rPr/>
      </w:pPr>
      <w:r>
        <w:rPr/>
        <w:t>Color: [</w:t>
      </w:r>
      <w:r>
        <w:rPr>
          <w:b/>
        </w:rPr>
        <w:t>As selected by Architect from manufacturer's full range</w:t>
      </w:r>
      <w:r>
        <w:rPr/>
        <w:t>] &lt;</w:t>
      </w:r>
      <w:r>
        <w:rPr>
          <w:b/>
        </w:rPr>
        <w:t>Insert color</w:t>
      </w:r>
      <w:r>
        <w:rPr/>
        <w:t>&gt;.</w:t>
      </w:r>
    </w:p>
    <w:p>
      <w:pPr>
        <w:pStyle w:val="PR1"/>
        <w:numPr>
          <w:ilvl w:val="4"/>
          <w:numId w:val="1"/>
        </w:numPr>
        <w:rPr/>
      </w:pPr>
      <w:r>
        <w:rPr/>
        <w:t>Limit Switches: Adjustable switches interlocked with motor controls and set to stop shades automatically at fully raised and fully lowered positions.</w:t>
      </w:r>
    </w:p>
    <w:p>
      <w:pPr>
        <w:pStyle w:val="PR1"/>
        <w:numPr>
          <w:ilvl w:val="4"/>
          <w:numId w:val="1"/>
        </w:numPr>
        <w:rPr/>
      </w:pPr>
      <w:r>
        <w:rPr/>
        <w:t>Operating Features:</w:t>
      </w:r>
    </w:p>
    <w:p>
      <w:pPr>
        <w:pStyle w:val="PR2"/>
        <w:numPr>
          <w:ilvl w:val="5"/>
          <w:numId w:val="1"/>
        </w:numPr>
        <w:spacing w:before="240" w:after="0"/>
        <w:rPr/>
      </w:pPr>
      <w:r>
        <w:rPr/>
        <w:t>Group switching with integrated switch control; single faceplate for multiple switch cutouts.</w:t>
      </w:r>
    </w:p>
    <w:p>
      <w:pPr>
        <w:pStyle w:val="PR2"/>
        <w:numPr>
          <w:ilvl w:val="5"/>
          <w:numId w:val="1"/>
        </w:numPr>
        <w:rPr/>
      </w:pPr>
      <w:r>
        <w:rPr/>
        <w:t>Capable of interface with [</w:t>
      </w:r>
      <w:r>
        <w:rPr>
          <w:b/>
        </w:rPr>
        <w:t>audiovisual</w:t>
      </w:r>
      <w:r>
        <w:rPr/>
        <w:t>] [</w:t>
      </w:r>
      <w:r>
        <w:rPr>
          <w:b/>
        </w:rPr>
        <w:t>multiroom</w:t>
      </w:r>
      <w:r>
        <w:rPr/>
        <w:t>] &lt;</w:t>
      </w:r>
      <w:r>
        <w:rPr>
          <w:b/>
        </w:rPr>
        <w:t>Insert description</w:t>
      </w:r>
      <w:r>
        <w:rPr/>
        <w:t>&gt; control system.</w:t>
      </w:r>
    </w:p>
    <w:p>
      <w:pPr>
        <w:pStyle w:val="PR2"/>
        <w:numPr>
          <w:ilvl w:val="5"/>
          <w:numId w:val="1"/>
        </w:numPr>
        <w:rPr/>
      </w:pPr>
      <w:r>
        <w:rPr/>
        <w:t>Capable of accepting input from building automation control system.</w:t>
      </w:r>
    </w:p>
    <w:p>
      <w:pPr>
        <w:pStyle w:val="CMT"/>
        <w:rPr/>
      </w:pPr>
      <w:r>
        <w:rPr/>
        <w:t>Retain subparagraph below only for sensor-, infrared-, or timer-controlled systems.</w:t>
      </w:r>
    </w:p>
    <w:p>
      <w:pPr>
        <w:pStyle w:val="PR2"/>
        <w:numPr>
          <w:ilvl w:val="5"/>
          <w:numId w:val="1"/>
        </w:numPr>
        <w:rPr/>
      </w:pPr>
      <w:r>
        <w:rPr/>
        <w:t>Override switch.</w:t>
      </w:r>
    </w:p>
    <w:p>
      <w:pPr>
        <w:pStyle w:val="PR1"/>
        <w:numPr>
          <w:ilvl w:val="4"/>
          <w:numId w:val="1"/>
        </w:numPr>
        <w:rPr/>
      </w:pPr>
      <w:r>
        <w:rPr/>
        <w:t>Accessories:</w:t>
      </w:r>
    </w:p>
    <w:p>
      <w:pPr>
        <w:pStyle w:val="PR2"/>
        <w:numPr>
          <w:ilvl w:val="5"/>
          <w:numId w:val="1"/>
        </w:numPr>
        <w:spacing w:before="240" w:after="0"/>
        <w:rPr/>
      </w:pPr>
      <w:r>
        <w:rPr/>
        <w:t>&lt;</w:t>
      </w:r>
      <w:r>
        <w:rPr>
          <w:b/>
        </w:rPr>
        <w:t>Insert accessory</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CMT"/>
        <w:rPr/>
      </w:pPr>
      <w:r>
        <w:rPr/>
        <w:t>Retain option in first paragraph below for motorized operators.</w:t>
      </w:r>
    </w:p>
    <w:p>
      <w:pPr>
        <w:pStyle w:val="PR1"/>
        <w:numPr>
          <w:ilvl w:val="4"/>
          <w:numId w:val="1"/>
        </w:numPr>
        <w:rPr/>
      </w:pPr>
      <w:r>
        <w:rPr/>
        <w:t>Examine substrates, areas, and conditions, with Installer present, for compliance with requirements for installation tolerances, operational clearances, [</w:t>
      </w:r>
      <w:r>
        <w:rPr>
          <w:b/>
        </w:rPr>
        <w:t>locations of connections to building electrical system, </w:t>
      </w:r>
      <w:r>
        <w:rPr/>
        <w:t>]and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PLEATED-SHADE INSTALLATION</w:t>
      </w:r>
    </w:p>
    <w:p>
      <w:pPr>
        <w:pStyle w:val="PR1"/>
        <w:numPr>
          <w:ilvl w:val="4"/>
          <w:numId w:val="1"/>
        </w:numPr>
        <w:rPr/>
      </w:pPr>
      <w:r>
        <w:rPr/>
        <w:t>Pleated-Shade Locations: [</w:t>
      </w:r>
      <w:r>
        <w:rPr>
          <w:b/>
        </w:rPr>
        <w:t>At exterior windows</w:t>
      </w:r>
      <w:r>
        <w:rPr/>
        <w:t>] [</w:t>
      </w:r>
      <w:r>
        <w:rPr>
          <w:b/>
        </w:rPr>
        <w:t>As indicated in window-covering schedule</w:t>
      </w:r>
      <w:r>
        <w:rPr/>
        <w:t>] [</w:t>
      </w:r>
      <w:r>
        <w:rPr>
          <w:b/>
        </w:rPr>
        <w:t>As indicated on Drawings</w:t>
      </w:r>
      <w:r>
        <w:rPr/>
        <w:t>] &lt;</w:t>
      </w:r>
      <w:r>
        <w:rPr>
          <w:b/>
        </w:rPr>
        <w:t>Insert requirements</w:t>
      </w:r>
      <w:r>
        <w:rPr/>
        <w:t>&gt;.</w:t>
      </w:r>
    </w:p>
    <w:p>
      <w:pPr>
        <w:pStyle w:val="PR1"/>
        <w:numPr>
          <w:ilvl w:val="4"/>
          <w:numId w:val="1"/>
        </w:numPr>
        <w:rPr/>
      </w:pPr>
      <w:r>
        <w:rPr/>
        <w:t>Install pleated shades level and plumb, aligned and centered on openings, and aligned with adjacent units according to manufacturer's written instructions.</w:t>
      </w:r>
    </w:p>
    <w:p>
      <w:pPr>
        <w:pStyle w:val="CMT"/>
        <w:rPr/>
      </w:pPr>
      <w:r>
        <w:rPr/>
        <w:t>Coordinate requirements for distance between shades and glass in first subparagraph below with clearances between shade perimeter and surrounding construction, glass type, and placement of heating/cooling air supplies to avoid heat buildup and possible damage to glass. For opaque shades that might cause heat buildup, retain 2-inch (51-mm) clearance from glass and 1-1/2-inch (38-mm) clearance from glazing frame to comply with requirements in GANA's "Glazing Manual."</w:t>
      </w:r>
    </w:p>
    <w:p>
      <w:pPr>
        <w:pStyle w:val="PR2"/>
        <w:numPr>
          <w:ilvl w:val="5"/>
          <w:numId w:val="1"/>
        </w:numPr>
        <w:spacing w:before="240" w:after="0"/>
        <w:rPr/>
      </w:pPr>
      <w:r>
        <w:rPr/>
        <w:t>Locate so exterior shade edges are not closer than [</w:t>
      </w:r>
      <w:r>
        <w:rPr>
          <w:rStyle w:val="IP"/>
          <w:b/>
        </w:rPr>
        <w:t>2 inches</w:t>
      </w:r>
      <w:r>
        <w:rPr>
          <w:rStyle w:val="SI"/>
          <w:b/>
        </w:rPr>
        <w:t xml:space="preserve"> (51 mm)</w:t>
      </w:r>
      <w:r>
        <w:rPr/>
        <w:t>] &lt;</w:t>
      </w:r>
      <w:r>
        <w:rPr>
          <w:b/>
        </w:rPr>
        <w:t>Insert dimension</w:t>
      </w:r>
      <w:r>
        <w:rPr/>
        <w:t>&gt; from interior faces of glass and not closer than [</w:t>
      </w:r>
      <w:r>
        <w:rPr>
          <w:rStyle w:val="IP"/>
          <w:b/>
        </w:rPr>
        <w:t>1-1/2 inches</w:t>
      </w:r>
      <w:r>
        <w:rPr>
          <w:rStyle w:val="SI"/>
          <w:b/>
        </w:rPr>
        <w:t xml:space="preserve"> (38 mm)</w:t>
      </w:r>
      <w:r>
        <w:rPr/>
        <w:t>] &lt;</w:t>
      </w:r>
      <w:r>
        <w:rPr>
          <w:b/>
        </w:rPr>
        <w:t>Insert dimension</w:t>
      </w:r>
      <w:r>
        <w:rPr/>
        <w:t>&gt; from interior faces of glazing frames through full operating ranges of shades.</w:t>
      </w:r>
    </w:p>
    <w:p>
      <w:pPr>
        <w:pStyle w:val="PR2"/>
        <w:numPr>
          <w:ilvl w:val="5"/>
          <w:numId w:val="1"/>
        </w:numPr>
        <w:rPr/>
      </w:pPr>
      <w:r>
        <w:rPr/>
        <w:t>Install mounting and intermediate brackets to prevent deflection of headrails.</w:t>
      </w:r>
    </w:p>
    <w:p>
      <w:pPr>
        <w:pStyle w:val="PR2"/>
        <w:numPr>
          <w:ilvl w:val="5"/>
          <w:numId w:val="1"/>
        </w:numPr>
        <w:rPr/>
      </w:pPr>
      <w:r>
        <w:rPr/>
        <w:t>Install with clearances that prevent interference with adjacent shades, adjacent construction, and operating hardware of glazed openings, other window treatments, and similar building components and furnishings.</w:t>
      </w:r>
    </w:p>
    <w:p>
      <w:pPr>
        <w:pStyle w:val="CMT"/>
        <w:rPr/>
      </w:pPr>
      <w:r>
        <w:rPr/>
        <w:t>Retain "Electrical Connections" Paragraph below for motorized operators.</w:t>
      </w:r>
    </w:p>
    <w:p>
      <w:pPr>
        <w:pStyle w:val="PR1"/>
        <w:numPr>
          <w:ilvl w:val="4"/>
          <w:numId w:val="1"/>
        </w:numPr>
        <w:rPr/>
      </w:pPr>
      <w:r>
        <w:rPr/>
        <w:t>Electrical Connections: Connect motorized operators to building electrical system.</w:t>
      </w:r>
    </w:p>
    <w:p>
      <w:pPr>
        <w:pStyle w:val="ART"/>
        <w:numPr>
          <w:ilvl w:val="3"/>
          <w:numId w:val="1"/>
        </w:numPr>
        <w:ind w:hanging="0" w:left="0"/>
        <w:rPr/>
      </w:pPr>
      <w:r>
        <w:rPr/>
        <w:t>ADJUSTING</w:t>
      </w:r>
    </w:p>
    <w:p>
      <w:pPr>
        <w:pStyle w:val="PR1"/>
        <w:numPr>
          <w:ilvl w:val="4"/>
          <w:numId w:val="1"/>
        </w:numPr>
        <w:rPr/>
      </w:pPr>
      <w:r>
        <w:rPr/>
        <w:t>Adjust and balance pleated shades to operate smoothly, easily, safely, and free from binding or malfunction through entire operational range.</w:t>
      </w:r>
    </w:p>
    <w:p>
      <w:pPr>
        <w:pStyle w:val="ART"/>
        <w:numPr>
          <w:ilvl w:val="3"/>
          <w:numId w:val="1"/>
        </w:numPr>
        <w:ind w:hanging="0" w:left="0"/>
        <w:rPr/>
      </w:pPr>
      <w:r>
        <w:rPr/>
        <w:t>CLEANING AND PROTECTION</w:t>
      </w:r>
    </w:p>
    <w:p>
      <w:pPr>
        <w:pStyle w:val="PR1"/>
        <w:numPr>
          <w:ilvl w:val="4"/>
          <w:numId w:val="1"/>
        </w:numPr>
        <w:rPr/>
      </w:pPr>
      <w:r>
        <w:rPr/>
        <w:t>Clean pleated-shade surfaces after installation, according to manufacturer's written instructions.</w:t>
      </w:r>
    </w:p>
    <w:p>
      <w:pPr>
        <w:pStyle w:val="PR1"/>
        <w:numPr>
          <w:ilvl w:val="4"/>
          <w:numId w:val="1"/>
        </w:numPr>
        <w:rPr/>
      </w:pPr>
      <w:r>
        <w:rPr/>
        <w:t>Provide final protection and maintain conditions, in a manner acceptable to manufacturer and Installer, that ensures that pleated shades are without damage or deterioration at time of Substantial Completion.</w:t>
      </w:r>
    </w:p>
    <w:p>
      <w:pPr>
        <w:pStyle w:val="PR1"/>
        <w:numPr>
          <w:ilvl w:val="4"/>
          <w:numId w:val="1"/>
        </w:numPr>
        <w:rPr/>
      </w:pPr>
      <w:r>
        <w:rPr/>
        <w:t>Replace damaged pleated shades that cannot be repaired, in a manner approved by Architect, before time of Substantial Completion.</w:t>
      </w:r>
    </w:p>
    <w:p>
      <w:pPr>
        <w:pStyle w:val="ART"/>
        <w:numPr>
          <w:ilvl w:val="3"/>
          <w:numId w:val="1"/>
        </w:numPr>
        <w:ind w:hanging="0" w:left="0"/>
        <w:rPr/>
      </w:pPr>
      <w:r>
        <w:rPr/>
        <w:t>DEMONSTRATION</w:t>
      </w:r>
    </w:p>
    <w:p>
      <w:pPr>
        <w:pStyle w:val="CMT"/>
        <w:rPr/>
      </w:pPr>
      <w:r>
        <w:rPr/>
        <w:t>Retain this article for motorized operators.</w:t>
      </w:r>
    </w:p>
    <w:p>
      <w:pPr>
        <w:pStyle w:val="PR1"/>
        <w:numPr>
          <w:ilvl w:val="4"/>
          <w:numId w:val="1"/>
        </w:numPr>
        <w:rPr/>
      </w:pPr>
      <w:r>
        <w:rPr/>
        <w:t>Engage a factory-authorized service representative to train Owner's maintenance personnel to adjust, operate, and maintain motorized operators for pleated shades.</w:t>
      </w:r>
    </w:p>
    <w:p>
      <w:pPr>
        <w:pStyle w:val="EOS"/>
        <w:rPr/>
      </w:pPr>
      <w:r>
        <w:rPr/>
        <w:t>END OF SECTION 122416</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PLEATED WINDOW SHADES</w:t>
          </w:r>
        </w:p>
      </w:tc>
      <w:tc>
        <w:tcPr>
          <w:tcW w:w="1872" w:type="dxa"/>
          <w:tcBorders/>
        </w:tcPr>
        <w:p>
          <w:pPr>
            <w:pStyle w:val="RJUST"/>
            <w:rPr/>
          </w:pPr>
          <w:r>
            <w:rPr>
              <w:rStyle w:val="NUM"/>
            </w:rPr>
            <w:t>122416</w:t>
          </w:r>
          <w:r>
            <w:rPr/>
            <w:t xml:space="preserve"> - </w:t>
          </w:r>
          <w:r>
            <w:rPr/>
            <w:fldChar w:fldCharType="begin"/>
          </w:r>
          <w:r>
            <w:rPr/>
            <w:instrText xml:space="preserve"> PAGE </w:instrText>
          </w:r>
          <w:r>
            <w:rPr/>
            <w:fldChar w:fldCharType="separate"/>
          </w:r>
          <w:r>
            <w:rPr/>
            <w:t>11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1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122416"/>
    <w:docVar w:name="MF95" w:val="12495"/>
    <w:docVar w:name="MFOrigin" w:val="MF04"/>
    <w:docVar w:name="SectionID" w:val="373"/>
    <w:docVar w:name="SpecType" w:val="MasterSpec"/>
    <w:docVar w:name="Version" w:val="1608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22416&amp;ver=09-01-21&amp;format=FL&amp;sid=16080&amp;utm_source=MasterSpec&amp;utm_medium=Word" TargetMode="External"/><Relationship Id="rId3" Type="http://schemas.openxmlformats.org/officeDocument/2006/relationships/hyperlink" Target="http://www.specagent.com/LookUp/?ulid=5299&amp;mf=&amp;src=wd" TargetMode="External"/><Relationship Id="rId4" Type="http://schemas.openxmlformats.org/officeDocument/2006/relationships/hyperlink" Target="http://www.specagent.com/LookUp/?ulid=5310&amp;mf=&amp;src=wd" TargetMode="External"/><Relationship Id="rId5" Type="http://schemas.openxmlformats.org/officeDocument/2006/relationships/hyperlink" Target="http://www.specagent.com/LookUp/?ulid=5314&amp;mf=&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2022-09-26T02:38:00Z</dcterms:created>
  <dc:creator>Deltek, Inc.</dc:creator>
  <dc:description/>
  <cp:keywords>BAS-12345-MS80</cp:keywords>
  <dc:language>zh-CN</dc:language>
  <cp:lastModifiedBy>Janice Nacional</cp:lastModifiedBy>
  <dcterms:modified xsi:type="dcterms:W3CDTF">2022-09-26T02:38:00Z</dcterms:modified>
  <cp:revision>2</cp:revision>
  <dc:subject>PLEATED WINDOW SHADES</dc:subject>
  <dc:title>SECTION 122416 - PLEATED WINDOW SHADES</dc:title>
</cp:coreProperties>
</file>