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123216</w:t>
      </w:r>
      <w:r>
        <w:rPr/>
        <w:t xml:space="preserve"> - </w:t>
      </w:r>
      <w:r>
        <w:rPr>
          <w:rStyle w:val="NAM"/>
        </w:rPr>
        <w:t>MANUFACTURED PLASTIC-LAMINATE-CLAD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Plastic-laminate-clad casework.</w:t>
      </w:r>
    </w:p>
    <w:p>
      <w:pPr>
        <w:pStyle w:val="PR2"/>
        <w:numPr>
          <w:ilvl w:val="5"/>
          <w:numId w:val="1"/>
        </w:numPr>
        <w:rPr/>
      </w:pPr>
      <w:r>
        <w:rPr/>
        <w:t>Hardware and accessories.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casework.</w:t>
      </w:r>
    </w:p>
    <w:p>
      <w:pPr>
        <w:pStyle w:val="PR2"/>
        <w:numPr>
          <w:ilvl w:val="5"/>
          <w:numId w:val="1"/>
        </w:numPr>
        <w:rPr/>
      </w:pPr>
      <w:r>
        <w:rPr/>
        <w:t>Section 092216 "Non-Structural Metal Framing" for reinforcements in metal-framed partitions for anchoring casework.</w:t>
      </w:r>
    </w:p>
    <w:p>
      <w:pPr>
        <w:pStyle w:val="PR2"/>
        <w:numPr>
          <w:ilvl w:val="5"/>
          <w:numId w:val="1"/>
        </w:numPr>
        <w:rPr/>
      </w:pPr>
      <w:r>
        <w:rPr/>
        <w:t>Section 096513 "Resilient Base and Accessories" for resilient base applied to plastic-laminate-clad casework.</w:t>
      </w:r>
    </w:p>
    <w:p>
      <w:pPr>
        <w:pStyle w:val="PR2"/>
        <w:numPr>
          <w:ilvl w:val="5"/>
          <w:numId w:val="1"/>
        </w:numPr>
        <w:rPr/>
      </w:pPr>
      <w:r>
        <w:rPr/>
        <w:t>Section 123553.16 "Plastic-Laminate Laboratory Casework."</w:t>
      </w:r>
    </w:p>
    <w:p>
      <w:pPr>
        <w:pStyle w:val="PR2"/>
        <w:numPr>
          <w:ilvl w:val="5"/>
          <w:numId w:val="1"/>
        </w:numPr>
        <w:rPr/>
      </w:pPr>
      <w:r>
        <w:rPr/>
        <w:t>Section 123623.13 "Plastic-Laminate-Clad Countertops."</w:t>
      </w:r>
    </w:p>
    <w:p>
      <w:pPr>
        <w:pStyle w:val="ART"/>
        <w:numPr>
          <w:ilvl w:val="3"/>
          <w:numId w:val="1"/>
        </w:numPr>
        <w:ind w:hanging="0" w:left="0"/>
        <w:rPr/>
      </w:pPr>
      <w:r>
        <w:rPr/>
        <w:t>DEFINITIONS</w:t>
      </w:r>
    </w:p>
    <w:p>
      <w:pPr>
        <w:pStyle w:val="PR1"/>
        <w:numPr>
          <w:ilvl w:val="4"/>
          <w:numId w:val="1"/>
        </w:numPr>
        <w:rPr/>
      </w:pPr>
      <w:r>
        <w:rPr/>
        <w:t>Definitions in the AWI/AWMAC/WI's "Architectural Woodwork Standards" apply to the Work of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"Keying Conference" Paragraph below if Owner has special keying requirements for locks.</w:t>
      </w:r>
    </w:p>
    <w:p>
      <w:pPr>
        <w:pStyle w:val="PR1"/>
        <w:numPr>
          <w:ilvl w:val="4"/>
          <w:numId w:val="1"/>
        </w:numPr>
        <w:rPr/>
      </w:pPr>
      <w:r>
        <w:rPr/>
        <w:t>Keying Conference: Conduct conference at [</w:t>
      </w:r>
      <w:r>
        <w:rPr>
          <w:b/>
        </w:rPr>
        <w:t>Project site</w:t>
      </w:r>
      <w:r>
        <w:rPr/>
        <w:t>] &lt;</w:t>
      </w:r>
      <w:r>
        <w:rPr>
          <w:b/>
        </w:rPr>
        <w:t>Insert location</w:t>
      </w:r>
      <w:r>
        <w:rPr/>
        <w:t>&gt;. Incorporate keying conference decisions into final keying requirements.</w:t>
      </w:r>
    </w:p>
    <w:p>
      <w:pPr>
        <w:pStyle w:val="ART"/>
        <w:numPr>
          <w:ilvl w:val="3"/>
          <w:numId w:val="1"/>
        </w:numPr>
        <w:ind w:hanging="0" w:left="0"/>
        <w:rPr/>
      </w:pPr>
      <w:r>
        <w:rPr/>
        <w:t>COORDINATION</w:t>
      </w:r>
    </w:p>
    <w:p>
      <w:pPr>
        <w:pStyle w:val="CMT"/>
        <w:rPr/>
      </w:pPr>
      <w:r>
        <w:rPr/>
        <w:t>Retain this article if casework is supported by framed construction and details of reinforcements are not indicated on Drawings.</w:t>
      </w:r>
    </w:p>
    <w:p>
      <w:pPr>
        <w:pStyle w:val="PR1"/>
        <w:numPr>
          <w:ilvl w:val="4"/>
          <w:numId w:val="1"/>
        </w:numPr>
        <w:rPr/>
      </w:pPr>
      <w:r>
        <w:rPr/>
        <w:t>Coordinate sizes and locations of framing, blocking, furring, reinforcements, and other related units of Work specified in other Sections to ensure that casework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Plastic-laminate-clad casework.</w:t>
      </w:r>
    </w:p>
    <w:p>
      <w:pPr>
        <w:pStyle w:val="PR2"/>
        <w:numPr>
          <w:ilvl w:val="5"/>
          <w:numId w:val="1"/>
        </w:numPr>
        <w:rPr/>
      </w:pPr>
      <w:r>
        <w:rPr/>
        <w:t>Hardware and 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certified wood.&gt;</w:t>
        </w:r>
      </w:hyperlink>
    </w:p>
    <w:p>
      <w:pPr>
        <w:pStyle w:val="PR2"/>
        <w:numPr>
          <w:ilvl w:val="5"/>
          <w:numId w:val="1"/>
        </w:numPr>
        <w:rPr/>
      </w:pPr>
      <w:hyperlink r:id="rId8">
        <w:r>
          <w:rPr>
            <w:rStyle w:val="Hyperlink"/>
          </w:rPr>
          <w:t>&lt;Double click to insert sustainable design text for adhesives.&gt;</w:t>
        </w:r>
      </w:hyperlink>
    </w:p>
    <w:p>
      <w:pPr>
        <w:pStyle w:val="PR2"/>
        <w:numPr>
          <w:ilvl w:val="5"/>
          <w:numId w:val="1"/>
        </w:numPr>
        <w:rPr/>
      </w:pPr>
      <w:hyperlink r:id="rId9">
        <w:r>
          <w:rPr>
            <w:rStyle w:val="Hyperlink"/>
          </w:rPr>
          <w:t>&lt;Double click to insert sustainable design text for composite wood.&gt;</w:t>
        </w:r>
      </w:hyperlink>
    </w:p>
    <w:p>
      <w:pPr>
        <w:pStyle w:val="PR1"/>
        <w:numPr>
          <w:ilvl w:val="4"/>
          <w:numId w:val="1"/>
        </w:numPr>
        <w:rPr/>
      </w:pPr>
      <w:r>
        <w:rPr/>
        <w:t>Shop Drawings: For plastic-laminate-clad casework.</w:t>
      </w:r>
    </w:p>
    <w:p>
      <w:pPr>
        <w:pStyle w:val="PR2"/>
        <w:numPr>
          <w:ilvl w:val="5"/>
          <w:numId w:val="1"/>
        </w:numPr>
        <w:spacing w:before="240" w:after="0"/>
        <w:rPr/>
      </w:pPr>
      <w:r>
        <w:rPr/>
        <w:t>Include plans, elevations, sections, and attachments to other work including blocking and reinforcements required for installation.</w:t>
      </w:r>
    </w:p>
    <w:p>
      <w:pPr>
        <w:pStyle w:val="PR2"/>
        <w:numPr>
          <w:ilvl w:val="5"/>
          <w:numId w:val="1"/>
        </w:numPr>
        <w:rPr/>
      </w:pPr>
      <w:r>
        <w:rPr/>
        <w:t>Indicate types and sizes of casework.</w:t>
      </w:r>
    </w:p>
    <w:p>
      <w:pPr>
        <w:pStyle w:val="PR2"/>
        <w:numPr>
          <w:ilvl w:val="5"/>
          <w:numId w:val="1"/>
        </w:numPr>
        <w:rPr/>
      </w:pPr>
      <w:r>
        <w:rPr/>
        <w:t>Indicate manufacturer's catalog numbers for casework.</w:t>
      </w:r>
    </w:p>
    <w:p>
      <w:pPr>
        <w:pStyle w:val="PR2"/>
        <w:numPr>
          <w:ilvl w:val="5"/>
          <w:numId w:val="1"/>
        </w:numPr>
        <w:rPr/>
      </w:pPr>
      <w:r>
        <w:rPr/>
        <w:t>Show fabrication details, including types and locations of hardware.</w:t>
      </w:r>
    </w:p>
    <w:p>
      <w:pPr>
        <w:pStyle w:val="PR2"/>
        <w:numPr>
          <w:ilvl w:val="5"/>
          <w:numId w:val="1"/>
        </w:numPr>
        <w:rPr/>
      </w:pPr>
      <w:r>
        <w:rPr/>
        <w:t>Indicate locations of and clearances from adjacent walls, doors, windows, other building components, and equipment.</w:t>
      </w:r>
    </w:p>
    <w:p>
      <w:pPr>
        <w:pStyle w:val="CMT"/>
        <w:rPr/>
      </w:pPr>
      <w:r>
        <w:rPr/>
        <w:t>Retain subparagraph below and applicable option if retaining other requirements for AWI's or WI's quality certification programs.</w:t>
      </w:r>
    </w:p>
    <w:p>
      <w:pPr>
        <w:pStyle w:val="PR2"/>
        <w:numPr>
          <w:ilvl w:val="5"/>
          <w:numId w:val="1"/>
        </w:numPr>
        <w:rPr/>
      </w:pPr>
      <w:r>
        <w:rPr/>
        <w:t>Apply [</w:t>
      </w:r>
      <w:r>
        <w:rPr>
          <w:b/>
        </w:rPr>
        <w:t>AWI's Quality Certification</w:t>
      </w:r>
      <w:r>
        <w:rPr/>
        <w:t>] [</w:t>
      </w:r>
      <w:r>
        <w:rPr>
          <w:b/>
        </w:rPr>
        <w:t>WI's Certified Compliance</w:t>
      </w:r>
      <w:r>
        <w:rPr/>
        <w:t>] Program label to Shop Drawings.</w:t>
      </w:r>
    </w:p>
    <w:p>
      <w:pPr>
        <w:pStyle w:val="PR1"/>
        <w:numPr>
          <w:ilvl w:val="4"/>
          <w:numId w:val="1"/>
        </w:numPr>
        <w:rPr/>
      </w:pPr>
      <w:r>
        <w:rPr/>
        <w:t>Keying Schedule: Include schematic keying diagram, and index each key set to unique designations that are coordinated with the Contract Documents.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casework and hardware finishes.</w:t>
      </w:r>
    </w:p>
    <w:p>
      <w:pPr>
        <w:pStyle w:val="PR1"/>
        <w:numPr>
          <w:ilvl w:val="4"/>
          <w:numId w:val="1"/>
        </w:numPr>
        <w:rPr/>
      </w:pPr>
      <w:r>
        <w:rPr/>
        <w:t>Samples for Initial Selection: For casework and hardware finishes.</w:t>
      </w:r>
    </w:p>
    <w:p>
      <w:pPr>
        <w:pStyle w:val="PR1"/>
        <w:numPr>
          <w:ilvl w:val="4"/>
          <w:numId w:val="1"/>
        </w:numPr>
        <w:rPr/>
      </w:pPr>
      <w:r>
        <w:rPr/>
        <w:t>Samples for Verification: For the following:</w:t>
      </w:r>
    </w:p>
    <w:p>
      <w:pPr>
        <w:pStyle w:val="PR2"/>
        <w:numPr>
          <w:ilvl w:val="5"/>
          <w:numId w:val="1"/>
        </w:numPr>
        <w:spacing w:before="240" w:after="0"/>
        <w:rPr/>
      </w:pPr>
      <w:r>
        <w:rPr/>
        <w:t>Plastic Laminates: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&lt;</w:t>
      </w:r>
      <w:r>
        <w:rPr>
          <w:b/>
        </w:rPr>
        <w:t>Insert dimensions</w:t>
      </w:r>
      <w:r>
        <w:rPr/>
        <w:t>&gt;, for each type, color, pattern, and surface finish required.</w:t>
      </w:r>
    </w:p>
    <w:p>
      <w:pPr>
        <w:pStyle w:val="PR3"/>
        <w:numPr>
          <w:ilvl w:val="6"/>
          <w:numId w:val="1"/>
        </w:numPr>
        <w:spacing w:before="240" w:after="0"/>
        <w:rPr/>
      </w:pPr>
      <w:r>
        <w:rPr/>
        <w:t>Provide one Sample applied to core material with specified edge material applied to one edge.</w:t>
      </w:r>
    </w:p>
    <w:p>
      <w:pPr>
        <w:pStyle w:val="PR2"/>
        <w:numPr>
          <w:ilvl w:val="5"/>
          <w:numId w:val="1"/>
        </w:numPr>
        <w:spacing w:before="240" w:after="0"/>
        <w:rPr/>
      </w:pPr>
      <w:r>
        <w:rPr/>
        <w:t>Thermally Fused Laminate Panels: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&lt;</w:t>
      </w:r>
      <w:r>
        <w:rPr>
          <w:b/>
        </w:rPr>
        <w:t>Insert dimensions</w:t>
      </w:r>
      <w:r>
        <w:rPr/>
        <w:t>&gt;, for each color, pattern, and surface finish.</w:t>
      </w:r>
    </w:p>
    <w:p>
      <w:pPr>
        <w:pStyle w:val="CMT"/>
        <w:rPr/>
      </w:pPr>
      <w:r>
        <w:rPr/>
        <w:t>Retain first subparagraph below if Samples must include edge banding.</w:t>
      </w:r>
    </w:p>
    <w:p>
      <w:pPr>
        <w:pStyle w:val="PR3"/>
        <w:numPr>
          <w:ilvl w:val="6"/>
          <w:numId w:val="1"/>
        </w:numPr>
        <w:spacing w:before="240" w:after="0"/>
        <w:rPr/>
      </w:pPr>
      <w:r>
        <w:rPr/>
        <w:t>Provide edge banding on one edge.</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spacing w:before="240" w:after="0"/>
        <w:rPr/>
      </w:pPr>
      <w:r>
        <w:rPr/>
        <w:t>Base Cabinet: One full-size,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locations.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casework manufacturer</w:t>
      </w:r>
      <w:r>
        <w:rPr/>
        <w:t>] [</w:t>
      </w:r>
      <w:r>
        <w:rPr>
          <w:b/>
        </w:rPr>
        <w:t>and</w:t>
      </w:r>
      <w:r>
        <w:rPr/>
        <w:t>] [</w:t>
      </w:r>
      <w:r>
        <w:rPr>
          <w:b/>
        </w:rPr>
        <w:t>Installer</w:t>
      </w:r>
      <w:r>
        <w:rPr/>
        <w:t>].</w:t>
      </w:r>
    </w:p>
    <w:p>
      <w:pPr>
        <w:pStyle w:val="PR1"/>
        <w:numPr>
          <w:ilvl w:val="4"/>
          <w:numId w:val="1"/>
        </w:numPr>
        <w:rPr/>
      </w:pPr>
      <w:r>
        <w:rPr/>
        <w:t>Sample Warranty: For special warranty.</w:t>
      </w:r>
    </w:p>
    <w:p>
      <w:pPr>
        <w:pStyle w:val="CMT"/>
        <w:rPr/>
      </w:pPr>
      <w:r>
        <w:rPr/>
        <w:t>Retain "Field quality-control reports" Paragraph below if AWI or WI field inspections are retained in "Field Quality Control" Article. Typically, AWI and WI do not perform inspections for every "certified" project. If field inspection is required, Architect and Contractor have the option to request these inspections at any time, at no cost to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AWI's Quality Certification Program</w:t>
      </w:r>
      <w:r>
        <w:rPr/>
        <w:t>] [</w:t>
      </w:r>
      <w:r>
        <w:rPr>
          <w:b/>
        </w:rPr>
        <w:t>WI's Certified Compliance Program</w:t>
      </w:r>
      <w:r>
        <w:rPr/>
        <w:t>] certificates.</w:t>
      </w:r>
    </w:p>
    <w:p>
      <w:pPr>
        <w:pStyle w:val="ART"/>
        <w:numPr>
          <w:ilvl w:val="3"/>
          <w:numId w:val="1"/>
        </w:numPr>
        <w:ind w:hanging="0" w:left="0"/>
        <w:rPr/>
      </w:pPr>
      <w:r>
        <w:rPr/>
        <w:t>QUALITY ASSURANCE</w:t>
      </w:r>
    </w:p>
    <w:p>
      <w:pPr>
        <w:pStyle w:val="PR1"/>
        <w:numPr>
          <w:ilvl w:val="4"/>
          <w:numId w:val="1"/>
        </w:numPr>
        <w:rPr/>
      </w:pPr>
      <w:hyperlink r:id="rId10">
        <w:r>
          <w:rPr>
            <w:rStyle w:val="Hyperlink"/>
          </w:rPr>
          <w:t>&lt;Double click to insert sustainable design text for manufacturer qualifications.&gt;</w:t>
        </w:r>
      </w:hyperlink>
    </w:p>
    <w:p>
      <w:pPr>
        <w:pStyle w:val="PR1"/>
        <w:numPr>
          <w:ilvl w:val="4"/>
          <w:numId w:val="1"/>
        </w:numPr>
        <w:rPr/>
      </w:pPr>
      <w:hyperlink r:id="rId11">
        <w:r>
          <w:rPr>
            <w:rStyle w:val="Hyperlink"/>
          </w:rPr>
          <w:t>&lt;Double click to insert sustainable design text for vendor qualifications.&gt;</w:t>
        </w:r>
      </w:hyperlink>
    </w:p>
    <w:p>
      <w:pPr>
        <w:pStyle w:val="CMT"/>
        <w:rPr/>
      </w:pPr>
      <w:r>
        <w:rPr/>
        <w:t>Retain "Installer Qualifications" Paragraph below if required. If AWI Quality Certification Program labels or certificates are required for installation, Installer must be a certified participant. If woodwork must be FSC certified, fabricator must install woodwork or be FSC certified for chain of custody.</w:t>
      </w:r>
    </w:p>
    <w:p>
      <w:pPr>
        <w:pStyle w:val="PR1"/>
        <w:numPr>
          <w:ilvl w:val="4"/>
          <w:numId w:val="1"/>
        </w:numPr>
        <w:rPr/>
      </w:pPr>
      <w:r>
        <w:rPr/>
        <w:t>Installer Qualifications: [</w:t>
      </w:r>
      <w:r>
        <w:rPr>
          <w:b/>
        </w:rPr>
        <w:t>An authorized representative who is trained and approved by manufacturer</w:t>
      </w:r>
      <w:r>
        <w:rPr/>
        <w:t>] [</w:t>
      </w:r>
      <w:r>
        <w:rPr>
          <w:b/>
        </w:rPr>
        <w:t>and</w:t>
      </w:r>
      <w:r>
        <w:rPr/>
        <w:t>] [</w:t>
      </w:r>
      <w:r>
        <w:rPr>
          <w:b/>
        </w:rPr>
        <w:t>Licensed participate in AWI's Quality Certification Program</w:t>
      </w:r>
      <w:r>
        <w:rPr/>
        <w:t>] [</w:t>
      </w:r>
      <w:r>
        <w:rPr>
          <w:b/>
        </w:rPr>
        <w:t>Licensed participate in WI's Certified Compliance Program</w:t>
      </w:r>
      <w:r>
        <w:rPr/>
        <w:t>].</w:t>
      </w:r>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other suitable material.</w:t>
      </w:r>
    </w:p>
    <w:p>
      <w:pPr>
        <w:pStyle w:val="ART"/>
        <w:numPr>
          <w:ilvl w:val="3"/>
          <w:numId w:val="1"/>
        </w:numPr>
        <w:ind w:hanging="0" w:left="0"/>
        <w:rPr/>
      </w:pPr>
      <w:r>
        <w:rPr/>
        <w:t>FIELD CONDITIONS</w:t>
      </w:r>
    </w:p>
    <w:p>
      <w:pPr>
        <w:pStyle w:val="CMT"/>
        <w:rPr/>
      </w:pPr>
      <w:r>
        <w:rPr/>
        <w:t>Retain option in "Environmental Limitations" Paragraph below if humidity is controlled during occupancy.</w:t>
      </w:r>
    </w:p>
    <w:p>
      <w:pPr>
        <w:pStyle w:val="PR1"/>
        <w:numPr>
          <w:ilvl w:val="4"/>
          <w:numId w:val="1"/>
        </w:numPr>
        <w:rPr/>
      </w:pPr>
      <w:r>
        <w:rPr/>
        <w:t>Environmental Limitations: Do not deliver or install casework until building is enclosed, wet-work is complete, and HVAC system is operating and maintaining temperature and relative humidity at levels planned for building occupants during remainder of construction period.[</w:t>
      </w:r>
      <w:r>
        <w:rPr>
          <w:b/>
        </w:rPr>
        <w:t> Maintain temperature and relative humidity during remainder of construction period in range recommended for Project location by the AWI/AWMAC/WI's "Architectural Woodwork Standards."</w:t>
      </w:r>
      <w:r>
        <w:rPr/>
        <w:t>]</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casework is indicated to fit to other construction, establish dimensions for areas where casework is to fit. Provide allowance for trimming at site, and coordinate construction to ensure that actual dimensions correspond to established dimensions.</w:t>
      </w:r>
    </w:p>
    <w:p>
      <w:pPr>
        <w:pStyle w:val="PR1"/>
        <w:numPr>
          <w:ilvl w:val="4"/>
          <w:numId w:val="1"/>
        </w:numPr>
        <w:rPr/>
      </w:pPr>
      <w:r>
        <w:rPr/>
        <w:t>Field Measurements: Where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casework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Delamination of components or other failures of glue bond.</w:t>
      </w:r>
    </w:p>
    <w:p>
      <w:pPr>
        <w:pStyle w:val="PR3"/>
        <w:numPr>
          <w:ilvl w:val="6"/>
          <w:numId w:val="1"/>
        </w:numPr>
        <w:rPr/>
      </w:pPr>
      <w:r>
        <w:rPr/>
        <w:t>Warping of components.</w:t>
      </w:r>
    </w:p>
    <w:p>
      <w:pPr>
        <w:pStyle w:val="PR3"/>
        <w:numPr>
          <w:ilvl w:val="6"/>
          <w:numId w:val="1"/>
        </w:numPr>
        <w:rPr/>
      </w:pPr>
      <w:r>
        <w:rPr/>
        <w:t>Failure of operating hardware.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GENERAL REQUIREMENTS FOR CASEWORK</w:t>
      </w:r>
    </w:p>
    <w:p>
      <w:pPr>
        <w:pStyle w:val="PR1"/>
        <w:numPr>
          <w:ilvl w:val="4"/>
          <w:numId w:val="1"/>
        </w:numPr>
        <w:rPr/>
      </w:pPr>
      <w:r>
        <w:rPr/>
        <w:t>Quality Standard: Unless otherwise indicated, comply with the AWI/AWMAC/WI's "Architectural Woodwork Standards" for grades of casework indicated for construction, finishes, installation, and other requirements.</w:t>
      </w:r>
    </w:p>
    <w:p>
      <w:pPr>
        <w:pStyle w:val="PR2"/>
        <w:numPr>
          <w:ilvl w:val="5"/>
          <w:numId w:val="1"/>
        </w:numPr>
        <w:spacing w:before="240" w:after="0"/>
        <w:rPr/>
      </w:pPr>
      <w:r>
        <w:rPr/>
        <w:t>Grade: [</w:t>
      </w:r>
      <w:r>
        <w:rPr>
          <w:b/>
        </w:rPr>
        <w:t>Premium</w:t>
      </w:r>
      <w:r>
        <w:rPr/>
        <w:t>] [</w:t>
      </w:r>
      <w:r>
        <w:rPr>
          <w:b/>
        </w:rPr>
        <w:t>Custom</w:t>
      </w:r>
      <w:r>
        <w:rPr/>
        <w:t>] [</w:t>
      </w:r>
      <w:r>
        <w:rPr>
          <w:b/>
        </w:rPr>
        <w:t>Economy</w:t>
      </w:r>
      <w:r>
        <w:rPr/>
        <w:t>].</w:t>
      </w:r>
    </w:p>
    <w:p>
      <w:pPr>
        <w:pStyle w:val="CMT"/>
        <w:rPr/>
      </w:pPr>
      <w:r>
        <w:rPr/>
        <w:t>If retaining subparagraph below, verify applicability of certification for Project's geographic location. AWI has licensed manufacturers throughout the United States. WI primarily has licensed manufacturers in California and other west coast states. Certification programs of AWI and WI are available to member and nonmember firms. Both AWI and WI inspect work and provide certification for work that passes inspection if manufacturer is not certified/licensed.</w:t>
      </w:r>
    </w:p>
    <w:p>
      <w:pPr>
        <w:pStyle w:val="PR2"/>
        <w:numPr>
          <w:ilvl w:val="5"/>
          <w:numId w:val="1"/>
        </w:numPr>
        <w:rPr/>
      </w:pPr>
      <w:r>
        <w:rPr/>
        <w:t>Provide labels and certificates from [</w:t>
      </w:r>
      <w:r>
        <w:rPr>
          <w:b/>
        </w:rPr>
        <w:t>AWI</w:t>
      </w:r>
      <w:r>
        <w:rPr/>
        <w:t>] [</w:t>
      </w:r>
      <w:r>
        <w:rPr>
          <w:b/>
        </w:rPr>
        <w:t>WI</w:t>
      </w:r>
      <w:r>
        <w:rPr/>
        <w:t>] certification program indicating that casework complies with requirements of grades specified.</w:t>
      </w:r>
    </w:p>
    <w:p>
      <w:pPr>
        <w:pStyle w:val="CMT"/>
        <w:rPr/>
      </w:pPr>
      <w:r>
        <w:rPr/>
        <w:t>Retain one of two subparagraphs below if Project is to be certified under AWI's Quality Certification Program.</w:t>
      </w:r>
    </w:p>
    <w:p>
      <w:pPr>
        <w:pStyle w:val="PR3"/>
        <w:numPr>
          <w:ilvl w:val="6"/>
          <w:numId w:val="1"/>
        </w:numPr>
        <w:spacing w:before="240" w:after="0"/>
        <w:rPr/>
      </w:pPr>
      <w:r>
        <w:rPr/>
        <w:t>This Project has been registered with AWI as AWI's Quality Certification Program Number &lt;</w:t>
      </w:r>
      <w:r>
        <w:rPr>
          <w:b/>
        </w:rPr>
        <w:t>Insert number</w:t>
      </w:r>
      <w:r>
        <w:rPr/>
        <w:t>&gt;.</w:t>
      </w:r>
    </w:p>
    <w:p>
      <w:pPr>
        <w:pStyle w:val="PR3"/>
        <w:numPr>
          <w:ilvl w:val="6"/>
          <w:numId w:val="1"/>
        </w:numPr>
        <w:rPr/>
      </w:pPr>
      <w:r>
        <w:rPr/>
        <w:t>Contractor to register the Work under this Section with AWI's Quality Certification Program at www.awiqcp.org or by calling 855-345-0991.</w:t>
      </w:r>
    </w:p>
    <w:p>
      <w:pPr>
        <w:pStyle w:val="PR1"/>
        <w:numPr>
          <w:ilvl w:val="4"/>
          <w:numId w:val="1"/>
        </w:numPr>
        <w:rPr/>
      </w:pPr>
      <w:hyperlink r:id="rId12">
        <w:r>
          <w:rPr>
            <w:rStyle w:val="Hyperlink"/>
          </w:rPr>
          <w:t>&lt;Double click to insert sustainable design text for regional wood materials.&gt;</w:t>
        </w:r>
      </w:hyperlink>
    </w:p>
    <w:p>
      <w:pPr>
        <w:pStyle w:val="PR1"/>
        <w:numPr>
          <w:ilvl w:val="4"/>
          <w:numId w:val="1"/>
        </w:numPr>
        <w:rPr/>
      </w:pPr>
      <w:hyperlink r:id="rId13">
        <w:r>
          <w:rPr>
            <w:rStyle w:val="Hyperlink"/>
          </w:rPr>
          <w:t>&lt;Double click to insert sustainable design text for certified wood.&gt;</w:t>
        </w:r>
      </w:hyperlink>
    </w:p>
    <w:p>
      <w:pPr>
        <w:pStyle w:val="PR1"/>
        <w:numPr>
          <w:ilvl w:val="4"/>
          <w:numId w:val="1"/>
        </w:numPr>
        <w:rPr/>
      </w:pPr>
      <w:r>
        <w:rPr/>
        <w:t>Product Designations:</w:t>
      </w:r>
    </w:p>
    <w:p>
      <w:pPr>
        <w:pStyle w:val="CMT"/>
        <w:rPr/>
      </w:pPr>
      <w:r>
        <w:rPr/>
        <w:t>Retain one of two subparagraphs below if applicable.</w:t>
      </w:r>
    </w:p>
    <w:p>
      <w:pPr>
        <w:pStyle w:val="PR2"/>
        <w:numPr>
          <w:ilvl w:val="5"/>
          <w:numId w:val="1"/>
        </w:numPr>
        <w:spacing w:before="240" w:after="0"/>
        <w:rPr/>
      </w:pPr>
      <w:r>
        <w:rPr/>
        <w:t>Drawings indicate sizes, configurations, and finish materials of manufactured plastic-laminate-clad casework by referencing designated manufacturer's catalog numbers. Other manufacturers' casework of similar sizes and door and drawer configurations, of same finish materials, and complying with the Specifications may be considered. See Section 016000 "Product Requirements."</w:t>
      </w:r>
    </w:p>
    <w:p>
      <w:pPr>
        <w:pStyle w:val="PR2"/>
        <w:numPr>
          <w:ilvl w:val="5"/>
          <w:numId w:val="1"/>
        </w:numPr>
        <w:rPr/>
      </w:pPr>
      <w:r>
        <w:rPr/>
        <w:t>Drawings indicate configurations of manufactured plastic-laminate-clad casework by referencing designations of Casework Design Series numbering system in the Appendix of the AWI/AWMAC/WI's "Architectural Woodwork Standards."</w:t>
      </w:r>
    </w:p>
    <w:p>
      <w:pPr>
        <w:pStyle w:val="ART"/>
        <w:numPr>
          <w:ilvl w:val="3"/>
          <w:numId w:val="1"/>
        </w:numPr>
        <w:ind w:hanging="0" w:left="0"/>
        <w:rPr/>
      </w:pPr>
      <w:r>
        <w:rPr/>
        <w:t>PLASTIC-LAMINATE-CLAD CASEWORK</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Design: [</w:t>
      </w:r>
      <w:r>
        <w:rPr>
          <w:b/>
        </w:rPr>
        <w:t>Face-frame</w:t>
      </w:r>
      <w:r>
        <w:rPr/>
        <w:t>] [</w:t>
      </w:r>
      <w:r>
        <w:rPr>
          <w:b/>
        </w:rPr>
        <w:t>Frameless</w:t>
      </w:r>
      <w:r>
        <w:rPr/>
        <w:t>] cabinet construction with the following door and drawer-front style:</w:t>
      </w:r>
    </w:p>
    <w:p>
      <w:pPr>
        <w:pStyle w:val="CMT"/>
        <w:rPr/>
      </w:pPr>
      <w:r>
        <w:rPr/>
        <w:t>Retain one of three subparagraphs below. Flush-overlay doors and drawer fronts require frameless construction. Verify availability with manufacturers.</w:t>
      </w:r>
    </w:p>
    <w:p>
      <w:pPr>
        <w:pStyle w:val="PR2"/>
        <w:numPr>
          <w:ilvl w:val="5"/>
          <w:numId w:val="1"/>
        </w:numPr>
        <w:spacing w:before="240" w:after="0"/>
        <w:rPr/>
      </w:pPr>
      <w:r>
        <w:rPr/>
        <w:t>Lipped overlay with radiused wood edges[</w:t>
      </w:r>
      <w:r>
        <w:rPr>
          <w:b/>
        </w:rPr>
        <w:t> and full-width, recessed finger pulls machined into faces of doors and drawers</w:t>
      </w:r>
      <w:r>
        <w:rPr/>
        <w:t>].</w:t>
      </w:r>
    </w:p>
    <w:p>
      <w:pPr>
        <w:pStyle w:val="PR2"/>
        <w:numPr>
          <w:ilvl w:val="5"/>
          <w:numId w:val="1"/>
        </w:numPr>
        <w:rPr/>
      </w:pPr>
      <w:r>
        <w:rPr/>
        <w:t>Reveal overlay[</w:t>
      </w:r>
      <w:r>
        <w:rPr>
          <w:b/>
        </w:rPr>
        <w:t> with recessed finger pulls machined into faces of doors and drawers</w:t>
      </w:r>
      <w:r>
        <w:rPr/>
        <w:t>].</w:t>
      </w:r>
    </w:p>
    <w:p>
      <w:pPr>
        <w:pStyle w:val="PR2"/>
        <w:numPr>
          <w:ilvl w:val="5"/>
          <w:numId w:val="1"/>
        </w:numPr>
        <w:rPr/>
      </w:pPr>
      <w:r>
        <w:rPr/>
        <w:t>Flush overlay.</w:t>
      </w:r>
    </w:p>
    <w:p>
      <w:pPr>
        <w:pStyle w:val="PR1"/>
        <w:numPr>
          <w:ilvl w:val="4"/>
          <w:numId w:val="1"/>
        </w:numPr>
        <w:rPr/>
      </w:pPr>
      <w:r>
        <w:rPr/>
        <w:t>Grain Direction for Wood-Grain Plastic Laminate:</w:t>
      </w:r>
    </w:p>
    <w:p>
      <w:pPr>
        <w:pStyle w:val="PR2"/>
        <w:numPr>
          <w:ilvl w:val="5"/>
          <w:numId w:val="1"/>
        </w:numPr>
        <w:spacing w:before="240" w:after="0"/>
        <w:rPr/>
      </w:pPr>
      <w:r>
        <w:rPr/>
        <w:t>Doors: Vertical with continuous vertical matching.</w:t>
      </w:r>
    </w:p>
    <w:p>
      <w:pPr>
        <w:pStyle w:val="PR2"/>
        <w:numPr>
          <w:ilvl w:val="5"/>
          <w:numId w:val="1"/>
        </w:numPr>
        <w:rPr/>
      </w:pPr>
      <w:r>
        <w:rPr/>
        <w:t>Drawer Fronts: [</w:t>
      </w:r>
      <w:r>
        <w:rPr>
          <w:b/>
        </w:rPr>
        <w:t>Vertical with continuous vertical matching</w:t>
      </w:r>
      <w:r>
        <w:rPr/>
        <w:t>] [</w:t>
      </w:r>
      <w:r>
        <w:rPr>
          <w:b/>
        </w:rPr>
        <w:t>Horizontal</w:t>
      </w:r>
      <w:r>
        <w:rPr/>
        <w:t>].</w:t>
      </w:r>
    </w:p>
    <w:p>
      <w:pPr>
        <w:pStyle w:val="PR2"/>
        <w:numPr>
          <w:ilvl w:val="5"/>
          <w:numId w:val="1"/>
        </w:numPr>
        <w:rPr/>
      </w:pPr>
      <w:r>
        <w:rPr/>
        <w:t>Face Frame Members: Lengthwise.</w:t>
      </w:r>
    </w:p>
    <w:p>
      <w:pPr>
        <w:pStyle w:val="PR2"/>
        <w:numPr>
          <w:ilvl w:val="5"/>
          <w:numId w:val="1"/>
        </w:numPr>
        <w:rPr/>
      </w:pPr>
      <w:r>
        <w:rPr/>
        <w:t>End Panels: Vertical.</w:t>
      </w:r>
    </w:p>
    <w:p>
      <w:pPr>
        <w:pStyle w:val="PR2"/>
        <w:numPr>
          <w:ilvl w:val="5"/>
          <w:numId w:val="1"/>
        </w:numPr>
        <w:rPr/>
      </w:pPr>
      <w:r>
        <w:rPr/>
        <w:t>Bottoms and Tops of Units: Side to side.</w:t>
      </w:r>
    </w:p>
    <w:p>
      <w:pPr>
        <w:pStyle w:val="PR2"/>
        <w:numPr>
          <w:ilvl w:val="5"/>
          <w:numId w:val="1"/>
        </w:numPr>
        <w:rPr/>
      </w:pPr>
      <w:r>
        <w:rPr/>
        <w:t>Knee Space Panels: Vertical.</w:t>
      </w:r>
    </w:p>
    <w:p>
      <w:pPr>
        <w:pStyle w:val="PR2"/>
        <w:numPr>
          <w:ilvl w:val="5"/>
          <w:numId w:val="1"/>
        </w:numPr>
        <w:rPr/>
      </w:pPr>
      <w:r>
        <w:rPr/>
        <w:t>Aprons: Horizontal.</w:t>
      </w:r>
    </w:p>
    <w:p>
      <w:pPr>
        <w:pStyle w:val="PR1"/>
        <w:numPr>
          <w:ilvl w:val="4"/>
          <w:numId w:val="1"/>
        </w:numPr>
        <w:rPr/>
      </w:pPr>
      <w:r>
        <w:rPr/>
        <w:t>Exposed Materials:</w:t>
      </w:r>
    </w:p>
    <w:p>
      <w:pPr>
        <w:pStyle w:val="CMT"/>
        <w:rPr/>
      </w:pPr>
      <w:r>
        <w:rPr/>
        <w:t>First grade in "Plastic-Laminate Grade" Subparagraph below is standard general-purpose horizontal grade typically used for flat countertops; second is standard general-purpose vertical grade typically used for stock casework.</w:t>
      </w:r>
    </w:p>
    <w:p>
      <w:pPr>
        <w:pStyle w:val="PR2"/>
        <w:numPr>
          <w:ilvl w:val="5"/>
          <w:numId w:val="1"/>
        </w:numPr>
        <w:spacing w:before="240" w:after="0"/>
        <w:rPr/>
      </w:pPr>
      <w:r>
        <w:rPr/>
        <w:t>Plastic-Laminate Grade: [</w:t>
      </w:r>
      <w:r>
        <w:rPr>
          <w:b/>
        </w:rPr>
        <w:t>HGS</w:t>
      </w:r>
      <w:r>
        <w:rPr/>
        <w:t>] [</w:t>
      </w:r>
      <w:r>
        <w:rPr>
          <w:b/>
        </w:rPr>
        <w:t>VGS</w:t>
      </w:r>
      <w:r>
        <w:rPr/>
        <w:t>].</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requirements</w:t>
      </w:r>
      <w:r>
        <w:rPr/>
        <w:t>&gt;.</w:t>
      </w:r>
    </w:p>
    <w:p>
      <w:pPr>
        <w:pStyle w:val="PR2"/>
        <w:numPr>
          <w:ilvl w:val="5"/>
          <w:numId w:val="1"/>
        </w:numPr>
        <w:spacing w:before="240" w:after="0"/>
        <w:rPr/>
      </w:pPr>
      <w:r>
        <w:rPr/>
        <w:t>Edgebanding: [</w:t>
      </w:r>
      <w:r>
        <w:rPr>
          <w:b/>
        </w:rPr>
        <w:t>Plastic laminate matching adjacent surfaces</w:t>
      </w:r>
      <w:r>
        <w:rPr/>
        <w:t>] [</w:t>
      </w:r>
      <w:r>
        <w:rPr>
          <w:b/>
        </w:rPr>
        <w:t>PVC</w:t>
      </w:r>
      <w:r>
        <w:rPr/>
        <w:t>].</w:t>
      </w:r>
    </w:p>
    <w:p>
      <w:pPr>
        <w:pStyle w:val="CMT"/>
        <w:rPr/>
      </w:pPr>
      <w:r>
        <w:rPr/>
        <w:t>Retain "PVC Edgebanding Color" Subparagraph below if retaining second option in "Edgebanding" Subparagraph above.</w:t>
      </w:r>
    </w:p>
    <w:p>
      <w:pPr>
        <w:pStyle w:val="PR3"/>
        <w:numPr>
          <w:ilvl w:val="6"/>
          <w:numId w:val="1"/>
        </w:numPr>
        <w:spacing w:before="240" w:after="0"/>
        <w:rPr/>
      </w:pPr>
      <w:r>
        <w:rPr/>
        <w:t>PVC Edgebanding Color: [</w:t>
      </w:r>
      <w:r>
        <w:rPr>
          <w:b/>
        </w:rPr>
        <w:t>Casework manufacturer's standard</w:t>
      </w:r>
      <w:r>
        <w:rPr/>
        <w:t>] [</w:t>
      </w:r>
      <w:r>
        <w:rPr>
          <w:b/>
        </w:rPr>
        <w:t>As selected by Architect from casework manufacturer's full range</w:t>
      </w:r>
      <w:r>
        <w:rPr/>
        <w:t>] &lt;</w:t>
      </w:r>
      <w:r>
        <w:rPr>
          <w:b/>
        </w:rPr>
        <w:t>Insert requirements</w:t>
      </w:r>
      <w:r>
        <w:rPr/>
        <w:t>&gt;.</w:t>
      </w:r>
    </w:p>
    <w:p>
      <w:pPr>
        <w:pStyle w:val="PR2"/>
        <w:numPr>
          <w:ilvl w:val="5"/>
          <w:numId w:val="1"/>
        </w:numPr>
        <w:spacing w:before="240" w:after="0"/>
        <w:rPr/>
      </w:pPr>
      <w:r>
        <w:rPr/>
        <w:t>Solid Wood: Clear hardwood lumber of species indicated, selected for compatible grain and color.</w:t>
      </w:r>
    </w:p>
    <w:p>
      <w:pPr>
        <w:pStyle w:val="PR3"/>
        <w:numPr>
          <w:ilvl w:val="6"/>
          <w:numId w:val="1"/>
        </w:numPr>
        <w:spacing w:before="240" w:after="0"/>
        <w:rPr/>
      </w:pPr>
      <w:r>
        <w:rPr/>
        <w:t>Wood Species: [</w:t>
      </w:r>
      <w:r>
        <w:rPr>
          <w:b/>
        </w:rPr>
        <w:t>Red oak</w:t>
      </w:r>
      <w:r>
        <w:rPr/>
        <w:t>] [</w:t>
      </w:r>
      <w:r>
        <w:rPr>
          <w:b/>
        </w:rPr>
        <w:t>White birch</w:t>
      </w:r>
      <w:r>
        <w:rPr/>
        <w:t>] [</w:t>
      </w:r>
      <w:r>
        <w:rPr>
          <w:b/>
        </w:rPr>
        <w:t>Alder</w:t>
      </w:r>
      <w:r>
        <w:rPr/>
        <w:t>] [</w:t>
      </w:r>
      <w:r>
        <w:rPr>
          <w:b/>
        </w:rPr>
        <w:t>White maple</w:t>
      </w:r>
      <w:r>
        <w:rPr/>
        <w:t>] [</w:t>
      </w:r>
      <w:r>
        <w:rPr>
          <w:b/>
        </w:rPr>
        <w:t>Hickory</w:t>
      </w:r>
      <w:r>
        <w:rPr/>
        <w:t>] [</w:t>
      </w:r>
      <w:r>
        <w:rPr>
          <w:b/>
        </w:rPr>
        <w:t>Cherry</w:t>
      </w:r>
      <w:r>
        <w:rPr/>
        <w:t>] &lt;</w:t>
      </w:r>
      <w:r>
        <w:rPr>
          <w:b/>
        </w:rPr>
        <w:t>Insert species</w:t>
      </w:r>
      <w:r>
        <w:rPr/>
        <w:t>&gt;.</w:t>
      </w:r>
    </w:p>
    <w:p>
      <w:pPr>
        <w:pStyle w:val="PR3"/>
        <w:numPr>
          <w:ilvl w:val="6"/>
          <w:numId w:val="1"/>
        </w:numPr>
        <w:rPr/>
      </w:pPr>
      <w:r>
        <w:rPr/>
        <w:t>Wood Finish: [</w:t>
      </w:r>
      <w:r>
        <w:rPr>
          <w:b/>
        </w:rPr>
        <w:t>As indicated by manufacturer's designations</w:t>
      </w:r>
      <w:r>
        <w:rPr/>
        <w:t>] [</w:t>
      </w:r>
      <w:r>
        <w:rPr>
          <w:b/>
        </w:rPr>
        <w:t>Match Architect's sample</w:t>
      </w:r>
      <w:r>
        <w:rPr/>
        <w:t>] [</w:t>
      </w:r>
      <w:r>
        <w:rPr>
          <w:b/>
        </w:rPr>
        <w:t>As selected by Architect from casework manufacturer's full range</w:t>
      </w:r>
      <w:r>
        <w:rPr/>
        <w:t>] &lt;</w:t>
      </w:r>
      <w:r>
        <w:rPr>
          <w:b/>
        </w:rPr>
        <w:t>Insert requirements</w:t>
      </w:r>
      <w:r>
        <w:rPr/>
        <w:t>&gt;.</w:t>
      </w:r>
    </w:p>
    <w:p>
      <w:pPr>
        <w:pStyle w:val="PR1"/>
        <w:numPr>
          <w:ilvl w:val="4"/>
          <w:numId w:val="1"/>
        </w:numPr>
        <w:rPr/>
      </w:pPr>
      <w:r>
        <w:rPr/>
        <w:t>Semiexposed Materials:</w:t>
      </w:r>
    </w:p>
    <w:p>
      <w:pPr>
        <w:pStyle w:val="CMT"/>
        <w:rPr/>
      </w:pPr>
      <w:r>
        <w:rPr/>
        <w:t>Retain "Plastic Laminate" or "Thermally Fused Laminate (TFL) Panels" Subparagraph below.</w:t>
      </w:r>
    </w:p>
    <w:p>
      <w:pPr>
        <w:pStyle w:val="PR2"/>
        <w:numPr>
          <w:ilvl w:val="5"/>
          <w:numId w:val="1"/>
        </w:numPr>
        <w:spacing w:before="240" w:after="0"/>
        <w:rPr/>
      </w:pPr>
      <w:r>
        <w:rPr/>
        <w:t>Plastic Laminate: Grade VGS unless otherwise indicated. Provide plastic laminate for semiexposed surfaces unless otherwise indicated.</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As selected by Architect from manufacturer's full range</w:t>
      </w:r>
      <w:r>
        <w:rPr/>
        <w:t>] &lt;</w:t>
      </w:r>
      <w:r>
        <w:rPr>
          <w:b/>
        </w:rPr>
        <w:t>Insert requirements</w:t>
      </w:r>
      <w:r>
        <w:rPr/>
        <w:t>&gt;.</w:t>
      </w:r>
    </w:p>
    <w:p>
      <w:pPr>
        <w:pStyle w:val="PR3"/>
        <w:numPr>
          <w:ilvl w:val="6"/>
          <w:numId w:val="1"/>
        </w:numPr>
        <w:rPr/>
      </w:pPr>
      <w:r>
        <w:rPr/>
        <w:t>Provide plastic laminate of same grade as exposed surfaces for interior faces of doors and drawer fronts and other locations where opposite side of component is exposed.</w:t>
      </w:r>
    </w:p>
    <w:p>
      <w:pPr>
        <w:pStyle w:val="PR2"/>
        <w:numPr>
          <w:ilvl w:val="5"/>
          <w:numId w:val="1"/>
        </w:numPr>
        <w:spacing w:before="240" w:after="0"/>
        <w:rPr/>
      </w:pPr>
      <w:r>
        <w:rPr/>
        <w:t>Thermally Fused Laminate (TFL) Panels: Provide thermally fused laminate panels for semiexposed surfaces unless otherwise indicated.</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As selected by Architect from manufacturer's full range</w:t>
      </w:r>
      <w:r>
        <w:rPr/>
        <w:t>] &lt;</w:t>
      </w:r>
      <w:r>
        <w:rPr>
          <w:b/>
        </w:rPr>
        <w:t>Insert requirements</w:t>
      </w:r>
      <w:r>
        <w:rPr/>
        <w:t>&gt;.</w:t>
      </w:r>
    </w:p>
    <w:p>
      <w:pPr>
        <w:pStyle w:val="PR3"/>
        <w:numPr>
          <w:ilvl w:val="6"/>
          <w:numId w:val="1"/>
        </w:numPr>
        <w:rPr/>
      </w:pPr>
      <w:r>
        <w:rPr/>
        <w:t>Provide plastic laminate of same grade as exposed surfaces for interior faces of doors and drawer fronts and other locations where opposite side of component is exposed.</w:t>
      </w:r>
    </w:p>
    <w:p>
      <w:pPr>
        <w:pStyle w:val="CMT"/>
        <w:rPr/>
      </w:pPr>
      <w:r>
        <w:rPr/>
        <w:t>Retain "Hardboard" Subparagraph below if allowed.</w:t>
      </w:r>
    </w:p>
    <w:p>
      <w:pPr>
        <w:pStyle w:val="PR2"/>
        <w:numPr>
          <w:ilvl w:val="5"/>
          <w:numId w:val="1"/>
        </w:numPr>
        <w:spacing w:before="240" w:after="0"/>
        <w:rPr/>
      </w:pPr>
      <w:r>
        <w:rPr/>
        <w:t>Hardboard: Use only for cabinet backs where exterior side of back is not exposed.</w:t>
      </w:r>
    </w:p>
    <w:p>
      <w:pPr>
        <w:pStyle w:val="CMT"/>
        <w:rPr/>
      </w:pPr>
      <w:r>
        <w:rPr/>
        <w:t>Retain "Metal for Steel Drawer Pans" Subparagraph below if using steel drawer pans.</w:t>
      </w:r>
    </w:p>
    <w:p>
      <w:pPr>
        <w:pStyle w:val="PR2"/>
        <w:numPr>
          <w:ilvl w:val="5"/>
          <w:numId w:val="1"/>
        </w:numPr>
        <w:rPr/>
      </w:pPr>
      <w:r>
        <w:rPr/>
        <w:t>Metal for Steel Drawer Pans: Cold-rolled, carbon-steel sheet complying with ASTM A1008/A1008M; matte finish; suitable for exposed applications.</w:t>
      </w:r>
    </w:p>
    <w:p>
      <w:pPr>
        <w:pStyle w:val="PR2"/>
        <w:numPr>
          <w:ilvl w:val="5"/>
          <w:numId w:val="1"/>
        </w:numPr>
        <w:rPr/>
      </w:pPr>
      <w:r>
        <w:rPr/>
        <w:t>Unless otherwise indicated, provide specified edgebanding on all semiexposed edges.</w:t>
      </w:r>
    </w:p>
    <w:p>
      <w:pPr>
        <w:pStyle w:val="PR1"/>
        <w:numPr>
          <w:ilvl w:val="4"/>
          <w:numId w:val="1"/>
        </w:numPr>
        <w:rPr/>
      </w:pPr>
      <w:r>
        <w:rPr/>
        <w:t>Concealed Materials:</w:t>
      </w:r>
    </w:p>
    <w:p>
      <w:pPr>
        <w:pStyle w:val="PR2"/>
        <w:numPr>
          <w:ilvl w:val="5"/>
          <w:numId w:val="1"/>
        </w:numPr>
        <w:spacing w:before="240" w:after="0"/>
        <w:rPr/>
      </w:pPr>
      <w:r>
        <w:rPr/>
        <w:t>Solid Wood: With no defects affecting strength or utility.</w:t>
      </w:r>
    </w:p>
    <w:p>
      <w:pPr>
        <w:pStyle w:val="PR2"/>
        <w:numPr>
          <w:ilvl w:val="5"/>
          <w:numId w:val="1"/>
        </w:numPr>
        <w:rPr/>
      </w:pPr>
      <w:r>
        <w:rPr/>
        <w:t>Plywood: Hardwood plywood.</w:t>
      </w:r>
    </w:p>
    <w:p>
      <w:pPr>
        <w:pStyle w:val="PR2"/>
        <w:numPr>
          <w:ilvl w:val="5"/>
          <w:numId w:val="1"/>
        </w:numPr>
        <w:rPr/>
      </w:pPr>
      <w:r>
        <w:rPr/>
        <w:t>Plastic Laminate: Grade VGS.</w:t>
      </w:r>
    </w:p>
    <w:p>
      <w:pPr>
        <w:pStyle w:val="PR2"/>
        <w:numPr>
          <w:ilvl w:val="5"/>
          <w:numId w:val="1"/>
        </w:numPr>
        <w:rPr/>
      </w:pPr>
      <w:r>
        <w:rPr/>
        <w:t>Particleboard.</w:t>
      </w:r>
    </w:p>
    <w:p>
      <w:pPr>
        <w:pStyle w:val="PR2"/>
        <w:numPr>
          <w:ilvl w:val="5"/>
          <w:numId w:val="1"/>
        </w:numPr>
        <w:rPr/>
      </w:pPr>
      <w:r>
        <w:rPr/>
        <w:t>MDF.</w:t>
      </w:r>
    </w:p>
    <w:p>
      <w:pPr>
        <w:pStyle w:val="CMT"/>
        <w:rPr/>
      </w:pPr>
      <w:r>
        <w:rPr/>
        <w:t>Retain "Hardboard" Subparagraph below if allowed for cabinet backs.</w:t>
      </w:r>
    </w:p>
    <w:p>
      <w:pPr>
        <w:pStyle w:val="PR2"/>
        <w:numPr>
          <w:ilvl w:val="5"/>
          <w:numId w:val="1"/>
        </w:numPr>
        <w:rPr/>
      </w:pPr>
      <w:r>
        <w:rPr/>
        <w:t>Hardboard.</w:t>
      </w:r>
    </w:p>
    <w:p>
      <w:pPr>
        <w:pStyle w:val="ART"/>
        <w:numPr>
          <w:ilvl w:val="3"/>
          <w:numId w:val="1"/>
        </w:numPr>
        <w:ind w:hanging="0" w:left="0"/>
        <w:rPr/>
      </w:pPr>
      <w:r>
        <w:rPr/>
        <w:t>HARDWARE AND ACCESSORIES</w:t>
      </w:r>
    </w:p>
    <w:p>
      <w:pPr>
        <w:pStyle w:val="CMT"/>
        <w:rPr/>
      </w:pPr>
      <w:r>
        <w:rPr/>
        <w:t>This article includes common hardware items; revise to suit Project.</w:t>
      </w:r>
    </w:p>
    <w:p>
      <w:pPr>
        <w:pStyle w:val="PR1"/>
        <w:numPr>
          <w:ilvl w:val="4"/>
          <w:numId w:val="1"/>
        </w:numPr>
        <w:rPr/>
      </w:pPr>
      <w:r>
        <w:rPr/>
        <w:t>Hardware: Unless otherwise indicated, provide manufacturer's standard [</w:t>
      </w:r>
      <w:r>
        <w:rPr>
          <w:b/>
        </w:rPr>
        <w:t>satin-finish</w:t>
      </w:r>
      <w:r>
        <w:rPr/>
        <w:t>] [</w:t>
      </w:r>
      <w:r>
        <w:rPr>
          <w:b/>
        </w:rPr>
        <w:t>mirror polished-finish</w:t>
      </w:r>
      <w:r>
        <w:rPr/>
        <w:t>] [</w:t>
      </w:r>
      <w:r>
        <w:rPr>
          <w:b/>
        </w:rPr>
        <w:t>powder-coated</w:t>
      </w:r>
      <w:r>
        <w:rPr/>
        <w:t>], commercial-quality, heavy-duty hardware.</w:t>
      </w:r>
    </w:p>
    <w:p>
      <w:pPr>
        <w:pStyle w:val="PR2"/>
        <w:numPr>
          <w:ilvl w:val="5"/>
          <w:numId w:val="1"/>
        </w:numPr>
        <w:spacing w:before="240" w:after="0"/>
        <w:rPr/>
      </w:pPr>
      <w:r>
        <w:rPr/>
        <w:t>Use threaded metal or plastic inserts with machine screws for fastening to particleboard except where hardware is through-bolted from back side.</w:t>
      </w:r>
    </w:p>
    <w:p>
      <w:pPr>
        <w:pStyle w:val="CMT"/>
        <w:rPr/>
      </w:pPr>
      <w:r>
        <w:rPr/>
        <w:t>Heavy-duty butt hinges are stronger than frameless concealed hinges (European type).</w:t>
      </w:r>
    </w:p>
    <w:p>
      <w:pPr>
        <w:pStyle w:val="PR1"/>
        <w:numPr>
          <w:ilvl w:val="4"/>
          <w:numId w:val="1"/>
        </w:numPr>
        <w:rPr/>
      </w:pPr>
      <w:r>
        <w:rPr/>
        <w:t>Butt Hinges: [</w:t>
      </w:r>
      <w:r>
        <w:rPr>
          <w:b/>
        </w:rPr>
        <w:t>Stainless steel</w:t>
      </w:r>
      <w:r>
        <w:rPr/>
        <w:t>] [</w:t>
      </w:r>
      <w:r>
        <w:rPr>
          <w:b/>
        </w:rPr>
        <w:t>Chrome-plated</w:t>
      </w:r>
      <w:r>
        <w:rPr/>
        <w:t>] [</w:t>
      </w:r>
      <w:r>
        <w:rPr>
          <w:b/>
        </w:rPr>
        <w:t>Powder-coated</w:t>
      </w:r>
      <w:r>
        <w:rPr/>
        <w:t xml:space="preserve">], semiconcealed, five-knuckle hinges complying with ANSI/BHMA A156.9, Grade 1, with antifriction bearings and rounded tips. Provide two hinges for doors less than </w:t>
      </w:r>
      <w:r>
        <w:rPr>
          <w:rStyle w:val="IP"/>
        </w:rPr>
        <w:t>48 inches</w:t>
      </w:r>
      <w:r>
        <w:rPr>
          <w:rStyle w:val="SI"/>
        </w:rPr>
        <w:t xml:space="preserve"> (1220 mm)</w:t>
      </w:r>
      <w:r>
        <w:rPr/>
        <w:t xml:space="preserve"> high, and provide three hinges for doors more than </w:t>
      </w:r>
      <w:r>
        <w:rPr>
          <w:rStyle w:val="IP"/>
        </w:rPr>
        <w:t>48 inches</w:t>
      </w:r>
      <w:r>
        <w:rPr>
          <w:rStyle w:val="SI"/>
        </w:rPr>
        <w:t xml:space="preserve"> (1220 mm)</w:t>
      </w:r>
      <w:r>
        <w:rPr/>
        <w:t xml:space="preserve"> high.</w:t>
      </w:r>
    </w:p>
    <w:p>
      <w:pPr>
        <w:pStyle w:val="PR1"/>
        <w:numPr>
          <w:ilvl w:val="4"/>
          <w:numId w:val="1"/>
        </w:numPr>
        <w:rPr/>
      </w:pPr>
      <w:r>
        <w:rPr/>
        <w:t>Frameless Concealed Hinges (European Type): ANSI/BHMA A156.9, Type B01602[</w:t>
      </w:r>
      <w:r>
        <w:rPr>
          <w:b/>
        </w:rPr>
        <w:t>, self-closing</w:t>
      </w:r>
      <w:r>
        <w:rPr/>
        <w:t xml:space="preserve">]. Provide two hinges for doors less than </w:t>
      </w:r>
      <w:r>
        <w:rPr>
          <w:rStyle w:val="IP"/>
        </w:rPr>
        <w:t>48 inches</w:t>
      </w:r>
      <w:r>
        <w:rPr>
          <w:rStyle w:val="SI"/>
        </w:rPr>
        <w:t xml:space="preserve"> (1220 mm)</w:t>
      </w:r>
      <w:r>
        <w:rPr/>
        <w:t xml:space="preserve"> high, and provide three hinges for doors more than </w:t>
      </w:r>
      <w:r>
        <w:rPr>
          <w:rStyle w:val="IP"/>
        </w:rPr>
        <w:t>48 inches</w:t>
      </w:r>
      <w:r>
        <w:rPr>
          <w:rStyle w:val="SI"/>
        </w:rPr>
        <w:t xml:space="preserve"> (1220 mm)</w:t>
      </w:r>
      <w:r>
        <w:rPr/>
        <w:t xml:space="preserve"> high.</w:t>
      </w:r>
    </w:p>
    <w:p>
      <w:pPr>
        <w:pStyle w:val="PR2"/>
        <w:numPr>
          <w:ilvl w:val="5"/>
          <w:numId w:val="1"/>
        </w:numPr>
        <w:spacing w:before="240" w:after="0"/>
        <w:rPr/>
      </w:pPr>
      <w:r>
        <w:rPr/>
        <w:t>Degrees of Opening: [</w:t>
      </w:r>
      <w:r>
        <w:rPr>
          <w:b/>
        </w:rPr>
        <w:t>100</w:t>
      </w:r>
      <w:r>
        <w:rPr/>
        <w:t>] [</w:t>
      </w:r>
      <w:r>
        <w:rPr>
          <w:b/>
        </w:rPr>
        <w:t>135</w:t>
      </w:r>
      <w:r>
        <w:rPr/>
        <w:t>] [</w:t>
      </w:r>
      <w:r>
        <w:rPr>
          <w:b/>
        </w:rPr>
        <w:t>170</w:t>
      </w:r>
      <w:r>
        <w:rPr/>
        <w:t>] degrees.</w:t>
      </w:r>
    </w:p>
    <w:p>
      <w:pPr>
        <w:pStyle w:val="PR1"/>
        <w:numPr>
          <w:ilvl w:val="4"/>
          <w:numId w:val="1"/>
        </w:numPr>
        <w:rPr/>
      </w:pPr>
      <w:r>
        <w:rPr/>
        <w:t>Wire Pulls: Solid [</w:t>
      </w:r>
      <w:r>
        <w:rPr>
          <w:b/>
        </w:rPr>
        <w:t>nylon</w:t>
      </w:r>
      <w:r>
        <w:rPr/>
        <w:t>] [</w:t>
      </w:r>
      <w:r>
        <w:rPr>
          <w:b/>
        </w:rPr>
        <w:t>aluminum</w:t>
      </w:r>
      <w:r>
        <w:rPr/>
        <w:t>] [</w:t>
      </w:r>
      <w:r>
        <w:rPr>
          <w:b/>
        </w:rPr>
        <w:t>stainless steel</w:t>
      </w:r>
      <w:r>
        <w:rPr/>
        <w:t>] [</w:t>
      </w:r>
      <w:r>
        <w:rPr>
          <w:b/>
        </w:rPr>
        <w:t>or</w:t>
      </w:r>
      <w:r>
        <w:rPr/>
        <w:t>] [</w:t>
      </w:r>
      <w:r>
        <w:rPr>
          <w:b/>
        </w:rPr>
        <w:t>chrome-plated brass</w:t>
      </w:r>
      <w:r>
        <w:rPr/>
        <w:t>] wire pulls, fastened from back with two screws.</w:t>
      </w:r>
    </w:p>
    <w:p>
      <w:pPr>
        <w:pStyle w:val="PR2"/>
        <w:numPr>
          <w:ilvl w:val="5"/>
          <w:numId w:val="1"/>
        </w:numPr>
        <w:spacing w:before="240" w:after="0"/>
        <w:rPr/>
      </w:pPr>
      <w:r>
        <w:rPr/>
        <w:t>For sliding doors, provide recessed [</w:t>
      </w:r>
      <w:r>
        <w:rPr>
          <w:b/>
        </w:rPr>
        <w:t>stainless steel</w:t>
      </w:r>
      <w:r>
        <w:rPr/>
        <w:t>] [</w:t>
      </w:r>
      <w:r>
        <w:rPr>
          <w:b/>
        </w:rPr>
        <w:t>or</w:t>
      </w:r>
      <w:r>
        <w:rPr/>
        <w:t>] [</w:t>
      </w:r>
      <w:r>
        <w:rPr>
          <w:b/>
        </w:rPr>
        <w:t>chrome-plated</w:t>
      </w:r>
      <w:r>
        <w:rPr/>
        <w:t>] flush pulls.</w:t>
      </w:r>
    </w:p>
    <w:p>
      <w:pPr>
        <w:pStyle w:val="PR2"/>
        <w:numPr>
          <w:ilvl w:val="5"/>
          <w:numId w:val="1"/>
        </w:numPr>
        <w:rPr/>
      </w:pPr>
      <w:r>
        <w:rPr/>
        <w:t xml:space="preserve">Provide two pulls for drawers more than </w:t>
      </w:r>
      <w:r>
        <w:rPr>
          <w:rStyle w:val="IP"/>
        </w:rPr>
        <w:t>24 inches</w:t>
      </w:r>
      <w:r>
        <w:rPr>
          <w:rStyle w:val="SI"/>
        </w:rPr>
        <w:t xml:space="preserve"> (600 mm)</w:t>
      </w:r>
      <w:r>
        <w:rPr/>
        <w:t xml:space="preserve"> wide.</w:t>
      </w:r>
    </w:p>
    <w:p>
      <w:pPr>
        <w:pStyle w:val="PR1"/>
        <w:numPr>
          <w:ilvl w:val="4"/>
          <w:numId w:val="1"/>
        </w:numPr>
        <w:rPr/>
      </w:pPr>
      <w:r>
        <w:rPr/>
        <w:t xml:space="preserve">Semirecessed Pulls: Plastic. For sliding doors, provide recessed plastic flush-pulls. Provide two pulls for drawers more than </w:t>
      </w:r>
      <w:r>
        <w:rPr>
          <w:rStyle w:val="IP"/>
        </w:rPr>
        <w:t>24 inches</w:t>
      </w:r>
      <w:r>
        <w:rPr>
          <w:rStyle w:val="SI"/>
        </w:rPr>
        <w:t xml:space="preserve"> (600 mm)</w:t>
      </w:r>
      <w:r>
        <w:rPr/>
        <w:t xml:space="preserve"> wide.</w:t>
      </w:r>
    </w:p>
    <w:p>
      <w:pPr>
        <w:pStyle w:val="CMT"/>
        <w:rPr/>
      </w:pPr>
      <w:r>
        <w:rPr/>
        <w:t>"Door Catches" Paragraph below can be deleted if using self-closing hinges. Magnetic catches are less expensive than roller spring catches but are not as effective.</w:t>
      </w:r>
    </w:p>
    <w:p>
      <w:pPr>
        <w:pStyle w:val="PR1"/>
        <w:numPr>
          <w:ilvl w:val="4"/>
          <w:numId w:val="1"/>
        </w:numPr>
        <w:rPr/>
      </w:pPr>
      <w:r>
        <w:rPr/>
        <w:t>Door Catches: [</w:t>
      </w:r>
      <w:r>
        <w:rPr>
          <w:b/>
        </w:rPr>
        <w:t>Zinc-plated</w:t>
      </w:r>
      <w:r>
        <w:rPr/>
        <w:t>] [</w:t>
      </w:r>
      <w:r>
        <w:rPr>
          <w:b/>
        </w:rPr>
        <w:t>Powder-coated</w:t>
      </w:r>
      <w:r>
        <w:rPr/>
        <w:t>], [</w:t>
      </w:r>
      <w:r>
        <w:rPr>
          <w:b/>
        </w:rPr>
        <w:t>nylon-roller spring catch</w:t>
      </w:r>
      <w:r>
        <w:rPr/>
        <w:t>] [</w:t>
      </w:r>
      <w:r>
        <w:rPr>
          <w:b/>
        </w:rPr>
        <w:t>or</w:t>
      </w:r>
      <w:r>
        <w:rPr/>
        <w:t>] [</w:t>
      </w:r>
      <w:r>
        <w:rPr>
          <w:b/>
        </w:rPr>
        <w:t>dual, self-aligning, permanent magnet catch</w:t>
      </w:r>
      <w:r>
        <w:rPr/>
        <w:t xml:space="preserve">]. Provide two catches on doors more than </w:t>
      </w:r>
      <w:r>
        <w:rPr>
          <w:rStyle w:val="IP"/>
        </w:rPr>
        <w:t>48 inches</w:t>
      </w:r>
      <w:r>
        <w:rPr>
          <w:rStyle w:val="SI"/>
        </w:rPr>
        <w:t xml:space="preserve"> (1220 mm)</w:t>
      </w:r>
      <w:r>
        <w:rPr/>
        <w:t xml:space="preserve"> high.</w:t>
      </w:r>
    </w:p>
    <w:p>
      <w:pPr>
        <w:pStyle w:val="PR1"/>
        <w:numPr>
          <w:ilvl w:val="4"/>
          <w:numId w:val="1"/>
        </w:numPr>
        <w:rPr/>
      </w:pPr>
      <w:r>
        <w:rPr/>
        <w:t>Door and Drawer Bumpers: Self-adhering, clear silicone rubber.</w:t>
      </w:r>
    </w:p>
    <w:p>
      <w:pPr>
        <w:pStyle w:val="PR2"/>
        <w:numPr>
          <w:ilvl w:val="5"/>
          <w:numId w:val="1"/>
        </w:numPr>
        <w:spacing w:before="240" w:after="0"/>
        <w:rPr/>
      </w:pPr>
      <w:r>
        <w:rPr/>
        <w:t>Doors: Provide one bumper at top and bottom of closing edge of each swinging door.</w:t>
      </w:r>
    </w:p>
    <w:p>
      <w:pPr>
        <w:pStyle w:val="PR2"/>
        <w:numPr>
          <w:ilvl w:val="5"/>
          <w:numId w:val="1"/>
        </w:numPr>
        <w:rPr/>
      </w:pPr>
      <w:r>
        <w:rPr/>
        <w:t>Drawers: Provide one bumper on back side of drawer front at each corner.</w:t>
      </w:r>
    </w:p>
    <w:p>
      <w:pPr>
        <w:pStyle w:val="PR1"/>
        <w:numPr>
          <w:ilvl w:val="4"/>
          <w:numId w:val="1"/>
        </w:numPr>
        <w:rPr/>
      </w:pPr>
      <w:r>
        <w:rPr/>
        <w:t>Drawer Slides: ANSI/BHMA A156.9.</w:t>
      </w:r>
    </w:p>
    <w:p>
      <w:pPr>
        <w:pStyle w:val="CMT"/>
        <w:rPr/>
      </w:pPr>
      <w:r>
        <w:rPr/>
        <w:t>Retain first subparagraph below for manufacturer's standard drawer slides.</w:t>
      </w:r>
    </w:p>
    <w:p>
      <w:pPr>
        <w:pStyle w:val="PR2"/>
        <w:numPr>
          <w:ilvl w:val="5"/>
          <w:numId w:val="1"/>
        </w:numPr>
        <w:spacing w:before="240" w:after="0"/>
        <w:rPr/>
      </w:pPr>
      <w:r>
        <w:rPr/>
        <w:t>Manufacturer's standard.</w:t>
      </w:r>
    </w:p>
    <w:p>
      <w:pPr>
        <w:pStyle w:val="CMT"/>
        <w:rPr/>
      </w:pPr>
      <w:r>
        <w:rPr/>
        <w:t>Revise first two subparagraphs below if retaining a standard manufacturer option, or if Project requires drawer slides specified by features and load capacity.</w:t>
      </w:r>
    </w:p>
    <w:p>
      <w:pPr>
        <w:pStyle w:val="PR2"/>
        <w:numPr>
          <w:ilvl w:val="5"/>
          <w:numId w:val="1"/>
        </w:numPr>
        <w:rPr/>
      </w:pPr>
      <w:r>
        <w:rPr/>
        <w:t>Standard Duty (Grade 1): [</w:t>
      </w:r>
      <w:r>
        <w:rPr>
          <w:b/>
        </w:rPr>
        <w:t>Side mount</w:t>
      </w:r>
      <w:r>
        <w:rPr/>
        <w:t>] [</w:t>
      </w:r>
      <w:r>
        <w:rPr>
          <w:b/>
        </w:rPr>
        <w:t>Undermount</w:t>
      </w:r>
      <w:r>
        <w:rPr/>
        <w:t>].</w:t>
      </w:r>
    </w:p>
    <w:p>
      <w:pPr>
        <w:pStyle w:val="PR2"/>
        <w:numPr>
          <w:ilvl w:val="5"/>
          <w:numId w:val="1"/>
        </w:numPr>
        <w:rPr/>
      </w:pPr>
      <w:r>
        <w:rPr/>
        <w:t>Heavy Duty (Grade 1HD-100):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PR3"/>
        <w:numPr>
          <w:ilvl w:val="6"/>
          <w:numId w:val="1"/>
        </w:numPr>
        <w:rPr/>
      </w:pPr>
      <w:r>
        <w:rPr/>
        <w:t>Material: [</w:t>
      </w:r>
      <w:r>
        <w:rPr>
          <w:b/>
        </w:rPr>
        <w:t>Epoxy-coated polymer</w:t>
      </w:r>
      <w:r>
        <w:rPr/>
        <w:t>] [</w:t>
      </w:r>
      <w:r>
        <w:rPr>
          <w:b/>
        </w:rPr>
        <w:t>Zinc-plated steel</w:t>
      </w:r>
      <w:r>
        <w:rPr/>
        <w:t>] slides.</w:t>
      </w:r>
    </w:p>
    <w:p>
      <w:pPr>
        <w:pStyle w:val="CMT"/>
        <w:rPr/>
      </w:pPr>
      <w:r>
        <w:rPr/>
        <w:t>"Soft close dampener" is only available with epoxy-coated polymer slides; "self-closing mechanism" is only offered with ball bearing drawer slides.</w:t>
      </w:r>
    </w:p>
    <w:p>
      <w:pPr>
        <w:pStyle w:val="PR3"/>
        <w:numPr>
          <w:ilvl w:val="6"/>
          <w:numId w:val="1"/>
        </w:numPr>
        <w:rPr/>
      </w:pPr>
      <w:r>
        <w:rPr/>
        <w:t>Motion Feature: [</w:t>
      </w:r>
      <w:r>
        <w:rPr>
          <w:b/>
        </w:rPr>
        <w:t>Soft close dampener</w:t>
      </w:r>
      <w:r>
        <w:rPr/>
        <w:t>] [</w:t>
      </w:r>
      <w:r>
        <w:rPr>
          <w:b/>
        </w:rPr>
        <w:t>Self-closing mechanism</w:t>
      </w:r>
      <w:r>
        <w:rPr/>
        <w:t>].</w:t>
      </w:r>
    </w:p>
    <w:p>
      <w:pPr>
        <w:pStyle w:val="CMT"/>
        <w:rPr/>
      </w:pPr>
      <w:r>
        <w:rPr/>
        <w:t>Below subparagraphs are stock casework drawer types and their associated minimum load capacity. Revise as necessary.</w:t>
      </w:r>
    </w:p>
    <w:p>
      <w:pPr>
        <w:pStyle w:val="PR2"/>
        <w:numPr>
          <w:ilvl w:val="5"/>
          <w:numId w:val="1"/>
        </w:numPr>
        <w:spacing w:before="240" w:after="0"/>
        <w:rPr/>
      </w:pPr>
      <w:r>
        <w:rPr/>
        <w:t>General-purpose drawers;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File drawers; provide [</w:t>
      </w:r>
      <w:r>
        <w:rPr>
          <w:rStyle w:val="IP"/>
          <w:b/>
        </w:rPr>
        <w:t>150 lb</w:t>
      </w:r>
      <w:r>
        <w:rPr>
          <w:rStyle w:val="SI"/>
          <w:b/>
        </w:rPr>
        <w:t xml:space="preserve"> (45 kg)</w:t>
      </w:r>
      <w:r>
        <w:rPr/>
        <w:t>] &lt;</w:t>
      </w:r>
      <w:r>
        <w:rPr>
          <w:b/>
        </w:rPr>
        <w:t>Insert weight</w:t>
      </w:r>
      <w:r>
        <w:rPr/>
        <w:t>&gt; load capacity.</w:t>
      </w:r>
    </w:p>
    <w:p>
      <w:pPr>
        <w:pStyle w:val="PR1"/>
        <w:numPr>
          <w:ilvl w:val="4"/>
          <w:numId w:val="1"/>
        </w:numPr>
        <w:rPr/>
      </w:pPr>
      <w:r>
        <w:rPr/>
        <w:t>Label Holders: [</w:t>
      </w:r>
      <w:r>
        <w:rPr>
          <w:b/>
        </w:rPr>
        <w:t>Stainless steel</w:t>
      </w:r>
      <w:r>
        <w:rPr/>
        <w:t>] [</w:t>
      </w:r>
      <w:r>
        <w:rPr>
          <w:b/>
        </w:rPr>
        <w:t>or</w:t>
      </w:r>
      <w:r>
        <w:rPr/>
        <w:t>] [</w:t>
      </w:r>
      <w:r>
        <w:rPr>
          <w:b/>
        </w:rPr>
        <w:t>chrome plated</w:t>
      </w:r>
      <w:r>
        <w:rPr/>
        <w:t xml:space="preserve">], sized to receive standard label cards approximately </w:t>
      </w:r>
      <w:r>
        <w:rPr>
          <w:rStyle w:val="IP"/>
        </w:rPr>
        <w:t>1 by 2 inches</w:t>
      </w:r>
      <w:r>
        <w:rPr>
          <w:rStyle w:val="SI"/>
        </w:rPr>
        <w:t xml:space="preserve"> (25 by 51 mm)</w:t>
      </w:r>
      <w:r>
        <w:rPr/>
        <w:t>, and attached with screws or brads.</w:t>
      </w:r>
    </w:p>
    <w:p>
      <w:pPr>
        <w:pStyle w:val="PR2"/>
        <w:numPr>
          <w:ilvl w:val="5"/>
          <w:numId w:val="1"/>
        </w:numPr>
        <w:spacing w:before="240" w:after="0"/>
        <w:rPr/>
      </w:pPr>
      <w:r>
        <w:rPr/>
        <w:t>Provide label holders [</w:t>
      </w:r>
      <w:r>
        <w:rPr>
          <w:b/>
        </w:rPr>
        <w:t>where indicated</w:t>
      </w:r>
      <w:r>
        <w:rPr/>
        <w:t>] [</w:t>
      </w:r>
      <w:r>
        <w:rPr>
          <w:b/>
        </w:rPr>
        <w:t>on drawers</w:t>
      </w:r>
      <w:r>
        <w:rPr/>
        <w:t>].</w:t>
      </w:r>
    </w:p>
    <w:p>
      <w:pPr>
        <w:pStyle w:val="PR1"/>
        <w:numPr>
          <w:ilvl w:val="4"/>
          <w:numId w:val="1"/>
        </w:numPr>
        <w:rPr/>
      </w:pPr>
      <w:r>
        <w:rPr/>
        <w:t>Drawer and Hinged-Door Locks: [</w:t>
      </w:r>
      <w:r>
        <w:rPr>
          <w:b/>
        </w:rPr>
        <w:t>Cylindrical (cam)</w:t>
      </w:r>
      <w:r>
        <w:rPr/>
        <w:t>] [</w:t>
      </w:r>
      <w:r>
        <w:rPr>
          <w:b/>
        </w:rPr>
        <w:t>Mortise</w:t>
      </w:r>
      <w:r>
        <w:rPr/>
        <w:t>] type, five-pin tumbler, brass with chrome-plated finish, and complying with ANSI/BHMA A156.11, Grade 1.</w:t>
      </w:r>
    </w:p>
    <w:p>
      <w:pPr>
        <w:pStyle w:val="PR2"/>
        <w:numPr>
          <w:ilvl w:val="5"/>
          <w:numId w:val="1"/>
        </w:numPr>
        <w:spacing w:before="240" w:after="0"/>
        <w:rPr/>
      </w:pPr>
      <w:r>
        <w:rPr/>
        <w:t>Provide a minimum of two keys per lock and six master keys.</w:t>
      </w:r>
    </w:p>
    <w:p>
      <w:pPr>
        <w:pStyle w:val="PR2"/>
        <w:numPr>
          <w:ilvl w:val="5"/>
          <w:numId w:val="1"/>
        </w:numPr>
        <w:rPr/>
      </w:pPr>
      <w:r>
        <w:rPr/>
        <w:t>Provide locks [</w:t>
      </w:r>
      <w:r>
        <w:rPr>
          <w:b/>
        </w:rPr>
        <w:t>where indicated</w:t>
      </w:r>
      <w:r>
        <w:rPr/>
        <w:t>] [</w:t>
      </w:r>
      <w:r>
        <w:rPr>
          <w:b/>
        </w:rPr>
        <w:t>on every door and drawer</w:t>
      </w:r>
      <w:r>
        <w:rPr/>
        <w:t>].</w:t>
      </w:r>
    </w:p>
    <w:p>
      <w:pPr>
        <w:pStyle w:val="PR3"/>
        <w:numPr>
          <w:ilvl w:val="6"/>
          <w:numId w:val="1"/>
        </w:numPr>
        <w:spacing w:before="240" w:after="0"/>
        <w:rPr/>
      </w:pPr>
      <w:r>
        <w:rPr/>
        <w:t>Master key for up to [</w:t>
      </w:r>
      <w:r>
        <w:rPr>
          <w:b/>
        </w:rPr>
        <w:t>500</w:t>
      </w:r>
      <w:r>
        <w:rPr/>
        <w:t>] &lt;</w:t>
      </w:r>
      <w:r>
        <w:rPr>
          <w:b/>
        </w:rPr>
        <w:t>Insert number</w:t>
      </w:r>
      <w:r>
        <w:rPr/>
        <w:t>&gt; key changes.</w:t>
      </w:r>
    </w:p>
    <w:p>
      <w:pPr>
        <w:pStyle w:val="PR1"/>
        <w:numPr>
          <w:ilvl w:val="4"/>
          <w:numId w:val="1"/>
        </w:numPr>
        <w:rPr/>
      </w:pPr>
      <w:r>
        <w:rPr/>
        <w:t>Sliding-Door Hardware Sets: Manufacturer's standard, to suit type and size of sliding-door unit.</w:t>
      </w:r>
    </w:p>
    <w:p>
      <w:pPr>
        <w:pStyle w:val="CMT"/>
        <w:rPr/>
      </w:pPr>
      <w:r>
        <w:rPr/>
        <w:t>Retain one of two subparagraphs below. Products in first subparagraph are standard with many manufacturers; products in second are stronger.</w:t>
      </w:r>
    </w:p>
    <w:p>
      <w:pPr>
        <w:pStyle w:val="PR2"/>
        <w:numPr>
          <w:ilvl w:val="5"/>
          <w:numId w:val="1"/>
        </w:numPr>
        <w:spacing w:before="240" w:after="0"/>
        <w:rPr/>
      </w:pPr>
      <w:r>
        <w:rPr/>
        <w:t>Pin-type, [</w:t>
      </w:r>
      <w:r>
        <w:rPr>
          <w:b/>
        </w:rPr>
        <w:t>two-pin-locking plastic shelf rests complying with ANSI/BHMA A156.9, Type B04013</w:t>
      </w:r>
      <w:r>
        <w:rPr/>
        <w:t>] [</w:t>
      </w:r>
      <w:r>
        <w:rPr>
          <w:b/>
        </w:rPr>
        <w:t>Single-pin metal shelf rests complying with ANSI/BHMA A156.9, Type B04013</w:t>
      </w:r>
      <w:r>
        <w:rPr/>
        <w:t>].</w:t>
      </w:r>
    </w:p>
    <w:p>
      <w:pPr>
        <w:pStyle w:val="PR2"/>
        <w:numPr>
          <w:ilvl w:val="5"/>
          <w:numId w:val="1"/>
        </w:numPr>
        <w:rPr/>
      </w:pPr>
      <w:r>
        <w:rPr/>
        <w:t>Mortise-type, [</w:t>
      </w:r>
      <w:r>
        <w:rPr>
          <w:b/>
        </w:rPr>
        <w:t>zinc-plated</w:t>
      </w:r>
      <w:r>
        <w:rPr/>
        <w:t>] [</w:t>
      </w:r>
      <w:r>
        <w:rPr>
          <w:b/>
        </w:rPr>
        <w:t>powder-coated</w:t>
      </w:r>
      <w:r>
        <w:rPr/>
        <w:t>] steel standards and shelf rests complying with ANSI/BHMA A156.9, Type B04071 and Type B04091.</w:t>
      </w:r>
    </w:p>
    <w:p>
      <w:pPr>
        <w:pStyle w:val="ART"/>
        <w:numPr>
          <w:ilvl w:val="3"/>
          <w:numId w:val="1"/>
        </w:numPr>
        <w:ind w:hanging="0" w:left="0"/>
        <w:rPr/>
      </w:pPr>
      <w:r>
        <w:rPr/>
        <w:t>MATERIALS</w:t>
      </w:r>
    </w:p>
    <w:p>
      <w:pPr>
        <w:pStyle w:val="PR1"/>
        <w:numPr>
          <w:ilvl w:val="4"/>
          <w:numId w:val="1"/>
        </w:numPr>
        <w:rPr/>
      </w:pPr>
      <w:hyperlink r:id="rId15">
        <w:r>
          <w:rPr>
            <w:rStyle w:val="Hyperlink"/>
          </w:rPr>
          <w:t>&lt;Double click to insert sustainable design text for composite wood products.&gt;</w:t>
        </w:r>
      </w:hyperlink>
    </w:p>
    <w:p>
      <w:pPr>
        <w:pStyle w:val="PR1"/>
        <w:numPr>
          <w:ilvl w:val="4"/>
          <w:numId w:val="1"/>
        </w:numPr>
        <w:rPr/>
      </w:pPr>
      <w:r>
        <w:rPr/>
        <w:t>Maximum Moisture Content for Lumber: 7 percent for hardwood and 12 percent for softwood.</w:t>
      </w:r>
    </w:p>
    <w:p>
      <w:pPr>
        <w:pStyle w:val="PR1"/>
        <w:numPr>
          <w:ilvl w:val="4"/>
          <w:numId w:val="1"/>
        </w:numPr>
        <w:rPr/>
      </w:pPr>
      <w:r>
        <w:rPr/>
        <w:t>Hardwood Plywood: HPVA HP-1, particleboard core except where veneer core is indicated.</w:t>
      </w:r>
    </w:p>
    <w:p>
      <w:pPr>
        <w:pStyle w:val="PR1"/>
        <w:numPr>
          <w:ilvl w:val="4"/>
          <w:numId w:val="1"/>
        </w:numPr>
        <w:rPr/>
      </w:pPr>
      <w:r>
        <w:rPr/>
        <w:t>Softwood Plywood: DOC PS 1.</w:t>
      </w:r>
    </w:p>
    <w:p>
      <w:pPr>
        <w:pStyle w:val="PR1"/>
        <w:numPr>
          <w:ilvl w:val="4"/>
          <w:numId w:val="1"/>
        </w:numPr>
        <w:rPr/>
      </w:pPr>
      <w:r>
        <w:rPr/>
        <w:t>Particleboard: ANSI A208.1, Grade M-2.</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1"/>
        <w:numPr>
          <w:ilvl w:val="4"/>
          <w:numId w:val="1"/>
        </w:numPr>
        <w:rPr/>
      </w:pPr>
      <w:r>
        <w:rPr/>
        <w:t>MDF: Medium-density fiberboard, ANSI A208.2, [</w:t>
      </w:r>
      <w:r>
        <w:rPr>
          <w:b/>
        </w:rPr>
        <w:t>Grade 130</w:t>
      </w:r>
      <w:r>
        <w:rPr/>
        <w:t>] &lt;</w:t>
      </w:r>
      <w:r>
        <w:rPr>
          <w:b/>
        </w:rPr>
        <w:t>Insert grade</w:t>
      </w:r>
      <w:r>
        <w:rPr/>
        <w:t>&gt;.</w:t>
      </w:r>
    </w:p>
    <w:p>
      <w:pPr>
        <w:pStyle w:val="PR2"/>
        <w:numPr>
          <w:ilvl w:val="5"/>
          <w:numId w:val="1"/>
        </w:numPr>
        <w:spacing w:before="240" w:after="0"/>
        <w:rPr/>
      </w:pPr>
      <w:hyperlink r:id="rId17">
        <w:r>
          <w:rPr>
            <w:rStyle w:val="Hyperlink"/>
          </w:rPr>
          <w:t>&lt;Double click to insert sustainable design text for recycled content.&gt;</w:t>
        </w:r>
      </w:hyperlink>
    </w:p>
    <w:p>
      <w:pPr>
        <w:pStyle w:val="CMT"/>
        <w:rPr/>
      </w:pPr>
      <w:r>
        <w:rPr/>
        <w:t>Retain "Hardboard" Paragraph below if allowed for cabinet backs.</w:t>
      </w:r>
    </w:p>
    <w:p>
      <w:pPr>
        <w:pStyle w:val="PR1"/>
        <w:numPr>
          <w:ilvl w:val="4"/>
          <w:numId w:val="1"/>
        </w:numPr>
        <w:rPr/>
      </w:pPr>
      <w:r>
        <w:rPr/>
        <w:t>Hardboard: ANSI A135.4, Class 1 tempered.</w:t>
      </w:r>
    </w:p>
    <w:p>
      <w:pPr>
        <w:pStyle w:val="PR2"/>
        <w:numPr>
          <w:ilvl w:val="5"/>
          <w:numId w:val="1"/>
        </w:numPr>
        <w:spacing w:before="240" w:after="0"/>
        <w:rPr/>
      </w:pPr>
      <w:hyperlink r:id="rId18">
        <w:r>
          <w:rPr>
            <w:rStyle w:val="Hyperlink"/>
          </w:rPr>
          <w:t>&lt;Double click to insert sustainable design text for recycled content.&gt;</w:t>
        </w:r>
      </w:hyperlink>
    </w:p>
    <w:p>
      <w:pPr>
        <w:pStyle w:val="PR1"/>
        <w:numPr>
          <w:ilvl w:val="4"/>
          <w:numId w:val="1"/>
        </w:numPr>
        <w:rPr/>
      </w:pPr>
      <w:r>
        <w:rPr/>
        <w:t>Plastic Laminate: High-pressure decorative laminate complying with ISO 4586-3.</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from single source from single manufacturer.</w:t>
      </w:r>
    </w:p>
    <w:p>
      <w:pPr>
        <w:pStyle w:val="CMT"/>
        <w:rPr/>
      </w:pPr>
      <w:r>
        <w:rPr/>
        <w:t>Retain "PVC Edgebanding for Plastic Laminate" Paragraph below if plastic-laminate edgebanding is required.</w:t>
      </w:r>
    </w:p>
    <w:p>
      <w:pPr>
        <w:pStyle w:val="PR1"/>
        <w:numPr>
          <w:ilvl w:val="4"/>
          <w:numId w:val="1"/>
        </w:numPr>
        <w:rPr/>
      </w:pPr>
      <w:r>
        <w:rPr/>
        <w:t>PVC Edgebanding for Plastic Laminate: Rigid PVC extrusions, through color with satin finish, 3.0 mm thick at doors and drawer fronts, 1.0 mm thick elsewhere.</w:t>
      </w:r>
    </w:p>
    <w:p>
      <w:pPr>
        <w:pStyle w:val="CMT"/>
        <w:rPr/>
      </w:pPr>
      <w:r>
        <w:rPr/>
        <w:t>Retain option in "Thermally Fused Laminate Panels" Paragraph below if retaining other requirements for AWI's or WI's quality certification programs.</w:t>
      </w:r>
    </w:p>
    <w:p>
      <w:pPr>
        <w:pStyle w:val="PR1"/>
        <w:numPr>
          <w:ilvl w:val="4"/>
          <w:numId w:val="1"/>
        </w:numPr>
        <w:rPr/>
      </w:pPr>
      <w:r>
        <w:rPr/>
        <w:t>Thermally Fused Laminate Panels: Particleboard or MDF finished with thermally fused, melamine-impregnated decorative paper[</w:t>
      </w:r>
      <w:r>
        <w:rPr>
          <w:b/>
        </w:rPr>
        <w:t>and complying with requirements of ISO 4586</w:t>
      </w:r>
      <w:r>
        <w:rPr/>
        <w:t>].</w:t>
      </w:r>
    </w:p>
    <w:p>
      <w:pPr>
        <w:pStyle w:val="PR2"/>
        <w:numPr>
          <w:ilvl w:val="5"/>
          <w:numId w:val="1"/>
        </w:numPr>
        <w:spacing w:before="240" w:after="0"/>
        <w:rPr/>
      </w:pPr>
      <w:r>
        <w:rPr/>
        <w:t>Edgebanding for Thermally Fused Laminate (TFL) Panels: PVC or polyester edgebanding matching thermally fused laminate panels.</w:t>
      </w:r>
    </w:p>
    <w:p>
      <w:pPr>
        <w:pStyle w:val="PR1"/>
        <w:numPr>
          <w:ilvl w:val="4"/>
          <w:numId w:val="1"/>
        </w:numPr>
        <w:rPr/>
      </w:pPr>
      <w:r>
        <w:rPr/>
        <w:t>Glass for Glazed Doors:</w:t>
      </w:r>
    </w:p>
    <w:p>
      <w:pPr>
        <w:pStyle w:val="PR2"/>
        <w:numPr>
          <w:ilvl w:val="5"/>
          <w:numId w:val="1"/>
        </w:numPr>
        <w:spacing w:before="240" w:after="0"/>
        <w:rPr/>
      </w:pPr>
      <w:r>
        <w:rPr/>
        <w:t>Clear float glass complying with ASTM C1036, Type I, Class 1, Quality-Q3; not less than [</w:t>
      </w:r>
      <w:r>
        <w:rPr>
          <w:b/>
        </w:rPr>
        <w:t>3.0 mm</w:t>
      </w:r>
      <w:r>
        <w:rPr/>
        <w:t>] [</w:t>
      </w:r>
      <w:r>
        <w:rPr>
          <w:b/>
        </w:rPr>
        <w:t>4.0 mm</w:t>
      </w:r>
      <w:r>
        <w:rPr/>
        <w:t>] [</w:t>
      </w:r>
      <w:r>
        <w:rPr>
          <w:b/>
        </w:rPr>
        <w:t>5.0 mm</w:t>
      </w:r>
      <w:r>
        <w:rPr/>
        <w:t>] [</w:t>
      </w:r>
      <w:r>
        <w:rPr>
          <w:b/>
        </w:rPr>
        <w:t>6.0 mm</w:t>
      </w:r>
      <w:r>
        <w:rPr/>
        <w:t>] thick.</w:t>
      </w:r>
    </w:p>
    <w:p>
      <w:pPr>
        <w:pStyle w:val="PR2"/>
        <w:numPr>
          <w:ilvl w:val="5"/>
          <w:numId w:val="1"/>
        </w:numPr>
        <w:rPr/>
      </w:pPr>
      <w:r>
        <w:rPr/>
        <w:t>Clear tempered glass complying with ASTM C1048, Kind FT, Condition A, Type I, Class 1, Quality-Q3; not less than 5.0 mm thick.</w:t>
      </w:r>
    </w:p>
    <w:p>
      <w:pPr>
        <w:pStyle w:val="PR2"/>
        <w:numPr>
          <w:ilvl w:val="5"/>
          <w:numId w:val="1"/>
        </w:numPr>
        <w:rPr/>
      </w:pPr>
      <w:r>
        <w:rPr/>
        <w:t>Clear laminated annealed glass complying with ASTM C1172, Kind LA, Condition A, Type I, Class I, Quality-Q3; with two plies not less than 3.0 mm thick and with clear, polyvinyl butyral interlayer.</w:t>
      </w:r>
    </w:p>
    <w:p>
      <w:pPr>
        <w:pStyle w:val="PR1"/>
        <w:numPr>
          <w:ilvl w:val="4"/>
          <w:numId w:val="1"/>
        </w:numPr>
        <w:rPr/>
      </w:pPr>
      <w:r>
        <w:rPr/>
        <w:t>Frameless Glass Doors: Clear tempered glass complying with ASTM C1048, Kind FT, Condition A, Type I, Class 1, Quality-Q3; not less than [</w:t>
      </w:r>
      <w:r>
        <w:rPr>
          <w:b/>
        </w:rPr>
        <w:t>5.0 mm</w:t>
      </w:r>
      <w:r>
        <w:rPr/>
        <w:t>] [</w:t>
      </w:r>
      <w:r>
        <w:rPr>
          <w:b/>
        </w:rPr>
        <w:t>6.0 mm</w:t>
      </w:r>
      <w:r>
        <w:rPr/>
        <w:t>] thick; with exposed edges seamed before tempering.</w:t>
      </w:r>
    </w:p>
    <w:p>
      <w:pPr>
        <w:pStyle w:val="PR1"/>
        <w:numPr>
          <w:ilvl w:val="4"/>
          <w:numId w:val="1"/>
        </w:numPr>
        <w:rPr/>
      </w:pPr>
      <w:hyperlink r:id="rId20">
        <w:r>
          <w:rPr>
            <w:rStyle w:val="Hyperlink"/>
          </w:rPr>
          <w:t>&lt;Double click to insert sustainable design text for adhesives.&gt;</w:t>
        </w:r>
      </w:hyperlink>
    </w:p>
    <w:p>
      <w:pPr>
        <w:pStyle w:val="ART"/>
        <w:numPr>
          <w:ilvl w:val="3"/>
          <w:numId w:val="1"/>
        </w:numPr>
        <w:ind w:hanging="0" w:left="0"/>
        <w:rPr/>
      </w:pPr>
      <w:r>
        <w:rPr/>
        <w:t>FABRICATION</w:t>
      </w:r>
    </w:p>
    <w:p>
      <w:pPr>
        <w:pStyle w:val="CMT"/>
        <w:rPr/>
      </w:pPr>
      <w:r>
        <w:rPr/>
        <w:t>Coordinate requirements retained in this article with "Quality Standard" Paragraph in "General Requirements for Casework" Article. Alternatively, delete this article and rely on the referenced quality standard to establish minimum requirements.</w:t>
      </w:r>
    </w:p>
    <w:p>
      <w:pPr>
        <w:pStyle w:val="PR1"/>
        <w:numPr>
          <w:ilvl w:val="4"/>
          <w:numId w:val="1"/>
        </w:numPr>
        <w:rPr/>
      </w:pPr>
      <w:r>
        <w:rPr/>
        <w:t>Plastic-Laminate-Clad Cabinet Construction: As required by referenced quality standard, but not less than the following:</w:t>
      </w:r>
    </w:p>
    <w:p>
      <w:pPr>
        <w:pStyle w:val="CMT"/>
        <w:rPr/>
      </w:pPr>
      <w:r>
        <w:rPr/>
        <w:t>Retain option in "Bottoms and Ends of Cabinets, and Tops of Wall Cabinets and Tall Cabinets" Subparagraph below for typical construction with plastic laminate only on exposed surfaces. Some manufacturers and most woodwork shops can supply manufactured casework with plastic laminate throughout. See the Evaluations.</w:t>
      </w:r>
    </w:p>
    <w:p>
      <w:pPr>
        <w:pStyle w:val="PR2"/>
        <w:numPr>
          <w:ilvl w:val="5"/>
          <w:numId w:val="1"/>
        </w:numPr>
        <w:spacing w:before="240" w:after="0"/>
        <w:rPr/>
      </w:pPr>
      <w:r>
        <w:rPr/>
        <w:t xml:space="preserve">Bottoms and Ends of Cabinets, and Tops of Wall Cabinets and Tall Cabinets: </w:t>
      </w:r>
      <w:r>
        <w:rPr>
          <w:rStyle w:val="IP"/>
        </w:rPr>
        <w:t>3/4-inch</w:t>
      </w:r>
      <w:r>
        <w:rPr>
          <w:rStyle w:val="SI"/>
        </w:rPr>
        <w:t xml:space="preserve"> (19-mm)</w:t>
      </w:r>
      <w:r>
        <w:rPr/>
        <w:t xml:space="preserve"> particleboard.</w:t>
      </w:r>
    </w:p>
    <w:p>
      <w:pPr>
        <w:pStyle w:val="CMT"/>
        <w:rPr/>
      </w:pPr>
      <w:r>
        <w:rPr/>
        <w:t>Retain one of two options in "Shelves" Subparagraph below. Second option is more expensive but provides stronger shelves that are less inclined to sag over time.</w:t>
      </w:r>
    </w:p>
    <w:p>
      <w:pPr>
        <w:pStyle w:val="PR2"/>
        <w:numPr>
          <w:ilvl w:val="5"/>
          <w:numId w:val="1"/>
        </w:numPr>
        <w:rPr/>
      </w:pPr>
      <w:r>
        <w:rPr/>
        <w:t>Shelves: [</w:t>
      </w:r>
      <w:r>
        <w:rPr>
          <w:rStyle w:val="IP"/>
          <w:b/>
        </w:rPr>
        <w:t>3/4-inch-</w:t>
      </w:r>
      <w:r>
        <w:rPr>
          <w:rStyle w:val="SI"/>
          <w:b/>
        </w:rPr>
        <w:t xml:space="preserve"> (19-mm-)</w:t>
      </w:r>
      <w:r>
        <w:rPr>
          <w:b/>
        </w:rPr>
        <w:t xml:space="preserve"> thick particleboard</w:t>
      </w:r>
      <w:r>
        <w:rPr/>
        <w:t>] [</w:t>
      </w:r>
      <w:r>
        <w:rPr>
          <w:rStyle w:val="IP"/>
          <w:b/>
        </w:rPr>
        <w:t>3/4-inch-</w:t>
      </w:r>
      <w:r>
        <w:rPr>
          <w:rStyle w:val="SI"/>
          <w:b/>
        </w:rPr>
        <w:t xml:space="preserve"> (19-mm-)</w:t>
      </w:r>
      <w:r>
        <w:rPr>
          <w:b/>
        </w:rPr>
        <w:t xml:space="preserve"> thick plywood or </w:t>
      </w:r>
      <w:r>
        <w:rPr>
          <w:rStyle w:val="IP"/>
          <w:b/>
        </w:rPr>
        <w:t>1-inch-</w:t>
      </w:r>
      <w:r>
        <w:rPr>
          <w:rStyle w:val="SI"/>
          <w:b/>
        </w:rPr>
        <w:t xml:space="preserve"> (25-mm-)</w:t>
      </w:r>
      <w:r>
        <w:rPr>
          <w:b/>
        </w:rPr>
        <w:t xml:space="preserve"> thick particleboard</w:t>
      </w:r>
      <w:r>
        <w:rPr/>
        <w:t>].</w:t>
      </w:r>
    </w:p>
    <w:p>
      <w:pPr>
        <w:pStyle w:val="PR2"/>
        <w:numPr>
          <w:ilvl w:val="5"/>
          <w:numId w:val="1"/>
        </w:numPr>
        <w:rPr/>
      </w:pPr>
      <w:r>
        <w:rPr/>
        <w:t xml:space="preserve">Backs of Casework: </w:t>
      </w:r>
      <w:r>
        <w:rPr>
          <w:rStyle w:val="IP"/>
        </w:rPr>
        <w:t>1/2-inch-</w:t>
      </w:r>
      <w:r>
        <w:rPr>
          <w:rStyle w:val="SI"/>
        </w:rPr>
        <w:t xml:space="preserve"> (13-mm-)</w:t>
      </w:r>
      <w:r>
        <w:rPr/>
        <w:t xml:space="preserve"> thick particleboard or MDF where exposed, [</w:t>
      </w:r>
      <w:r>
        <w:rPr>
          <w:rStyle w:val="IP"/>
          <w:b/>
        </w:rPr>
        <w:t>1/4-inch-</w:t>
      </w:r>
      <w:r>
        <w:rPr>
          <w:rStyle w:val="SI"/>
          <w:b/>
        </w:rPr>
        <w:t xml:space="preserve"> (6.4-mm-)</w:t>
      </w:r>
      <w:r>
        <w:rPr>
          <w:b/>
        </w:rPr>
        <w:t xml:space="preserve"> thick hardboard</w:t>
      </w:r>
      <w:r>
        <w:rPr/>
        <w:t>] [</w:t>
      </w:r>
      <w:r>
        <w:rPr>
          <w:rStyle w:val="IP"/>
          <w:b/>
        </w:rPr>
        <w:t>1/4-inch-</w:t>
      </w:r>
      <w:r>
        <w:rPr>
          <w:rStyle w:val="SI"/>
          <w:b/>
        </w:rPr>
        <w:t xml:space="preserve"> (6.4-mm-)</w:t>
      </w:r>
      <w:r>
        <w:rPr>
          <w:b/>
        </w:rPr>
        <w:t xml:space="preserve"> thick, veneer-core hardwood plywood</w:t>
      </w:r>
      <w:r>
        <w:rPr/>
        <w:t>] dadoed into sides, bottoms, and tops where not exposed.</w:t>
      </w:r>
    </w:p>
    <w:p>
      <w:pPr>
        <w:pStyle w:val="PR2"/>
        <w:numPr>
          <w:ilvl w:val="5"/>
          <w:numId w:val="1"/>
        </w:numPr>
        <w:rPr/>
      </w:pPr>
      <w:r>
        <w:rPr/>
        <w:t xml:space="preserve">Drawer Fronts: </w:t>
      </w:r>
      <w:r>
        <w:rPr>
          <w:rStyle w:val="IP"/>
        </w:rPr>
        <w:t>3/4-inch</w:t>
      </w:r>
      <w:r>
        <w:rPr>
          <w:rStyle w:val="SI"/>
        </w:rPr>
        <w:t xml:space="preserve"> (19-mm)</w:t>
      </w:r>
      <w:r>
        <w:rPr/>
        <w:t xml:space="preserve"> particleboard.</w:t>
      </w:r>
    </w:p>
    <w:p>
      <w:pPr>
        <w:pStyle w:val="CMT"/>
        <w:rPr/>
      </w:pPr>
      <w:r>
        <w:rPr/>
        <w:t>Retain "Drawer Sides and Backs" and "Drawer Bottoms" subparagraphs, or retain "Drawer Bodies" Subparagraph below.</w:t>
      </w:r>
    </w:p>
    <w:p>
      <w:pPr>
        <w:pStyle w:val="PR2"/>
        <w:numPr>
          <w:ilvl w:val="5"/>
          <w:numId w:val="1"/>
        </w:numPr>
        <w:rPr/>
      </w:pPr>
      <w:r>
        <w:rPr/>
        <w:t xml:space="preserve">Drawer Sides and Backs: </w:t>
      </w:r>
      <w:r>
        <w:rPr>
          <w:rStyle w:val="IP"/>
        </w:rPr>
        <w:t>1/2-inch-</w:t>
      </w:r>
      <w:r>
        <w:rPr>
          <w:rStyle w:val="SI"/>
        </w:rPr>
        <w:t xml:space="preserve"> (13-mm-)</w:t>
      </w:r>
      <w:r>
        <w:rPr/>
        <w:t xml:space="preserve"> thick [</w:t>
      </w:r>
      <w:r>
        <w:rPr>
          <w:b/>
        </w:rPr>
        <w:t>solid-wood or veneer-core hardwood plywood</w:t>
      </w:r>
      <w:r>
        <w:rPr/>
        <w:t>] [</w:t>
      </w:r>
      <w:r>
        <w:rPr>
          <w:b/>
        </w:rPr>
        <w:t>particleboard or MDF</w:t>
      </w:r>
      <w:r>
        <w:rPr/>
        <w:t>], with glued dovetail or multiple-dowel joints.</w:t>
      </w:r>
    </w:p>
    <w:p>
      <w:pPr>
        <w:pStyle w:val="PR2"/>
        <w:numPr>
          <w:ilvl w:val="5"/>
          <w:numId w:val="1"/>
        </w:numPr>
        <w:rPr/>
      </w:pPr>
      <w:r>
        <w:rPr/>
        <w:t xml:space="preserve">Drawer Bottoms: </w:t>
      </w:r>
      <w:r>
        <w:rPr>
          <w:rStyle w:val="IP"/>
        </w:rPr>
        <w:t>1/4-inch-</w:t>
      </w:r>
      <w:r>
        <w:rPr>
          <w:rStyle w:val="SI"/>
        </w:rPr>
        <w:t xml:space="preserve"> (6.4-mm-)</w:t>
      </w:r>
      <w:r>
        <w:rPr/>
        <w:t xml:space="preserve"> thick [</w:t>
      </w:r>
      <w:r>
        <w:rPr>
          <w:b/>
        </w:rPr>
        <w:t>hardwood plywood</w:t>
      </w:r>
      <w:r>
        <w:rPr/>
        <w:t>] [</w:t>
      </w:r>
      <w:r>
        <w:rPr>
          <w:b/>
        </w:rPr>
        <w:t>particleboard or MDF</w:t>
      </w:r>
      <w:r>
        <w:rPr/>
        <w:t>] glued and dadoed into front, back, and sides of drawers.[</w:t>
      </w:r>
      <w:r>
        <w:rPr>
          <w:b/>
        </w:rPr>
        <w:t xml:space="preserve"> Use </w:t>
      </w:r>
      <w:r>
        <w:rPr>
          <w:rStyle w:val="IP"/>
          <w:b/>
        </w:rPr>
        <w:t>1/2-inch</w:t>
      </w:r>
      <w:r>
        <w:rPr>
          <w:rStyle w:val="SI"/>
          <w:b/>
        </w:rPr>
        <w:t xml:space="preserve"> (13-mm)</w:t>
      </w:r>
      <w:r>
        <w:rPr>
          <w:b/>
        </w:rPr>
        <w:t xml:space="preserve"> material for drawers more than </w:t>
      </w:r>
      <w:r>
        <w:rPr>
          <w:rStyle w:val="IP"/>
          <w:b/>
        </w:rPr>
        <w:t>24 inches</w:t>
      </w:r>
      <w:r>
        <w:rPr>
          <w:rStyle w:val="SI"/>
          <w:b/>
        </w:rPr>
        <w:t xml:space="preserve"> (600 mm)</w:t>
      </w:r>
      <w:r>
        <w:rPr>
          <w:b/>
        </w:rPr>
        <w:t xml:space="preserve"> wide.</w:t>
      </w:r>
      <w:r>
        <w:rPr/>
        <w:t>]</w:t>
      </w:r>
    </w:p>
    <w:p>
      <w:pPr>
        <w:pStyle w:val="PR2"/>
        <w:numPr>
          <w:ilvl w:val="5"/>
          <w:numId w:val="1"/>
        </w:numPr>
        <w:rPr/>
      </w:pPr>
      <w:r>
        <w:rPr/>
        <w:t xml:space="preserve">Drawer Bodies: Steel drawer pans formed from </w:t>
      </w:r>
      <w:r>
        <w:rPr>
          <w:rStyle w:val="IP"/>
        </w:rPr>
        <w:t>0.0359-inch-</w:t>
      </w:r>
      <w:r>
        <w:rPr>
          <w:rStyle w:val="SI"/>
        </w:rPr>
        <w:t xml:space="preserve"> (0.9-mm-)</w:t>
      </w:r>
      <w:r>
        <w:rPr/>
        <w:t xml:space="preserve"> thick metal, metallic phosphate treated, and finished with manufacturer's standard two-coat, baked-enamel finish consisting of prime coat and thermosetting topcoat with a minimum dry film thickness of </w:t>
      </w:r>
      <w:r>
        <w:rPr>
          <w:rStyle w:val="IP"/>
        </w:rPr>
        <w:t>1 mil</w:t>
      </w:r>
      <w:r>
        <w:rPr>
          <w:rStyle w:val="SI"/>
        </w:rPr>
        <w:t xml:space="preserve"> (0.025 mm)</w:t>
      </w:r>
      <w:r>
        <w:rPr/>
        <w:t xml:space="preserve"> for topcoat and </w:t>
      </w:r>
      <w:r>
        <w:rPr>
          <w:rStyle w:val="IP"/>
        </w:rPr>
        <w:t>2 mils</w:t>
      </w:r>
      <w:r>
        <w:rPr>
          <w:rStyle w:val="SI"/>
        </w:rPr>
        <w:t xml:space="preserve"> (0.05 mm)</w:t>
      </w:r>
      <w:r>
        <w:rPr/>
        <w:t xml:space="preserve"> for system.</w:t>
      </w:r>
    </w:p>
    <w:p>
      <w:pPr>
        <w:pStyle w:val="PR2"/>
        <w:numPr>
          <w:ilvl w:val="5"/>
          <w:numId w:val="1"/>
        </w:numPr>
        <w:rPr/>
      </w:pPr>
      <w:r>
        <w:rPr/>
        <w:t>Cabinet Doors:</w:t>
      </w:r>
    </w:p>
    <w:p>
      <w:pPr>
        <w:pStyle w:val="PR3"/>
        <w:numPr>
          <w:ilvl w:val="6"/>
          <w:numId w:val="1"/>
        </w:numPr>
        <w:spacing w:before="240" w:after="0"/>
        <w:rPr/>
      </w:pPr>
      <w:r>
        <w:rPr/>
        <w:t xml:space="preserve">48 Inches (1220 mm) High or Less: </w:t>
      </w:r>
      <w:r>
        <w:rPr>
          <w:rStyle w:val="IP"/>
        </w:rPr>
        <w:t>3/4 inch</w:t>
      </w:r>
      <w:r>
        <w:rPr>
          <w:rStyle w:val="SI"/>
        </w:rPr>
        <w:t xml:space="preserve"> (19 mm)</w:t>
      </w:r>
      <w:r>
        <w:rPr/>
        <w:t xml:space="preserve"> thick, with particleboard or MDF cores[</w:t>
      </w:r>
      <w:r>
        <w:rPr>
          <w:b/>
        </w:rPr>
        <w:t> and solid-wood stiles and rails</w:t>
      </w:r>
      <w:r>
        <w:rPr/>
        <w:t>].</w:t>
      </w:r>
    </w:p>
    <w:p>
      <w:pPr>
        <w:pStyle w:val="CMT"/>
        <w:rPr/>
      </w:pPr>
      <w:r>
        <w:rPr/>
        <w:t>Doors more than 48 inches (1220 mm) high are also available in 3/4-inch (19-mm) thickness, which provides a consistent look and costs less.</w:t>
      </w:r>
    </w:p>
    <w:p>
      <w:pPr>
        <w:pStyle w:val="PR3"/>
        <w:numPr>
          <w:ilvl w:val="6"/>
          <w:numId w:val="1"/>
        </w:numPr>
        <w:rPr/>
      </w:pPr>
      <w:r>
        <w:rPr/>
        <w:t>48 Inches (1220 mm) or More in Height: [</w:t>
      </w:r>
      <w:r>
        <w:rPr>
          <w:rStyle w:val="IP"/>
          <w:b/>
        </w:rPr>
        <w:t>1-1/16 inches</w:t>
      </w:r>
      <w:r>
        <w:rPr>
          <w:rStyle w:val="SI"/>
          <w:b/>
        </w:rPr>
        <w:t xml:space="preserve"> (27 mm)</w:t>
      </w:r>
      <w:r>
        <w:rPr>
          <w:b/>
        </w:rPr>
        <w:t xml:space="preserve"> thick, with solid hardwood stiles and rails and honeycomb</w:t>
      </w:r>
      <w:r>
        <w:rPr/>
        <w:t>] [</w:t>
      </w:r>
      <w:r>
        <w:rPr>
          <w:rStyle w:val="IP"/>
          <w:b/>
        </w:rPr>
        <w:t>1-1/8 inches</w:t>
      </w:r>
      <w:r>
        <w:rPr>
          <w:rStyle w:val="SI"/>
          <w:b/>
        </w:rPr>
        <w:t xml:space="preserve"> (29 mm)</w:t>
      </w:r>
      <w:r>
        <w:rPr>
          <w:b/>
        </w:rPr>
        <w:t xml:space="preserve"> thick, with particleboard</w:t>
      </w:r>
      <w:r>
        <w:rPr/>
        <w:t>] cores.</w:t>
      </w:r>
    </w:p>
    <w:p>
      <w:pPr>
        <w:pStyle w:val="PR2"/>
        <w:numPr>
          <w:ilvl w:val="5"/>
          <w:numId w:val="1"/>
        </w:numPr>
        <w:spacing w:before="240" w:after="0"/>
        <w:rPr/>
      </w:pPr>
      <w:r>
        <w:rPr/>
        <w:t>Stiles and Rails of Glazed Doors:</w:t>
      </w:r>
    </w:p>
    <w:p>
      <w:pPr>
        <w:pStyle w:val="PR3"/>
        <w:numPr>
          <w:ilvl w:val="6"/>
          <w:numId w:val="1"/>
        </w:numPr>
        <w:spacing w:before="240" w:after="0"/>
        <w:rPr/>
      </w:pPr>
      <w:r>
        <w:rPr/>
        <w:t xml:space="preserve">48 Inches (1220 mm) High or Less: </w:t>
      </w:r>
      <w:r>
        <w:rPr>
          <w:rStyle w:val="IP"/>
        </w:rPr>
        <w:t>3/4 inch</w:t>
      </w:r>
      <w:r>
        <w:rPr>
          <w:rStyle w:val="SI"/>
        </w:rPr>
        <w:t xml:space="preserve"> (19 mm)</w:t>
      </w:r>
      <w:r>
        <w:rPr/>
        <w:t xml:space="preserve"> thick, with particleboard cores.</w:t>
      </w:r>
    </w:p>
    <w:p>
      <w:pPr>
        <w:pStyle w:val="CMT"/>
        <w:rPr/>
      </w:pPr>
      <w:r>
        <w:rPr/>
        <w:t>Glazed doors more than 48 inches (1220 mm) high are also available in 3/4-inch (19-mm) thickness, which provides consistent look and costs less.</w:t>
      </w:r>
    </w:p>
    <w:p>
      <w:pPr>
        <w:pStyle w:val="PR3"/>
        <w:numPr>
          <w:ilvl w:val="6"/>
          <w:numId w:val="1"/>
        </w:numPr>
        <w:rPr/>
      </w:pPr>
      <w:r>
        <w:rPr/>
        <w:t>48 Inches (1220 mm) or More in Height: [</w:t>
      </w:r>
      <w:r>
        <w:rPr>
          <w:rStyle w:val="IP"/>
          <w:b/>
        </w:rPr>
        <w:t>1-1/16 inches</w:t>
      </w:r>
      <w:r>
        <w:rPr>
          <w:rStyle w:val="SI"/>
          <w:b/>
        </w:rPr>
        <w:t xml:space="preserve"> (27 mm)</w:t>
      </w:r>
      <w:r>
        <w:rPr>
          <w:b/>
        </w:rPr>
        <w:t xml:space="preserve"> thick, with solid wood</w:t>
      </w:r>
      <w:r>
        <w:rPr/>
        <w:t>] [</w:t>
      </w:r>
      <w:r>
        <w:rPr>
          <w:rStyle w:val="IP"/>
          <w:b/>
        </w:rPr>
        <w:t>1-1/8 inches</w:t>
      </w:r>
      <w:r>
        <w:rPr>
          <w:rStyle w:val="SI"/>
          <w:b/>
        </w:rPr>
        <w:t xml:space="preserve"> (29 mm)</w:t>
      </w:r>
      <w:r>
        <w:rPr>
          <w:b/>
        </w:rPr>
        <w:t xml:space="preserve"> thick, with particleboard</w:t>
      </w:r>
      <w:r>
        <w:rPr/>
        <w:t>] cores.</w:t>
      </w:r>
    </w:p>
    <w:p>
      <w:pPr>
        <w:pStyle w:val="PR1"/>
        <w:numPr>
          <w:ilvl w:val="4"/>
          <w:numId w:val="1"/>
        </w:numPr>
        <w:rPr/>
      </w:pPr>
      <w:r>
        <w:rPr/>
        <w:t>Filler Strips: Provide as needed to close spaces between casework and walls, ceilings, and equipment. Fabricate from same material and with same finish as casework.</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framing and reinforcements,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casework to comply with same quality standard grade as item to be installed.</w:t>
      </w:r>
    </w:p>
    <w:p>
      <w:pPr>
        <w:pStyle w:val="PR1"/>
        <w:numPr>
          <w:ilvl w:val="4"/>
          <w:numId w:val="1"/>
        </w:numPr>
        <w:rPr/>
      </w:pPr>
      <w:r>
        <w:rPr/>
        <w:t>Install casework level, plumb, and true in line; shim as required using concealed shims. Where casework abuts other finished work, apply filler strips and scribe for accurate fit, with fasteners concealed where practical.</w:t>
      </w:r>
    </w:p>
    <w:p>
      <w:pPr>
        <w:pStyle w:val="PR1"/>
        <w:numPr>
          <w:ilvl w:val="4"/>
          <w:numId w:val="1"/>
        </w:numPr>
        <w:rPr/>
      </w:pPr>
      <w:r>
        <w:rPr/>
        <w:t xml:space="preserve">Base Cabinets: Set cabinets straight, level, and plumb. Adjust subtops within </w:t>
      </w:r>
      <w:r>
        <w:rPr>
          <w:rStyle w:val="IP"/>
        </w:rPr>
        <w:t>1/16 inch</w:t>
      </w:r>
      <w:r>
        <w:rPr>
          <w:rStyle w:val="SI"/>
        </w:rPr>
        <w:t xml:space="preserve"> (1.5 mm)</w:t>
      </w:r>
      <w:r>
        <w:rPr/>
        <w:t xml:space="preserve"> of a single plane. Align similar adjoining doors and drawers to a tolerance of </w:t>
      </w:r>
      <w:r>
        <w:rPr>
          <w:rStyle w:val="IP"/>
        </w:rPr>
        <w:t>1/16 inch</w:t>
      </w:r>
      <w:r>
        <w:rPr>
          <w:rStyle w:val="SI"/>
        </w:rPr>
        <w:t xml:space="preserve"> (1.5 mm)</w:t>
      </w:r>
      <w:r>
        <w:rPr/>
        <w:t>. Bolt adjacent cabinets together with joints flush, tight, and uniform.</w:t>
      </w:r>
    </w:p>
    <w:p>
      <w:pPr>
        <w:pStyle w:val="PR1"/>
        <w:numPr>
          <w:ilvl w:val="4"/>
          <w:numId w:val="1"/>
        </w:numPr>
        <w:rPr/>
      </w:pPr>
      <w:r>
        <w:rPr/>
        <w:t xml:space="preserve">Wall Cabinets: Hang cabinets straight, level, and plumb. Adjust fronts and bottoms within </w:t>
      </w:r>
      <w:r>
        <w:rPr>
          <w:rStyle w:val="IP"/>
        </w:rPr>
        <w:t>1/16 inch</w:t>
      </w:r>
      <w:r>
        <w:rPr>
          <w:rStyle w:val="SI"/>
        </w:rPr>
        <w:t xml:space="preserve"> (1.5 mm)</w:t>
      </w:r>
      <w:r>
        <w:rPr/>
        <w:t xml:space="preserve"> of a single plane. Fasten cabinets to hanging strips, masonry, framing, wood blocking, or reinforcements in walls and partitions. Align similar adjoining doors to a tolerance of </w:t>
      </w:r>
      <w:r>
        <w:rPr>
          <w:rStyle w:val="IP"/>
        </w:rPr>
        <w:t>1/16 inch</w:t>
      </w:r>
      <w:r>
        <w:rPr>
          <w:rStyle w:val="SI"/>
        </w:rPr>
        <w:t xml:space="preserve"> (1.5 mm)</w:t>
      </w:r>
      <w:r>
        <w:rPr/>
        <w:t>.</w:t>
      </w:r>
    </w:p>
    <w:p>
      <w:pPr>
        <w:pStyle w:val="PR1"/>
        <w:numPr>
          <w:ilvl w:val="4"/>
          <w:numId w:val="1"/>
        </w:numPr>
        <w:rPr/>
      </w:pPr>
      <w:r>
        <w:rPr/>
        <w:t>Fasten casework to adjacent units and to masonry, framing, wood blocking, or reinforcements in walls and partitions to comply with the AWI/AWMAC/WI's "Architectural Woodwork Standards."</w:t>
      </w:r>
    </w:p>
    <w:p>
      <w:pPr>
        <w:pStyle w:val="PR1"/>
        <w:numPr>
          <w:ilvl w:val="4"/>
          <w:numId w:val="1"/>
        </w:numPr>
        <w:rPr/>
      </w:pPr>
      <w:r>
        <w:rPr/>
        <w:t>Install hardware uniformly and precisely. Set hinges snug and flat in mortises unless otherwise indicated. Adjust and align hardware so moving parts operate freely and contact points meet accurately. Allow for final adjustment after installation.</w:t>
      </w:r>
    </w:p>
    <w:p>
      <w:pPr>
        <w:pStyle w:val="PR1"/>
        <w:numPr>
          <w:ilvl w:val="4"/>
          <w:numId w:val="1"/>
        </w:numPr>
        <w:rPr/>
      </w:pPr>
      <w:r>
        <w:rPr/>
        <w:t>Adjust operating hardware so doors and drawers operate smoothly without warp or bind. Lubricate operating hardware as recommended by manufacturer.</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Architect has the right to request an inspection at any time during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to prepare and submit report of inspection.</w:t>
      </w:r>
    </w:p>
    <w:p>
      <w:pPr>
        <w:pStyle w:val="ART"/>
        <w:numPr>
          <w:ilvl w:val="3"/>
          <w:numId w:val="1"/>
        </w:numPr>
        <w:ind w:hanging="0" w:left="0"/>
        <w:rPr/>
      </w:pPr>
      <w:r>
        <w:rPr/>
        <w:t>CLEANING</w:t>
      </w:r>
    </w:p>
    <w:p>
      <w:pPr>
        <w:pStyle w:val="PR1"/>
        <w:numPr>
          <w:ilvl w:val="4"/>
          <w:numId w:val="1"/>
        </w:numPr>
        <w:rPr/>
      </w:pPr>
      <w:r>
        <w:rPr/>
        <w:t>Repair or remove and replace defective work as directed on completion of installation.</w:t>
      </w:r>
    </w:p>
    <w:p>
      <w:pPr>
        <w:pStyle w:val="PR1"/>
        <w:numPr>
          <w:ilvl w:val="4"/>
          <w:numId w:val="1"/>
        </w:numPr>
        <w:rPr/>
      </w:pPr>
      <w:r>
        <w:rPr/>
        <w:t>Clean finished surfaces, touch up as required, and remove or refinish damaged or soiled areas to match original factory finish, as approved by Architect.</w:t>
      </w:r>
    </w:p>
    <w:p>
      <w:pPr>
        <w:pStyle w:val="EOS"/>
        <w:rPr/>
      </w:pPr>
      <w:r>
        <w:rPr/>
        <w:t>END OF SECTION 123216</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MANUFACTURED PLASTIC-LAMINATE-CLAD CASEWORK</w:t>
          </w:r>
        </w:p>
      </w:tc>
      <w:tc>
        <w:tcPr>
          <w:tcW w:w="1872" w:type="dxa"/>
          <w:tcBorders/>
        </w:tcPr>
        <w:p>
          <w:pPr>
            <w:pStyle w:val="RJUST"/>
            <w:rPr/>
          </w:pPr>
          <w:r>
            <w:rPr>
              <w:rStyle w:val="NUM"/>
            </w:rPr>
            <w:t>123216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23216"/>
    <w:docVar w:name="MF95" w:val="12354"/>
    <w:docVar w:name="MFOrigin" w:val="MF04"/>
    <w:docVar w:name="SectionID" w:val="1687"/>
    <w:docVar w:name="SpecType" w:val="MasterSpec"/>
    <w:docVar w:name="Version" w:val="164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216&amp;ver=03-01-22&amp;format=FL&amp;sid=16487&amp;utm_source=MasterSpec&amp;utm_medium=Word" TargetMode="External"/><Relationship Id="rId3" Type="http://schemas.openxmlformats.org/officeDocument/2006/relationships/hyperlink" Target="http://www.productmasterspec.com/construction_specifications?mf04=1232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48" TargetMode="External"/><Relationship Id="rId8" Type="http://schemas.openxmlformats.org/officeDocument/2006/relationships/hyperlink" Target="http://www.arcomnet.com/sustainable_design.aspx?topic=18" TargetMode="External"/><Relationship Id="rId9" Type="http://schemas.openxmlformats.org/officeDocument/2006/relationships/hyperlink" Target="http://www.arcomnet.com/sustainable_design.aspx?topic=17" TargetMode="External"/><Relationship Id="rId10" Type="http://schemas.openxmlformats.org/officeDocument/2006/relationships/hyperlink" Target="http://www.arcomnet.com/sustainable_design.aspx?topic=25" TargetMode="External"/><Relationship Id="rId11" Type="http://schemas.openxmlformats.org/officeDocument/2006/relationships/hyperlink" Target="http://www.arcomnet.com/sustainable_design.aspx?topic=26" TargetMode="External"/><Relationship Id="rId12" Type="http://schemas.openxmlformats.org/officeDocument/2006/relationships/hyperlink" Target="http://www.arcomnet.com/sustainable_design.aspx?topic=34" TargetMode="External"/><Relationship Id="rId13" Type="http://schemas.openxmlformats.org/officeDocument/2006/relationships/hyperlink" Target="http://www.arcomnet.com/sustainable_design.aspx?topic=133" TargetMode="External"/><Relationship Id="rId14" Type="http://schemas.openxmlformats.org/officeDocument/2006/relationships/hyperlink" Target="http://www.specagent.com/LookUp/?ulid=7080&amp;mf=&amp;src=wd" TargetMode="External"/><Relationship Id="rId15" Type="http://schemas.openxmlformats.org/officeDocument/2006/relationships/hyperlink" Target="http://www.arcomnet.com/sustainable_design.aspx?topic=63"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arcomnet.com/sustainable_design.aspx?topic=158" TargetMode="External"/><Relationship Id="rId18" Type="http://schemas.openxmlformats.org/officeDocument/2006/relationships/hyperlink" Target="http://www.arcomnet.com/sustainable_design.aspx?topic=158" TargetMode="External"/><Relationship Id="rId19" Type="http://schemas.openxmlformats.org/officeDocument/2006/relationships/hyperlink" Target="http://www.specagent.com/LookUp/?ulid=7081&amp;mf=&amp;src=wd" TargetMode="External"/><Relationship Id="rId20" Type="http://schemas.openxmlformats.org/officeDocument/2006/relationships/hyperlink" Target="http://www.arcomnet.com/sustainable_design.aspx?topic=64"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MANUFACTURED PLASTIC-LAMINATE-CLAD CASEWORK</dc:subject>
  <dc:title>SECTION 123216 - MANUFACTURED PLASTIC-LAMINATE-CLAD CASEWORK</dc:title>
</cp:coreProperties>
</file>