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123619</w:t>
      </w:r>
      <w:r>
        <w:rPr/>
        <w:t xml:space="preserve"> - </w:t>
      </w:r>
      <w:r>
        <w:rPr>
          <w:rStyle w:val="NAM"/>
        </w:rPr>
        <w:t>WOOD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MasterSpec includes provisions for LEED 2009, LEED v4,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(hereafter, AWS)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countertops.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installation adhesives.&gt;</w:t>
        </w:r>
      </w:hyperlink>
    </w:p>
    <w:p>
      <w:pPr>
        <w:pStyle w:val="PR2"/>
        <w:numPr>
          <w:ilvl w:val="5"/>
          <w:numId w:val="1"/>
        </w:numPr>
        <w:rPr/>
      </w:pPr>
      <w:hyperlink r:id="rId8">
        <w:r>
          <w:rPr>
            <w:rStyle w:val="Hyperlink"/>
          </w:rPr>
          <w:t>&lt;Double click to insert sustainable design text for composite wood.&gt;</w:t>
        </w:r>
      </w:hyperlink>
    </w:p>
    <w:p>
      <w:pPr>
        <w:pStyle w:val="PR1"/>
        <w:numPr>
          <w:ilvl w:val="4"/>
          <w:numId w:val="1"/>
        </w:numPr>
        <w:rPr/>
      </w:pPr>
      <w:r>
        <w:rPr/>
        <w:t>Shop Drawings: For wood countertops.</w:t>
      </w:r>
    </w:p>
    <w:p>
      <w:pPr>
        <w:pStyle w:val="PR2"/>
        <w:numPr>
          <w:ilvl w:val="5"/>
          <w:numId w:val="1"/>
        </w:numPr>
        <w:spacing w:before="240" w:after="0"/>
        <w:rPr/>
      </w:pPr>
      <w:r>
        <w:rPr/>
        <w:t>Include plans, sections, details, and attachments to other work. Detail fabrication and installation, including field joints.</w:t>
      </w:r>
    </w:p>
    <w:p>
      <w:pPr>
        <w:pStyle w:val="PR2"/>
        <w:numPr>
          <w:ilvl w:val="5"/>
          <w:numId w:val="1"/>
        </w:numPr>
        <w:rPr/>
      </w:pPr>
      <w:r>
        <w:rPr/>
        <w:t>Show locations and sizes of cutouts and holes for items installed in wood countertops.</w:t>
      </w:r>
    </w:p>
    <w:p>
      <w:pPr>
        <w:pStyle w:val="PR2"/>
        <w:numPr>
          <w:ilvl w:val="5"/>
          <w:numId w:val="1"/>
        </w:numPr>
        <w:rPr/>
      </w:pPr>
      <w:r>
        <w:rPr/>
        <w:t>Show veneer leaves with dimensions, grain direction, exposed face, and identification numbers indicating the flitch and sequence within the flitch for each leaf.</w:t>
      </w:r>
    </w:p>
    <w:p>
      <w:pPr>
        <w:pStyle w:val="CMT"/>
        <w:rPr/>
      </w:pPr>
      <w:r>
        <w:rPr/>
        <w:t>Retain subparagraph below and applicable options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shop-applied transparent finish and for each color and wood species specified, in manufacturer's or fabricator's standard size.</w:t>
      </w:r>
    </w:p>
    <w:p>
      <w:pPr>
        <w:pStyle w:val="PR1"/>
        <w:numPr>
          <w:ilvl w:val="4"/>
          <w:numId w:val="1"/>
        </w:numPr>
        <w:rPr/>
      </w:pPr>
      <w:r>
        <w:rPr/>
        <w:t>Samples for Initial Selection: For shop-applied transparent finishes in each wood species and in each type and color required in fabricator's standard size.</w:t>
      </w:r>
    </w:p>
    <w:p>
      <w:pPr>
        <w:pStyle w:val="PR1"/>
        <w:numPr>
          <w:ilvl w:val="4"/>
          <w:numId w:val="1"/>
        </w:numPr>
        <w:rPr/>
      </w:pPr>
      <w:r>
        <w:rPr/>
        <w:t>Samples for Verification: For the following:</w:t>
      </w:r>
    </w:p>
    <w:p>
      <w:pPr>
        <w:pStyle w:val="CMT"/>
        <w:rPr/>
      </w:pPr>
      <w:r>
        <w:rPr/>
        <w:t>Retain "Lumber for Transparent Finish" and "Veneer Leaves" subparagraphs below to control grain character, color, and finish, or insert other subparagraphs to suit Project. AWS requires samples to be "as wide as practical" by 12 inches (300 mm) long for lumber.</w:t>
      </w:r>
    </w:p>
    <w:p>
      <w:pPr>
        <w:pStyle w:val="PR2"/>
        <w:numPr>
          <w:ilvl w:val="5"/>
          <w:numId w:val="1"/>
        </w:numPr>
        <w:spacing w:before="240" w:after="0"/>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&lt;</w:t>
      </w:r>
      <w:r>
        <w:rPr>
          <w:b/>
        </w:rPr>
        <w:t>Insert dimensions</w:t>
      </w:r>
      <w:r>
        <w:rPr/>
        <w:t>&gt;, for each species and cut, finished on one side and one edge.</w:t>
      </w:r>
    </w:p>
    <w:p>
      <w:pPr>
        <w:pStyle w:val="PR2"/>
        <w:numPr>
          <w:ilvl w:val="5"/>
          <w:numId w:val="1"/>
        </w:numPr>
        <w:rPr/>
      </w:pPr>
      <w:r>
        <w:rPr/>
        <w:t>Veneer Leaves: Representative of and selected from flitches to be used for transparent-finished wood countertops.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PR1"/>
        <w:numPr>
          <w:ilvl w:val="4"/>
          <w:numId w:val="1"/>
        </w:numPr>
        <w:rPr/>
      </w:pPr>
      <w:r>
        <w:rPr/>
        <w:t>Product Certificates: For the following:</w:t>
      </w:r>
    </w:p>
    <w:p>
      <w:pPr>
        <w:pStyle w:val="PR2"/>
        <w:numPr>
          <w:ilvl w:val="5"/>
          <w:numId w:val="1"/>
        </w:numPr>
        <w:spacing w:before="240" w:after="0"/>
        <w:rPr/>
      </w:pPr>
      <w:r>
        <w:rPr/>
        <w:t>Composite wood products.</w:t>
      </w:r>
    </w:p>
    <w:p>
      <w:pPr>
        <w:pStyle w:val="PR2"/>
        <w:numPr>
          <w:ilvl w:val="5"/>
          <w:numId w:val="1"/>
        </w:numPr>
        <w:rPr/>
      </w:pPr>
      <w:r>
        <w:rPr/>
        <w:t>Adhesives.</w:t>
      </w:r>
    </w:p>
    <w:p>
      <w:pPr>
        <w:pStyle w:val="PR1"/>
        <w:numPr>
          <w:ilvl w:val="4"/>
          <w:numId w:val="1"/>
        </w:numPr>
        <w:rPr/>
      </w:pPr>
      <w:r>
        <w:rPr/>
        <w:t>Quality Standard Compliance Certificates: [</w:t>
      </w:r>
      <w:r>
        <w:rPr>
          <w:b/>
        </w:rPr>
        <w:t>AWI Quality Certification Program</w:t>
      </w:r>
      <w:r>
        <w:rPr/>
        <w:t>] [</w:t>
      </w:r>
      <w:r>
        <w:rPr>
          <w:b/>
        </w:rPr>
        <w:t>WI Certified Compliance Program</w:t>
      </w:r>
      <w:r>
        <w:rPr/>
        <w:t>].</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 fabricate products similar to those required for this Project and whose products have a record of successful in-service performance.</w:t>
      </w:r>
    </w:p>
    <w:p>
      <w:pPr>
        <w:pStyle w:val="CMT"/>
        <w:rPr/>
      </w:pPr>
      <w:r>
        <w:rPr/>
        <w:t>Retain "Shop Certification" Subparagraph below if AWI quality certification or WI compliance certification is required. Both AWI and WI will inspect work and provide certification for work that passes inspection if fabricator is not certified/licensed.</w:t>
      </w:r>
    </w:p>
    <w:p>
      <w:pPr>
        <w:pStyle w:val="PR2"/>
        <w:numPr>
          <w:ilvl w:val="5"/>
          <w:numId w:val="1"/>
        </w:numPr>
        <w:spacing w:before="240" w:after="0"/>
        <w:rPr/>
      </w:pPr>
      <w:r>
        <w:rPr/>
        <w:t>Shop Certification: [</w:t>
      </w:r>
      <w:r>
        <w:rPr>
          <w:b/>
        </w:rPr>
        <w:t>AWI's Quality Certification Program accredited participant</w:t>
      </w:r>
      <w:r>
        <w:rPr/>
        <w:t>] [</w:t>
      </w:r>
      <w:r>
        <w:rPr>
          <w:b/>
        </w:rPr>
        <w:t>WI's Certified Compliance Program licensee</w:t>
      </w:r>
      <w:r>
        <w:rPr/>
        <w:t>].</w:t>
      </w:r>
    </w:p>
    <w:p>
      <w:pPr>
        <w:pStyle w:val="CMT"/>
        <w:rPr/>
      </w:pPr>
      <w:r>
        <w:rPr/>
        <w:t>Retain "Installer Qualifications" Paragraph below if required. If AWI Quality Certification Program labels or certificates are required for installation, Installer must be a certified participant. If countertops must be FSC certified, fabricator must either install countertops or be FSC certified for chain of custody.</w:t>
      </w:r>
    </w:p>
    <w:p>
      <w:pPr>
        <w:pStyle w:val="PR1"/>
        <w:numPr>
          <w:ilvl w:val="4"/>
          <w:numId w:val="1"/>
        </w:numPr>
        <w:rPr/>
      </w:pPr>
      <w:r>
        <w:rPr/>
        <w:t>Installer Qualifications: [</w:t>
      </w:r>
      <w:r>
        <w:rPr>
          <w:b/>
        </w:rPr>
        <w:t>Fabricator of products</w:t>
      </w:r>
      <w:r>
        <w:rPr/>
        <w:t>] [</w:t>
      </w:r>
      <w:r>
        <w:rPr>
          <w:b/>
        </w:rPr>
        <w:t>AWI's Quality Certification Program accredited participant</w:t>
      </w:r>
      <w:r>
        <w:rPr/>
        <w:t>] [</w:t>
      </w:r>
      <w:r>
        <w:rPr>
          <w:b/>
        </w:rPr>
        <w:t>WI's Certified Compliance Program licensee</w:t>
      </w:r>
      <w:r>
        <w:rPr/>
        <w:t>].</w:t>
      </w:r>
    </w:p>
    <w:p>
      <w:pPr>
        <w:pStyle w:val="ART"/>
        <w:numPr>
          <w:ilvl w:val="3"/>
          <w:numId w:val="1"/>
        </w:numPr>
        <w:ind w:hanging="0" w:left="0"/>
        <w:rPr/>
      </w:pPr>
      <w:r>
        <w:rPr/>
        <w:t>DELIVERY, STORAGE, AND HANDLING</w:t>
      </w:r>
    </w:p>
    <w:p>
      <w:pPr>
        <w:pStyle w:val="PR1"/>
        <w:numPr>
          <w:ilvl w:val="4"/>
          <w:numId w:val="1"/>
        </w:numPr>
        <w:rPr/>
      </w:pPr>
      <w:r>
        <w:rPr/>
        <w:t>Deliver countertops only after casework and supports on which they will be installed have been completed in installation areas.</w:t>
      </w:r>
    </w:p>
    <w:p>
      <w:pPr>
        <w:pStyle w:val="PR1"/>
        <w:numPr>
          <w:ilvl w:val="4"/>
          <w:numId w:val="1"/>
        </w:numPr>
        <w:rPr/>
      </w:pPr>
      <w:r>
        <w:rPr/>
        <w:t>Store countertops in areas where environmental conditions comply with requirements specified in "Field Conditions" Article.</w:t>
      </w:r>
    </w:p>
    <w:p>
      <w:pPr>
        <w:pStyle w:val="PR1"/>
        <w:numPr>
          <w:ilvl w:val="4"/>
          <w:numId w:val="1"/>
        </w:numPr>
        <w:rPr/>
      </w:pPr>
      <w:r>
        <w:rPr/>
        <w:t>Keep finished surfaces of countertops covered with protective covering during handling and installation.</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wood countertops until building is enclosed, wet-work is complete, and HVAC system is operating and maintaining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For unfinished cabinets, narrower ranges will be required to maintain optimum moisture content. See relative-humidity and moisture-content map in AWS.</w:t>
      </w:r>
    </w:p>
    <w:p>
      <w:pPr>
        <w:pStyle w:val="PR1"/>
        <w:numPr>
          <w:ilvl w:val="4"/>
          <w:numId w:val="1"/>
        </w:numPr>
        <w:rPr/>
      </w:pPr>
      <w:r>
        <w:rPr/>
        <w:t xml:space="preserve">Environmental Limitations with Humidity Control: Do not deliver or install wood countertops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product fabrication to begin before installation areas are complete.</w:t>
      </w:r>
    </w:p>
    <w:p>
      <w:pPr>
        <w:pStyle w:val="PR1"/>
        <w:numPr>
          <w:ilvl w:val="4"/>
          <w:numId w:val="1"/>
        </w:numPr>
        <w:rPr/>
      </w:pPr>
      <w:r>
        <w:rPr/>
        <w:t>Field Measurements: Where wood countertops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1"/>
        <w:numPr>
          <w:ilvl w:val="4"/>
          <w:numId w:val="1"/>
        </w:numPr>
        <w:rPr/>
      </w:pPr>
      <w:r>
        <w:rPr/>
        <w:t>Established Dimensions: Where wood countertops are indicated to fit to other construction, establish dimensions for areas where wood countertops are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FABRICATORS</w:t>
      </w:r>
    </w:p>
    <w:p>
      <w:pPr>
        <w:pStyle w:val="CMT"/>
        <w:rPr/>
      </w:pPr>
      <w:r>
        <w:rPr/>
        <w:t>Retain "Fabricators" Paragraph below if a list of preapproved woodworkers is used as a quality-control procedure. See AWI's or WI's member list for names of woodworking firms.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contact information for preapproved woodworking firms</w:t>
      </w:r>
      <w:r>
        <w:rPr/>
        <w:t>&gt;.</w:t>
      </w:r>
    </w:p>
    <w:p>
      <w:pPr>
        <w:pStyle w:val="ART"/>
        <w:numPr>
          <w:ilvl w:val="3"/>
          <w:numId w:val="1"/>
        </w:numPr>
        <w:ind w:hanging="0" w:left="0"/>
        <w:rPr/>
      </w:pPr>
      <w:r>
        <w:rPr/>
        <w:t>WOOD COUNTERTOPS</w:t>
      </w:r>
    </w:p>
    <w:p>
      <w:pPr>
        <w:pStyle w:val="PR1"/>
        <w:numPr>
          <w:ilvl w:val="4"/>
          <w:numId w:val="1"/>
        </w:numPr>
        <w:rPr/>
      </w:pPr>
      <w:r>
        <w:rPr/>
        <w:t>Quality Standard: Unless otherwise indicated, comply with the "Architectural Woodwork Standards" for grades of wood countertops indicated for construction, finishes, installation, and other requirements.</w:t>
      </w:r>
    </w:p>
    <w:p>
      <w:pPr>
        <w:pStyle w:val="CMT"/>
        <w:rPr/>
      </w:pPr>
      <w:r>
        <w:rPr/>
        <w:t>If retaining first subparagraph below, verify applicability of certification for Project's geographic location. Certification programs of AWI and WI organizations are available to member and nonmember firms. Both organizations will inspect work and provide certification for work that passes inspection if fabricator is not certified/licensed. Contact either organization for a list of certified woodworkers in Project's location.</w:t>
      </w:r>
    </w:p>
    <w:p>
      <w:pPr>
        <w:pStyle w:val="PR2"/>
        <w:numPr>
          <w:ilvl w:val="5"/>
          <w:numId w:val="1"/>
        </w:numPr>
        <w:spacing w:before="240" w:after="0"/>
        <w:rPr/>
      </w:pPr>
      <w:r>
        <w:rPr/>
        <w:t>Provide inspections of fabrication and installation together with labels and certificates from [</w:t>
      </w:r>
      <w:r>
        <w:rPr>
          <w:b/>
        </w:rPr>
        <w:t>AWI</w:t>
      </w:r>
      <w:r>
        <w:rPr/>
        <w:t>] [</w:t>
      </w:r>
      <w:r>
        <w:rPr>
          <w:b/>
        </w:rPr>
        <w:t>WI</w:t>
      </w:r>
      <w:r>
        <w:rPr/>
        <w:t>] certification program indicating that countertops comply with requirements of grades specified.</w:t>
      </w:r>
    </w:p>
    <w:p>
      <w:pPr>
        <w:pStyle w:val="CMT"/>
        <w:rPr/>
      </w:pPr>
      <w:r>
        <w:rPr/>
        <w:t>Retain subparagraph below if Drawings and the Specifications are more restrictive than AWS.</w:t>
      </w:r>
    </w:p>
    <w:p>
      <w:pPr>
        <w:pStyle w:val="PR2"/>
        <w:numPr>
          <w:ilvl w:val="5"/>
          <w:numId w:val="1"/>
        </w:numPr>
        <w:rPr/>
      </w:pPr>
      <w:r>
        <w:rPr/>
        <w:t>The Contract Documents contain requirements that are more stringent than the referenced quality standard. Comply with requirements of Contract Documents in addition to those of the referenced quality standard.</w:t>
      </w:r>
    </w:p>
    <w:p>
      <w:pPr>
        <w:pStyle w:val="PR1"/>
        <w:numPr>
          <w:ilvl w:val="4"/>
          <w:numId w:val="1"/>
        </w:numPr>
        <w:rPr/>
      </w:pPr>
      <w:r>
        <w:rPr/>
        <w:t>Grade: [</w:t>
      </w:r>
      <w:r>
        <w:rPr>
          <w:b/>
        </w:rPr>
        <w:t>Premium</w:t>
      </w:r>
      <w:r>
        <w:rPr/>
        <w:t>] [</w:t>
      </w:r>
      <w:r>
        <w:rPr>
          <w:b/>
        </w:rPr>
        <w:t>Custom</w:t>
      </w:r>
      <w:r>
        <w:rPr/>
        <w:t>] [</w:t>
      </w:r>
      <w:r>
        <w:rPr>
          <w:b/>
        </w:rPr>
        <w:t>Economy</w:t>
      </w:r>
      <w:r>
        <w:rPr/>
        <w:t>].</w:t>
      </w:r>
    </w:p>
    <w:p>
      <w:pPr>
        <w:pStyle w:val="PR1"/>
        <w:numPr>
          <w:ilvl w:val="4"/>
          <w:numId w:val="1"/>
        </w:numPr>
        <w:rPr/>
      </w:pPr>
      <w:hyperlink r:id="rId9">
        <w:r>
          <w:rPr>
            <w:rStyle w:val="Hyperlink"/>
          </w:rPr>
          <w:t>&lt;Double click to insert sustainable design text for regional wood materials.&gt;</w:t>
        </w:r>
      </w:hyperlink>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r>
        <w:rPr/>
        <w:t>Solid-Wood Countertops: For transparent finish. Fabricated from solid wood, edge glued, with crown direction reversed in adjacent boards, to produce widths indicated. Select boards for similarity of color and grain, and arrange boards for optimum match between adjacent boards.</w:t>
      </w:r>
    </w:p>
    <w:p>
      <w:pPr>
        <w:pStyle w:val="PR2"/>
        <w:numPr>
          <w:ilvl w:val="5"/>
          <w:numId w:val="1"/>
        </w:numPr>
        <w:spacing w:before="240" w:after="0"/>
        <w:rPr/>
      </w:pPr>
      <w:r>
        <w:rPr/>
        <w:t>Wood Species: [</w:t>
      </w:r>
      <w:r>
        <w:rPr>
          <w:b/>
        </w:rPr>
        <w:t>Red oak</w:t>
      </w:r>
      <w:r>
        <w:rPr/>
        <w:t>] [</w:t>
      </w:r>
      <w:r>
        <w:rPr>
          <w:b/>
        </w:rPr>
        <w:t>White oak</w:t>
      </w:r>
      <w:r>
        <w:rPr/>
        <w:t>] [</w:t>
      </w:r>
      <w:r>
        <w:rPr>
          <w:b/>
        </w:rPr>
        <w:t>White ash</w:t>
      </w:r>
      <w:r>
        <w:rPr/>
        <w:t>] [</w:t>
      </w:r>
      <w:r>
        <w:rPr>
          <w:b/>
        </w:rPr>
        <w:t>White birch</w:t>
      </w:r>
      <w:r>
        <w:rPr/>
        <w:t>] [</w:t>
      </w:r>
      <w:r>
        <w:rPr>
          <w:b/>
        </w:rPr>
        <w:t>As indicated on Drawings</w:t>
      </w:r>
      <w:r>
        <w:rPr/>
        <w:t>] &lt;</w:t>
      </w:r>
      <w:r>
        <w:rPr>
          <w:b/>
        </w:rPr>
        <w:t>Insert species</w:t>
      </w:r>
      <w:r>
        <w:rPr/>
        <w:t>&gt;.</w:t>
      </w:r>
    </w:p>
    <w:p>
      <w:pPr>
        <w:pStyle w:val="PR2"/>
        <w:numPr>
          <w:ilvl w:val="5"/>
          <w:numId w:val="1"/>
        </w:numPr>
        <w:rPr/>
      </w:pPr>
      <w:r>
        <w:rPr/>
        <w:t>Wood Cut: [</w:t>
      </w:r>
      <w:r>
        <w:rPr>
          <w:b/>
        </w:rPr>
        <w:t>Plain sawn</w:t>
      </w:r>
      <w:r>
        <w:rPr/>
        <w:t>] [</w:t>
      </w:r>
      <w:r>
        <w:rPr>
          <w:b/>
        </w:rPr>
        <w:t>Rift sawn</w:t>
      </w:r>
      <w:r>
        <w:rPr/>
        <w:t>] [</w:t>
      </w:r>
      <w:r>
        <w:rPr>
          <w:b/>
        </w:rPr>
        <w:t>Quarter sawn</w:t>
      </w:r>
      <w:r>
        <w:rPr/>
        <w:t>] [</w:t>
      </w:r>
      <w:r>
        <w:rPr>
          <w:b/>
        </w:rPr>
        <w:t>As indicated on Drawings</w:t>
      </w:r>
      <w:r>
        <w:rPr/>
        <w:t>].</w:t>
      </w:r>
    </w:p>
    <w:p>
      <w:pPr>
        <w:pStyle w:val="PR1"/>
        <w:numPr>
          <w:ilvl w:val="4"/>
          <w:numId w:val="1"/>
        </w:numPr>
        <w:rPr/>
      </w:pPr>
      <w:r>
        <w:rPr/>
        <w:t>Butcher-Block Countertops: For transparent finish. Fabricated from narrow strips of lumber glued together and arranged for random mix of color and grain.</w:t>
      </w:r>
    </w:p>
    <w:p>
      <w:pPr>
        <w:pStyle w:val="PR2"/>
        <w:numPr>
          <w:ilvl w:val="5"/>
          <w:numId w:val="1"/>
        </w:numPr>
        <w:spacing w:before="240" w:after="0"/>
        <w:rPr/>
      </w:pPr>
      <w:r>
        <w:rPr/>
        <w:t>Wood Species: [</w:t>
      </w:r>
      <w:r>
        <w:rPr>
          <w:b/>
        </w:rPr>
        <w:t>Red oak</w:t>
      </w:r>
      <w:r>
        <w:rPr/>
        <w:t>] [</w:t>
      </w:r>
      <w:r>
        <w:rPr>
          <w:b/>
        </w:rPr>
        <w:t>Hard maple</w:t>
      </w:r>
      <w:r>
        <w:rPr/>
        <w:t>] [</w:t>
      </w:r>
      <w:r>
        <w:rPr>
          <w:b/>
        </w:rPr>
        <w:t>Teak</w:t>
      </w:r>
      <w:r>
        <w:rPr/>
        <w:t>] [</w:t>
      </w:r>
      <w:r>
        <w:rPr>
          <w:b/>
        </w:rPr>
        <w:t>As indicated on Drawings</w:t>
      </w:r>
      <w:r>
        <w:rPr/>
        <w:t>] &lt;</w:t>
      </w:r>
      <w:r>
        <w:rPr>
          <w:b/>
        </w:rPr>
        <w:t>Insert species</w:t>
      </w:r>
      <w:r>
        <w:rPr/>
        <w:t>&gt;.</w:t>
      </w:r>
    </w:p>
    <w:p>
      <w:pPr>
        <w:pStyle w:val="PR2"/>
        <w:numPr>
          <w:ilvl w:val="5"/>
          <w:numId w:val="1"/>
        </w:numPr>
        <w:rPr/>
      </w:pPr>
      <w:r>
        <w:rPr/>
        <w:t>Strip Thickness: [</w:t>
      </w:r>
      <w:r>
        <w:rPr>
          <w:rStyle w:val="IP"/>
          <w:b/>
        </w:rPr>
        <w:t>3/4 inch</w:t>
      </w:r>
      <w:r>
        <w:rPr>
          <w:rStyle w:val="SI"/>
          <w:b/>
        </w:rPr>
        <w:t xml:space="preserve"> (19 mm)</w:t>
      </w:r>
      <w:r>
        <w:rPr/>
        <w:t>] [</w:t>
      </w:r>
      <w:r>
        <w:rPr>
          <w:rStyle w:val="IP"/>
          <w:b/>
        </w:rPr>
        <w:t>1-1/2 inches</w:t>
      </w:r>
      <w:r>
        <w:rPr>
          <w:rStyle w:val="SI"/>
          <w:b/>
        </w:rPr>
        <w:t xml:space="preserve"> (38 mm)</w:t>
      </w:r>
      <w:r>
        <w:rPr/>
        <w:t>] [</w:t>
      </w:r>
      <w:r>
        <w:rPr>
          <w:b/>
        </w:rPr>
        <w:t>As indicated on Drawings</w:t>
      </w:r>
      <w:r>
        <w:rPr/>
        <w:t>].</w:t>
      </w:r>
    </w:p>
    <w:p>
      <w:pPr>
        <w:pStyle w:val="PR1"/>
        <w:numPr>
          <w:ilvl w:val="4"/>
          <w:numId w:val="1"/>
        </w:numPr>
        <w:rPr/>
      </w:pPr>
      <w:r>
        <w:rPr/>
        <w:t>Wood-Veneer Countertops: For transparent finish. Fabricated from wood veneer laminated over panel-product core.</w:t>
      </w:r>
    </w:p>
    <w:p>
      <w:pPr>
        <w:pStyle w:val="PR2"/>
        <w:numPr>
          <w:ilvl w:val="5"/>
          <w:numId w:val="1"/>
        </w:numPr>
        <w:spacing w:before="240" w:after="0"/>
        <w:rPr/>
      </w:pPr>
      <w:r>
        <w:rPr/>
        <w:t>Wood Species: [</w:t>
      </w:r>
      <w:r>
        <w:rPr>
          <w:b/>
        </w:rPr>
        <w:t>Red oak</w:t>
      </w:r>
      <w:r>
        <w:rPr/>
        <w:t>] [</w:t>
      </w:r>
      <w:r>
        <w:rPr>
          <w:b/>
        </w:rPr>
        <w:t>White oak</w:t>
      </w:r>
      <w:r>
        <w:rPr/>
        <w:t>] [</w:t>
      </w:r>
      <w:r>
        <w:rPr>
          <w:b/>
        </w:rPr>
        <w:t>White ash</w:t>
      </w:r>
      <w:r>
        <w:rPr/>
        <w:t>] [</w:t>
      </w:r>
      <w:r>
        <w:rPr>
          <w:b/>
        </w:rPr>
        <w:t>White birch</w:t>
      </w:r>
      <w:r>
        <w:rPr/>
        <w:t>] [</w:t>
      </w:r>
      <w:r>
        <w:rPr>
          <w:b/>
        </w:rPr>
        <w:t>As indicated on Drawings</w:t>
      </w:r>
      <w:r>
        <w:rPr/>
        <w:t>] &lt;</w:t>
      </w:r>
      <w:r>
        <w:rPr>
          <w:b/>
        </w:rPr>
        <w:t>Insert species</w:t>
      </w:r>
      <w:r>
        <w:rPr/>
        <w:t>&gt;.</w:t>
      </w:r>
    </w:p>
    <w:p>
      <w:pPr>
        <w:pStyle w:val="PR2"/>
        <w:numPr>
          <w:ilvl w:val="5"/>
          <w:numId w:val="1"/>
        </w:numPr>
        <w:rPr/>
      </w:pPr>
      <w:r>
        <w:rPr/>
        <w:t>Wood Cut: [</w:t>
      </w:r>
      <w:r>
        <w:rPr>
          <w:b/>
        </w:rPr>
        <w:t>Plain sawn</w:t>
      </w:r>
      <w:r>
        <w:rPr/>
        <w:t>] [</w:t>
      </w:r>
      <w:r>
        <w:rPr>
          <w:b/>
        </w:rPr>
        <w:t>Rift sawn</w:t>
      </w:r>
      <w:r>
        <w:rPr/>
        <w:t>] [</w:t>
      </w:r>
      <w:r>
        <w:rPr>
          <w:b/>
        </w:rPr>
        <w:t>Quarter sawn</w:t>
      </w:r>
      <w:r>
        <w:rPr/>
        <w:t>] [</w:t>
      </w:r>
      <w:r>
        <w:rPr>
          <w:b/>
        </w:rPr>
        <w:t>As indicated on Drawings</w:t>
      </w:r>
      <w:r>
        <w:rPr/>
        <w:t>].</w:t>
      </w:r>
    </w:p>
    <w:p>
      <w:pPr>
        <w:pStyle w:val="PR2"/>
        <w:numPr>
          <w:ilvl w:val="5"/>
          <w:numId w:val="1"/>
        </w:numPr>
        <w:rPr/>
      </w:pPr>
      <w:r>
        <w:rPr/>
        <w:t>Matching of Adjacent Veneer Leaves: [</w:t>
      </w:r>
      <w:r>
        <w:rPr>
          <w:b/>
        </w:rPr>
        <w:t>Book</w:t>
      </w:r>
      <w:r>
        <w:rPr/>
        <w:t>] [</w:t>
      </w:r>
      <w:r>
        <w:rPr>
          <w:b/>
        </w:rPr>
        <w:t>Slip</w:t>
      </w:r>
      <w:r>
        <w:rPr/>
        <w:t>] [</w:t>
      </w:r>
      <w:r>
        <w:rPr>
          <w:b/>
        </w:rPr>
        <w:t>Random</w:t>
      </w:r>
      <w:r>
        <w:rPr/>
        <w:t>].</w:t>
      </w:r>
    </w:p>
    <w:p>
      <w:pPr>
        <w:pStyle w:val="CMT"/>
        <w:rPr/>
      </w:pPr>
      <w:r>
        <w:rPr/>
        <w:t>Retain requirement for end-matched leaves if countertops are longer than veneer leaves or if required for special effect. Show special effects on Drawings.</w:t>
      </w:r>
    </w:p>
    <w:p>
      <w:pPr>
        <w:pStyle w:val="PR3"/>
        <w:numPr>
          <w:ilvl w:val="6"/>
          <w:numId w:val="1"/>
        </w:numPr>
        <w:spacing w:before="240" w:after="0"/>
        <w:rPr/>
      </w:pPr>
      <w:r>
        <w:rPr/>
        <w:t>End match leaves [</w:t>
      </w:r>
      <w:r>
        <w:rPr>
          <w:b/>
        </w:rPr>
        <w:t>where countertops are longer than veneer leaves</w:t>
      </w:r>
      <w:r>
        <w:rPr/>
        <w:t>] [</w:t>
      </w:r>
      <w:r>
        <w:rPr>
          <w:b/>
        </w:rPr>
        <w:t>as indicated on Drawings</w:t>
      </w:r>
      <w:r>
        <w:rPr/>
        <w:t>] &lt;</w:t>
      </w:r>
      <w:r>
        <w:rPr>
          <w:b/>
        </w:rPr>
        <w:t>Insert requirements</w:t>
      </w:r>
      <w:r>
        <w:rPr/>
        <w:t>&gt;.</w:t>
      </w:r>
    </w:p>
    <w:p>
      <w:pPr>
        <w:pStyle w:val="PR2"/>
        <w:numPr>
          <w:ilvl w:val="5"/>
          <w:numId w:val="1"/>
        </w:numPr>
        <w:spacing w:before="240" w:after="0"/>
        <w:rPr/>
      </w:pPr>
      <w:r>
        <w:rPr/>
        <w:t>Veneer Matching within Panel Face: [</w:t>
      </w:r>
      <w:r>
        <w:rPr>
          <w:b/>
        </w:rPr>
        <w:t>Running</w:t>
      </w:r>
      <w:r>
        <w:rPr/>
        <w:t>] [</w:t>
      </w:r>
      <w:r>
        <w:rPr>
          <w:b/>
        </w:rPr>
        <w:t>Balance</w:t>
      </w:r>
      <w:r>
        <w:rPr/>
        <w:t>] [</w:t>
      </w:r>
      <w:r>
        <w:rPr>
          <w:b/>
        </w:rPr>
        <w:t>Center-balance</w:t>
      </w:r>
      <w:r>
        <w:rPr/>
        <w:t>] match.</w:t>
      </w:r>
    </w:p>
    <w:p>
      <w:pPr>
        <w:pStyle w:val="PR2"/>
        <w:numPr>
          <w:ilvl w:val="5"/>
          <w:numId w:val="1"/>
        </w:numPr>
        <w:rPr/>
      </w:pPr>
      <w:r>
        <w:rPr/>
        <w:t>Edge Treatment: [</w:t>
      </w:r>
      <w:r>
        <w:rPr>
          <w:b/>
        </w:rPr>
        <w:t>Solid wood matching face for species and cut</w:t>
      </w:r>
      <w:r>
        <w:rPr/>
        <w:t>] [</w:t>
      </w:r>
      <w:r>
        <w:rPr>
          <w:b/>
        </w:rPr>
        <w:t>Wood veneer matching face for species and cut</w:t>
      </w:r>
      <w:r>
        <w:rPr/>
        <w:t>] [</w:t>
      </w:r>
      <w:r>
        <w:rPr>
          <w:b/>
        </w:rPr>
        <w:t>As indicated on Drawings</w:t>
      </w:r>
      <w:r>
        <w:rPr/>
        <w:t>] &lt;</w:t>
      </w:r>
      <w:r>
        <w:rPr>
          <w:b/>
        </w:rPr>
        <w:t>Insert requirements</w:t>
      </w:r>
      <w:r>
        <w:rPr/>
        <w:t>&gt;.</w:t>
      </w:r>
    </w:p>
    <w:p>
      <w:pPr>
        <w:pStyle w:val="PR2"/>
        <w:numPr>
          <w:ilvl w:val="5"/>
          <w:numId w:val="1"/>
        </w:numPr>
        <w:rPr/>
      </w:pPr>
      <w:r>
        <w:rPr/>
        <w:t>Core Material: [</w:t>
      </w:r>
      <w:r>
        <w:rPr>
          <w:b/>
        </w:rPr>
        <w:t>Particleboard or MDF</w:t>
      </w:r>
      <w:r>
        <w:rPr/>
        <w:t>] [</w:t>
      </w:r>
      <w:r>
        <w:rPr>
          <w:b/>
        </w:rPr>
        <w:t>Particleboard</w:t>
      </w:r>
      <w:r>
        <w:rPr/>
        <w:t>] [</w:t>
      </w:r>
      <w:r>
        <w:rPr>
          <w:b/>
        </w:rPr>
        <w:t>MDF</w:t>
      </w:r>
      <w:r>
        <w:rPr/>
        <w:t>] [</w:t>
      </w:r>
      <w:r>
        <w:rPr>
          <w:b/>
        </w:rPr>
        <w:t>Particleboard made with exterior glue</w:t>
      </w:r>
      <w:r>
        <w:rPr/>
        <w:t>] [</w:t>
      </w:r>
      <w:r>
        <w:rPr>
          <w:b/>
        </w:rPr>
        <w:t>MDF made with exterior glue</w:t>
      </w:r>
      <w:r>
        <w:rPr/>
        <w:t>] [</w:t>
      </w:r>
      <w:r>
        <w:rPr>
          <w:b/>
        </w:rPr>
        <w:t>Exterior-grade plywood</w:t>
      </w:r>
      <w:r>
        <w:rPr/>
        <w:t>] [</w:t>
      </w:r>
      <w:r>
        <w:rPr>
          <w:b/>
        </w:rPr>
        <w:t>Fire-retardant-treated plywood</w:t>
      </w:r>
      <w:r>
        <w:rPr/>
        <w:t>] [</w:t>
      </w:r>
      <w:r>
        <w:rPr>
          <w:b/>
        </w:rPr>
        <w:t>Fire-retardant particleboard</w:t>
      </w:r>
      <w:r>
        <w:rPr/>
        <w:t>] [</w:t>
      </w:r>
      <w:r>
        <w:rPr>
          <w:b/>
        </w:rPr>
        <w:t>Fire-retardant MDF</w:t>
      </w:r>
      <w:r>
        <w:rPr/>
        <w:t>] [</w:t>
      </w:r>
      <w:r>
        <w:rPr>
          <w:b/>
        </w:rPr>
        <w:t>As selected by fabricator to comply with quality standard</w:t>
      </w:r>
      <w:r>
        <w:rPr/>
        <w:t>].</w:t>
      </w:r>
    </w:p>
    <w:p>
      <w:pPr>
        <w:pStyle w:val="ART"/>
        <w:numPr>
          <w:ilvl w:val="3"/>
          <w:numId w:val="1"/>
        </w:numPr>
        <w:ind w:hanging="0" w:left="0"/>
        <w:rPr/>
      </w:pPr>
      <w:r>
        <w:rPr/>
        <w:t>WOOD MATERIALS</w:t>
      </w:r>
    </w:p>
    <w:p>
      <w:pPr>
        <w:pStyle w:val="PR1"/>
        <w:numPr>
          <w:ilvl w:val="4"/>
          <w:numId w:val="1"/>
        </w:numPr>
        <w:rPr/>
      </w:pPr>
      <w:r>
        <w:rPr/>
        <w:t>Wood Products: Provide materials that comply with requirements of referenced quality standard for each type of wood countertop and quality grade specified unless otherwise indicated.</w:t>
      </w:r>
    </w:p>
    <w:p>
      <w:pPr>
        <w:pStyle w:val="CMT"/>
        <w:rPr/>
      </w:pPr>
      <w:r>
        <w:rPr/>
        <w:t>Usually retain first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(75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AWS.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type of countertop and quality grade specified unless otherwise indicated.</w:t>
      </w:r>
    </w:p>
    <w:p>
      <w:pPr>
        <w:pStyle w:val="PR2"/>
        <w:numPr>
          <w:ilvl w:val="5"/>
          <w:numId w:val="1"/>
        </w:numPr>
        <w:spacing w:before="240" w:after="0"/>
        <w:rPr/>
      </w:pPr>
      <w:hyperlink r:id="rId11">
        <w:r>
          <w:rPr>
            <w:rStyle w:val="Hyperlink"/>
          </w:rPr>
          <w:t>&lt;Double click to insert sustainable design text for composite wood products.&gt;</w:t>
        </w:r>
      </w:hyperlink>
    </w:p>
    <w:p>
      <w:pPr>
        <w:pStyle w:val="PR2"/>
        <w:numPr>
          <w:ilvl w:val="5"/>
          <w:numId w:val="1"/>
        </w:numPr>
        <w:rPr/>
      </w:pPr>
      <w:hyperlink r:id="rId12">
        <w:r>
          <w:rPr>
            <w:rStyle w:val="Hyperlink"/>
          </w:rPr>
          <w:t>&lt;Double click to insert sustainable design text for recycled content.&gt;</w:t>
        </w:r>
      </w:hyperlink>
    </w:p>
    <w:p>
      <w:pPr>
        <w:pStyle w:val="PR2"/>
        <w:numPr>
          <w:ilvl w:val="5"/>
          <w:numId w:val="1"/>
        </w:numPr>
        <w:rPr/>
      </w:pPr>
      <w:r>
        <w:rPr/>
        <w:t>MDF: Medium-density fiberboard,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in accordance with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 dry lumber and plywood after treatment to a maximum moisture content of 19 and 15 percent, respectively.</w:t>
      </w:r>
    </w:p>
    <w:p>
      <w:pPr>
        <w:pStyle w:val="CMT"/>
        <w:rPr/>
      </w:pPr>
      <w:r>
        <w:rPr/>
        <w:t>Retain first subparagraph below if treated products will be exposed and receive a stained or natural transparent finish. Organic resin treatment is more expensive than salt treatments but helps ensure a better stained or natural transparent finish.</w:t>
      </w:r>
    </w:p>
    <w:p>
      <w:pPr>
        <w:pStyle w:val="PR2"/>
        <w:numPr>
          <w:ilvl w:val="5"/>
          <w:numId w:val="1"/>
        </w:numPr>
        <w:rPr/>
      </w:pPr>
      <w:r>
        <w:rPr/>
        <w:t>For items indicated to receive a stained or natural transparent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wood countertops.</w:t>
      </w:r>
    </w:p>
    <w:p>
      <w:pPr>
        <w:pStyle w:val="CMT"/>
        <w:rPr/>
      </w:pPr>
      <w:r>
        <w:rPr/>
        <w:t>Fire-retardant particleboard contains urea formaldehyde. It complies with requirements for Class I (Class A) finish but not requirements of model codes for use where noncombustible materials are required.</w:t>
      </w:r>
    </w:p>
    <w:p>
      <w:pPr>
        <w:pStyle w:val="PR1"/>
        <w:numPr>
          <w:ilvl w:val="4"/>
          <w:numId w:val="1"/>
        </w:numPr>
        <w:rPr/>
      </w:pPr>
      <w:r>
        <w:rPr/>
        <w:t>Fire-Retardant Particleboard: Made from softwood particles and fire-retardant chemicals mixed at time of panel manufacture to achieve flame-spread index of 25 or less and smoke-developed index of 25 or less when tested in accordance with ASTM E84.</w:t>
      </w:r>
    </w:p>
    <w:p>
      <w:pPr>
        <w:pStyle w:val="PR2"/>
        <w:numPr>
          <w:ilvl w:val="5"/>
          <w:numId w:val="1"/>
        </w:numPr>
        <w:spacing w:before="240" w:after="0"/>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PR2"/>
        <w:numPr>
          <w:ilvl w:val="5"/>
          <w:numId w:val="1"/>
        </w:numPr>
        <w:rPr/>
      </w:pPr>
      <w:hyperlink r:id="rId13">
        <w:r>
          <w:rPr>
            <w:rStyle w:val="Hyperlink"/>
          </w:rPr>
          <w:t>&lt;Double click here to find, evaluate, and insert list of manufacturers and products.&gt;</w:t>
        </w:r>
      </w:hyperlink>
    </w:p>
    <w:p>
      <w:pPr>
        <w:pStyle w:val="CMT"/>
        <w:rPr/>
      </w:pPr>
      <w:r>
        <w:rPr/>
        <w:t>"Fire-Retardant MDF" Paragraph below complies with requirements for Class I (Class A) finish but not with requirements of model codes for use where noncombustible materials are required.</w:t>
      </w:r>
    </w:p>
    <w:p>
      <w:pPr>
        <w:pStyle w:val="PR1"/>
        <w:numPr>
          <w:ilvl w:val="4"/>
          <w:numId w:val="1"/>
        </w:numPr>
        <w:rPr/>
      </w:pPr>
      <w:r>
        <w:rPr/>
        <w:t>Fire-Retardant MDF: Medium-density fiberboard panels complying with ANSI A208.2, made from softwood fibers, synthetic resins, and fire-retardant chemicals mixed together at time of panel manufacture to achieve flame-spread index of 25 or less and smoke-developed index of 200 or less in accordance with ASTM E84.</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ACCESSORIES</w:t>
      </w:r>
    </w:p>
    <w:p>
      <w:pPr>
        <w:pStyle w:val="CMT"/>
        <w:rPr/>
      </w:pPr>
      <w:r>
        <w:rPr/>
        <w:t>Revise "Wire-Management Grommets" Paragraph below to suit Project. Other styles and shapes are available.</w:t>
      </w:r>
    </w:p>
    <w:p>
      <w:pPr>
        <w:pStyle w:val="PR1"/>
        <w:numPr>
          <w:ilvl w:val="4"/>
          <w:numId w:val="1"/>
        </w:numPr>
        <w:rPr/>
      </w:pPr>
      <w:r>
        <w:rPr/>
        <w:t>Wire-Management Grommets: Circular, molded-plastic grommets and matching plastic caps with slot for wire passage.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Outside Diameter: [</w:t>
      </w:r>
      <w:r>
        <w:rPr>
          <w:rStyle w:val="IP"/>
          <w:b/>
        </w:rPr>
        <w:t>1-1/4 inches</w:t>
      </w:r>
      <w:r>
        <w:rPr>
          <w:rStyle w:val="SI"/>
          <w:b/>
        </w:rPr>
        <w:t xml:space="preserve"> (32-mm)</w:t>
      </w:r>
      <w:r>
        <w:rPr/>
        <w:t>] [</w:t>
      </w:r>
      <w:r>
        <w:rPr>
          <w:rStyle w:val="IP"/>
          <w:b/>
        </w:rPr>
        <w:t>2 inches</w:t>
      </w:r>
      <w:r>
        <w:rPr>
          <w:rStyle w:val="SI"/>
          <w:b/>
        </w:rPr>
        <w:t xml:space="preserve"> (51-mm)</w:t>
      </w:r>
      <w:r>
        <w:rPr/>
        <w:t>] &lt;</w:t>
      </w:r>
      <w:r>
        <w:rPr>
          <w:b/>
        </w:rPr>
        <w:t>Insert dimension</w:t>
      </w:r>
      <w:r>
        <w:rPr/>
        <w:t>&gt;.</w:t>
      </w:r>
    </w:p>
    <w:p>
      <w:pPr>
        <w:pStyle w:val="PR2"/>
        <w:numPr>
          <w:ilvl w:val="5"/>
          <w:numId w:val="1"/>
        </w:numPr>
        <w:rPr/>
      </w:pPr>
      <w:r>
        <w:rPr/>
        <w:t>Color: [</w:t>
      </w:r>
      <w:r>
        <w:rPr>
          <w:b/>
        </w:rPr>
        <w:t>Brown</w:t>
      </w:r>
      <w:r>
        <w:rPr/>
        <w:t>] [</w:t>
      </w:r>
      <w:r>
        <w:rPr>
          <w:b/>
        </w:rPr>
        <w:t>Black</w:t>
      </w:r>
      <w:r>
        <w:rPr/>
        <w:t>] &lt;</w:t>
      </w:r>
      <w:r>
        <w:rPr>
          <w:b/>
        </w:rPr>
        <w:t>Insert color</w:t>
      </w:r>
      <w:r>
        <w:rPr/>
        <w:t>&gt;,</w:t>
      </w:r>
    </w:p>
    <w:p>
      <w:pPr>
        <w:pStyle w:val="PR1"/>
        <w:numPr>
          <w:ilvl w:val="4"/>
          <w:numId w:val="1"/>
        </w:numPr>
        <w:rPr/>
      </w:pPr>
      <w:r>
        <w:rPr/>
        <w:t>Paper Slots: [</w:t>
      </w:r>
      <w:r>
        <w:rPr>
          <w:rStyle w:val="IP"/>
          <w:b/>
        </w:rPr>
        <w:t>12 inches</w:t>
      </w:r>
      <w:r>
        <w:rPr>
          <w:rStyle w:val="SI"/>
          <w:b/>
        </w:rPr>
        <w:t xml:space="preserve"> (305 mm)</w:t>
      </w:r>
      <w:r>
        <w:rPr/>
        <w:t>] [</w:t>
      </w:r>
      <w:r>
        <w:rPr>
          <w:rStyle w:val="IP"/>
          <w:b/>
        </w:rPr>
        <w:t>17 inches</w:t>
      </w:r>
      <w:r>
        <w:rPr>
          <w:rStyle w:val="SI"/>
          <w:b/>
        </w:rPr>
        <w:t xml:space="preserve"> (432 mm)</w:t>
      </w:r>
      <w:r>
        <w:rPr/>
        <w:t xml:space="preserve">] long by </w:t>
      </w:r>
      <w:r>
        <w:rPr>
          <w:rStyle w:val="IP"/>
        </w:rPr>
        <w:t>1-3/4 inches</w:t>
      </w:r>
      <w:r>
        <w:rPr>
          <w:rStyle w:val="SI"/>
        </w:rPr>
        <w:t xml:space="preserve"> (45 mm)</w:t>
      </w:r>
      <w:r>
        <w:rPr/>
        <w:t xml:space="preserve"> wide by </w:t>
      </w:r>
      <w:r>
        <w:rPr>
          <w:rStyle w:val="IP"/>
        </w:rPr>
        <w:t>1 inch</w:t>
      </w:r>
      <w:r>
        <w:rPr>
          <w:rStyle w:val="SI"/>
        </w:rPr>
        <w:t xml:space="preserve"> (25 mm)</w:t>
      </w:r>
      <w:r>
        <w:rPr/>
        <w:t xml:space="preserve"> deep; molded-plastic, paper-slot liner with </w:t>
      </w:r>
      <w:r>
        <w:rPr>
          <w:rStyle w:val="IP"/>
        </w:rPr>
        <w:t>1/4-inch</w:t>
      </w:r>
      <w:r>
        <w:rPr>
          <w:rStyle w:val="SI"/>
        </w:rPr>
        <w:t xml:space="preserve"> (6.4-mm)</w:t>
      </w:r>
      <w:r>
        <w:rPr/>
        <w:t xml:space="preserve"> lip.</w:t>
      </w:r>
    </w:p>
    <w:p>
      <w:pPr>
        <w:pStyle w:val="PR2"/>
        <w:numPr>
          <w:ilvl w:val="5"/>
          <w:numId w:val="1"/>
        </w:numPr>
        <w:spacing w:before="240" w:after="0"/>
        <w:rPr/>
      </w:pPr>
      <w:r>
        <w:rPr/>
        <w:t>Color: [</w:t>
      </w:r>
      <w:r>
        <w:rPr>
          <w:b/>
        </w:rPr>
        <w:t>Brown</w:t>
      </w:r>
      <w:r>
        <w:rPr/>
        <w:t>] [</w:t>
      </w:r>
      <w:r>
        <w:rPr>
          <w:b/>
        </w:rPr>
        <w:t>Black</w:t>
      </w:r>
      <w:r>
        <w:rPr/>
        <w:t>] &lt;</w:t>
      </w:r>
      <w:r>
        <w:rPr>
          <w:b/>
        </w:rPr>
        <w:t>Insert color</w:t>
      </w:r>
      <w:r>
        <w:rPr/>
        <w:t>&gt;.</w:t>
      </w:r>
    </w:p>
    <w:p>
      <w:pPr>
        <w:pStyle w:val="ART"/>
        <w:numPr>
          <w:ilvl w:val="3"/>
          <w:numId w:val="1"/>
        </w:numPr>
        <w:ind w:hanging="0" w:left="0"/>
        <w:rPr/>
      </w:pPr>
      <w:r>
        <w:rPr/>
        <w:t>MISCELLANEOUS MATERIALS</w:t>
      </w:r>
    </w:p>
    <w:p>
      <w:pPr>
        <w:pStyle w:val="PR1"/>
        <w:numPr>
          <w:ilvl w:val="4"/>
          <w:numId w:val="1"/>
        </w:numPr>
        <w:rPr/>
      </w:pPr>
      <w:hyperlink r:id="rId16">
        <w:r>
          <w:rPr>
            <w:rStyle w:val="Hyperlink"/>
          </w:rPr>
          <w:t>&lt;Double click to insert sustainable design text for adhesives.&gt;</w:t>
        </w:r>
      </w:hyperlink>
    </w:p>
    <w:p>
      <w:pPr>
        <w:pStyle w:val="PR1"/>
        <w:numPr>
          <w:ilvl w:val="4"/>
          <w:numId w:val="1"/>
        </w:numPr>
        <w:rPr/>
      </w:pPr>
      <w:r>
        <w:rPr/>
        <w:t>Installation Adhesive:</w:t>
      </w:r>
    </w:p>
    <w:p>
      <w:pPr>
        <w:pStyle w:val="PR2"/>
        <w:numPr>
          <w:ilvl w:val="5"/>
          <w:numId w:val="1"/>
        </w:numPr>
        <w:spacing w:before="240" w:after="0"/>
        <w:rPr/>
      </w:pPr>
      <w:hyperlink r:id="rId17">
        <w:r>
          <w:rPr>
            <w:rStyle w:val="Hyperlink"/>
          </w:rPr>
          <w:t>&lt;Double click to insert sustainable design text for VOC content of adhesive.&gt;</w:t>
        </w:r>
      </w:hyperlink>
    </w:p>
    <w:p>
      <w:pPr>
        <w:pStyle w:val="PR2"/>
        <w:numPr>
          <w:ilvl w:val="5"/>
          <w:numId w:val="1"/>
        </w:numPr>
        <w:rPr/>
      </w:pPr>
      <w:hyperlink r:id="rId18">
        <w:r>
          <w:rPr>
            <w:rStyle w:val="Hyperlink"/>
          </w:rPr>
          <w:t>&lt;Double click to insert sustainable design text for low emitting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Fabricate wood countertops to dimensions, profiles, and details indicated. Ease edges to radius indicated for the following:</w:t>
      </w:r>
    </w:p>
    <w:p>
      <w:pPr>
        <w:pStyle w:val="PR2"/>
        <w:numPr>
          <w:ilvl w:val="5"/>
          <w:numId w:val="1"/>
        </w:numPr>
        <w:spacing w:before="240" w:after="0"/>
        <w:rPr/>
      </w:pPr>
      <w:r>
        <w:rPr/>
        <w:t xml:space="preserve">Solid-Wood (Lumber) Members: </w:t>
      </w:r>
      <w:r>
        <w:rPr>
          <w:rStyle w:val="IP"/>
        </w:rPr>
        <w:t>1/16 inch</w:t>
      </w:r>
      <w:r>
        <w:rPr>
          <w:rStyle w:val="SI"/>
        </w:rPr>
        <w:t xml:space="preserve"> (1.5 mm)</w:t>
      </w:r>
      <w:r>
        <w:rPr/>
        <w:t xml:space="preserve"> unless otherwise indicated.</w:t>
      </w:r>
    </w:p>
    <w:p>
      <w:pPr>
        <w:pStyle w:val="CMT"/>
        <w:rPr/>
      </w:pPr>
      <w:r>
        <w:rPr/>
        <w:t>Retain "Edges of Members More Than 3/4 Inch (19 mm) Thick" Subparagraph below if needed and if acceptable.</w:t>
      </w:r>
    </w:p>
    <w:p>
      <w:pPr>
        <w:pStyle w:val="PR2"/>
        <w:numPr>
          <w:ilvl w:val="5"/>
          <w:numId w:val="1"/>
        </w:numPr>
        <w:rPr/>
      </w:pPr>
      <w:r>
        <w:rPr/>
        <w:t xml:space="preserve">Edges of Members More Than </w:t>
      </w:r>
      <w:r>
        <w:rPr>
          <w:rStyle w:val="IP"/>
        </w:rPr>
        <w:t>3/4 Inch</w:t>
      </w:r>
      <w:r>
        <w:rPr>
          <w:rStyle w:val="SI"/>
        </w:rPr>
        <w:t xml:space="preserve"> (19 mm)</w:t>
      </w:r>
      <w:r>
        <w:rPr/>
        <w:t xml:space="preserve"> Thick: </w:t>
      </w:r>
      <w:r>
        <w:rPr>
          <w:rStyle w:val="IP"/>
        </w:rPr>
        <w:t>1/8 inch</w:t>
      </w:r>
      <w:r>
        <w:rPr>
          <w:rStyle w:val="SI"/>
        </w:rPr>
        <w:t xml:space="preserve"> (3 mm)</w:t>
      </w:r>
      <w:r>
        <w:rPr/>
        <w:t>.</w:t>
      </w:r>
    </w:p>
    <w:p>
      <w:pPr>
        <w:pStyle w:val="CMT"/>
        <w:rPr/>
      </w:pPr>
      <w:r>
        <w:rPr/>
        <w:t>If applicable, insert subparagraph here to describe conditions where eased edges are not required.</w:t>
      </w:r>
    </w:p>
    <w:p>
      <w:pPr>
        <w:pStyle w:val="PR1"/>
        <w:numPr>
          <w:ilvl w:val="4"/>
          <w:numId w:val="1"/>
        </w:numPr>
        <w:rPr/>
      </w:pPr>
      <w:r>
        <w:rPr/>
        <w:t>Complete fabrication, including assembly and hardware application,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spacing w:before="240" w:after="0"/>
        <w:rPr/>
      </w:pPr>
      <w:r>
        <w:rPr/>
        <w:t>Notify Architect seven days in advance of the dates and times countertop fabrication will be complete.</w:t>
      </w:r>
    </w:p>
    <w:p>
      <w:pPr>
        <w:pStyle w:val="CMT"/>
        <w:rPr/>
      </w:pPr>
      <w:r>
        <w:rPr/>
        <w:t>Retain subparagraph below for high-quality and large or complex work.</w:t>
      </w:r>
    </w:p>
    <w:p>
      <w:pPr>
        <w:pStyle w:val="PR2"/>
        <w:numPr>
          <w:ilvl w:val="5"/>
          <w:numId w:val="1"/>
        </w:numPr>
        <w:rPr/>
      </w:pPr>
      <w:r>
        <w:rPr/>
        <w:t>Trial fit assemblies at fabrication shop that cannot be shipped completely assembled. Install dowels, screws, bolted connectors, and other fastening devices that can be removed after trial fitting. Verify that various parts fit as intended and check measurements of assemblies against field measurements before disassembling for shipment.</w:t>
      </w:r>
    </w:p>
    <w:p>
      <w:pPr>
        <w:pStyle w:val="PR1"/>
        <w:numPr>
          <w:ilvl w:val="4"/>
          <w:numId w:val="1"/>
        </w:numPr>
        <w:rPr/>
      </w:pPr>
      <w:r>
        <w:rPr/>
        <w:t>Shop cut openings to maximum extent possible to receive appliances, plumbing fixtures, electrical work, and similar items. Locate openings accurately and use templates or roughing-in diagrams to produce accurately sized and shaped openings. Sand edges of cutouts to remove splinters and burrs.</w:t>
      </w:r>
    </w:p>
    <w:p>
      <w:pPr>
        <w:pStyle w:val="PR2"/>
        <w:numPr>
          <w:ilvl w:val="5"/>
          <w:numId w:val="1"/>
        </w:numPr>
        <w:spacing w:before="240" w:after="0"/>
        <w:rPr/>
      </w:pPr>
      <w:r>
        <w:rPr/>
        <w:t>Seal edges of openings in countertops with a coat of varnish.</w:t>
      </w:r>
    </w:p>
    <w:p>
      <w:pPr>
        <w:pStyle w:val="ART"/>
        <w:numPr>
          <w:ilvl w:val="3"/>
          <w:numId w:val="1"/>
        </w:numPr>
        <w:ind w:hanging="0" w:left="0"/>
        <w:rPr/>
      </w:pPr>
      <w:r>
        <w:rPr/>
        <w:t>SHOP FINISHING</w:t>
      </w:r>
    </w:p>
    <w:p>
      <w:pPr>
        <w:pStyle w:val="CMT"/>
        <w:rPr/>
      </w:pPr>
      <w:r>
        <w:rPr/>
        <w:t>Retain this article unless all work is field finished. See the Evaluations. Shop finishing can be used to help comply with LEED 2009 NC, CI, or CS Credit IEQ 4.2, which limits VOC content of paints and coatings used within building.</w:t>
      </w:r>
    </w:p>
    <w:p>
      <w:pPr>
        <w:pStyle w:val="PR1"/>
        <w:numPr>
          <w:ilvl w:val="4"/>
          <w:numId w:val="1"/>
        </w:numPr>
        <w:rPr/>
      </w:pPr>
      <w:r>
        <w:rPr/>
        <w:t>General: Finish wood countertops at fabrication shop as specified in this Section. Defer only final touchup, cleaning, and polishing until after installation.</w:t>
      </w:r>
    </w:p>
    <w:p>
      <w:pPr>
        <w:pStyle w:val="CMT"/>
        <w:rPr/>
      </w:pPr>
      <w:r>
        <w:rPr/>
        <w:t>"Finish Materials" Paragraph below applies to LEED for Schools.</w:t>
      </w:r>
    </w:p>
    <w:p>
      <w:pPr>
        <w:pStyle w:val="PR1"/>
        <w:numPr>
          <w:ilvl w:val="4"/>
          <w:numId w:val="1"/>
        </w:numPr>
        <w:rPr/>
      </w:pPr>
      <w:r>
        <w:rPr/>
        <w:t>Finish Materials: Use finish materials that comply with the testing and product requirements of the California Department of Public Health's "Standard Method for the Testing and Evaluation of Volatile Organic Chemical Emissions from Indoor Sources Using Environmental Chambers."</w:t>
      </w:r>
    </w:p>
    <w:p>
      <w:pPr>
        <w:pStyle w:val="CMT"/>
        <w:rPr/>
      </w:pPr>
      <w:r>
        <w:rPr/>
        <w:t>Retain "Shop Priming" Paragraph below if any field-finished wood countertops are required to be shop primed.</w:t>
      </w:r>
    </w:p>
    <w:p>
      <w:pPr>
        <w:pStyle w:val="PR1"/>
        <w:numPr>
          <w:ilvl w:val="4"/>
          <w:numId w:val="1"/>
        </w:numPr>
        <w:rPr/>
      </w:pPr>
      <w:r>
        <w:rPr/>
        <w:t>Shop Priming: Shop apply the prime coat including backpriming, if any, for items specified to be field finished. Refer to Section 099300 "Staining and Transparent Finishing" for material and application requirements.</w:t>
      </w:r>
    </w:p>
    <w:p>
      <w:pPr>
        <w:pStyle w:val="PR1"/>
        <w:numPr>
          <w:ilvl w:val="4"/>
          <w:numId w:val="1"/>
        </w:numPr>
        <w:rPr/>
      </w:pPr>
      <w:r>
        <w:rPr/>
        <w:t>Preparation for Finishing: Comply with referenced quality standard for sanding, filling countersunk fasteners, sealing concealed surfaces, and similar preparations for finishing wood countertops, as applicable to each unit of work.</w:t>
      </w:r>
    </w:p>
    <w:p>
      <w:pPr>
        <w:pStyle w:val="CMT"/>
        <w:rPr/>
      </w:pPr>
      <w:r>
        <w:rPr/>
        <w:t>Generally retain "Backpriming" Subparagraph below. Backpriming helps moderate alternating shrinking and swelling caused by fluctuations in moisture content resulting from variations in relative humidity.</w:t>
      </w:r>
    </w:p>
    <w:p>
      <w:pPr>
        <w:pStyle w:val="PR2"/>
        <w:numPr>
          <w:ilvl w:val="5"/>
          <w:numId w:val="1"/>
        </w:numPr>
        <w:spacing w:before="240" w:after="0"/>
        <w:rPr/>
      </w:pPr>
      <w:r>
        <w:rPr/>
        <w:t>Backpriming: Apply one coat of sealer or primer, compatible with finish coats, to concealed surfaces of wood countertops. Apply two coats to end-grain surfaces.</w:t>
      </w:r>
    </w:p>
    <w:p>
      <w:pPr>
        <w:pStyle w:val="PR1"/>
        <w:numPr>
          <w:ilvl w:val="4"/>
          <w:numId w:val="1"/>
        </w:numPr>
        <w:rPr/>
      </w:pPr>
      <w:r>
        <w:rPr/>
        <w:t>Transparent Finish:</w:t>
      </w:r>
    </w:p>
    <w:p>
      <w:pPr>
        <w:pStyle w:val="PR2"/>
        <w:numPr>
          <w:ilvl w:val="5"/>
          <w:numId w:val="1"/>
        </w:numPr>
        <w:spacing w:before="240" w:after="0"/>
        <w:rPr/>
      </w:pPr>
      <w:r>
        <w:rPr/>
        <w:t>Grade: [</w:t>
      </w:r>
      <w:r>
        <w:rPr>
          <w:b/>
        </w:rPr>
        <w:t>Premium</w:t>
      </w:r>
      <w:r>
        <w:rPr/>
        <w:t>] [</w:t>
      </w:r>
      <w:r>
        <w:rPr>
          <w:b/>
        </w:rPr>
        <w:t>Custom</w:t>
      </w:r>
      <w:r>
        <w:rPr/>
        <w:t>] [</w:t>
      </w:r>
      <w:r>
        <w:rPr>
          <w:b/>
        </w:rPr>
        <w:t>Economy</w:t>
      </w:r>
      <w:r>
        <w:rPr/>
        <w:t>] [</w:t>
      </w:r>
      <w:r>
        <w:rPr>
          <w:b/>
        </w:rPr>
        <w:t>Same as item to be finished</w:t>
      </w:r>
      <w:r>
        <w:rPr/>
        <w:t>].</w:t>
      </w:r>
    </w:p>
    <w:p>
      <w:pPr>
        <w:pStyle w:val="CMT"/>
        <w:rPr/>
      </w:pPr>
      <w:r>
        <w:rPr/>
        <w:t>Review AWS for general performance characteristics of finishing systems. In general, System - 4 has best resistance to yellowing; System - 5 is a durable, repairable, and good general-purpose fine finish; System - 7 is durable and has good chemical resistance; System - 11 is very durable but not easily repaired; and System - 13 can have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6, synthetic penetrating oil</w:t>
      </w:r>
      <w:r>
        <w:rPr/>
        <w:t>] [</w:t>
      </w:r>
      <w:r>
        <w:rPr>
          <w:b/>
        </w:rPr>
        <w:t>7, catalyzed vinyl</w:t>
      </w:r>
      <w:r>
        <w:rPr/>
        <w:t>] [</w:t>
      </w:r>
      <w:r>
        <w:rPr>
          <w:b/>
        </w:rPr>
        <w:t>8, water-based cross linking acrylic</w:t>
      </w:r>
      <w:r>
        <w:rPr/>
        <w:t>] [</w:t>
      </w:r>
      <w:r>
        <w:rPr>
          <w:b/>
        </w:rPr>
        <w:t>9, UV-curable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Washcoat helps prevent blotchiness with wiping stains.</w:t>
      </w:r>
    </w:p>
    <w:p>
      <w:pPr>
        <w:pStyle w:val="PR2"/>
        <w:numPr>
          <w:ilvl w:val="5"/>
          <w:numId w:val="1"/>
        </w:numPr>
        <w:rPr/>
      </w:pPr>
      <w:r>
        <w:rPr/>
        <w:t>Washcoat for Closed-Grain Woods: Apply washcoat sealer to woodwork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in "Sheen" Subparagraph below correspond with AWS; coordinate with effect and finish system required. Retain flat sheen with oil finish.</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in accordance with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wood countertops to average prevailing humidity conditions in installation areas for not less than 72 hours.</w:t>
      </w:r>
    </w:p>
    <w:p>
      <w:pPr>
        <w:pStyle w:val="PR1"/>
        <w:numPr>
          <w:ilvl w:val="4"/>
          <w:numId w:val="1"/>
        </w:numPr>
        <w:rPr/>
      </w:pPr>
      <w:r>
        <w:rPr/>
        <w:t>Before installing wood countertops, examine shop-fabricated work for completion and complete work as required, including removal of packing and application of backpriming.</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wood countertops to comply with same grade as item to be installed.</w:t>
      </w:r>
    </w:p>
    <w:p>
      <w:pPr>
        <w:pStyle w:val="PR1"/>
        <w:numPr>
          <w:ilvl w:val="4"/>
          <w:numId w:val="1"/>
        </w:numPr>
        <w:rPr/>
      </w:pPr>
      <w:r>
        <w:rPr/>
        <w:t>Assemble wood countertops and complete fabrication at Project site to the extent that it was not completed in the shop.</w:t>
      </w:r>
    </w:p>
    <w:p>
      <w:pPr>
        <w:pStyle w:val="PR1"/>
        <w:numPr>
          <w:ilvl w:val="4"/>
          <w:numId w:val="1"/>
        </w:numPr>
        <w:rPr/>
      </w:pPr>
      <w:r>
        <w:rPr/>
        <w:t>Field Jointing: Where possible, make in the same manner as shop jointing, using dowels, splines, adhesives, and fasteners recommended by manufacturer. Prepare edges to be joined in shop so Project-site processing of top and edge surfaces is not required. Locate field joints where shown on Shop Drawings.</w:t>
      </w:r>
    </w:p>
    <w:p>
      <w:pPr>
        <w:pStyle w:val="PR2"/>
        <w:numPr>
          <w:ilvl w:val="5"/>
          <w:numId w:val="1"/>
        </w:numPr>
        <w:spacing w:before="240" w:after="0"/>
        <w:rPr/>
      </w:pPr>
      <w:r>
        <w:rPr/>
        <w:t xml:space="preserve">Secure field joints in countertops with concealed clamping devices located within </w:t>
      </w:r>
      <w:r>
        <w:rPr>
          <w:rStyle w:val="IP"/>
        </w:rPr>
        <w:t>6 inches</w:t>
      </w:r>
      <w:r>
        <w:rPr>
          <w:rStyle w:val="SI"/>
        </w:rPr>
        <w:t xml:space="preserve"> (150 mm)</w:t>
      </w:r>
      <w:r>
        <w:rPr/>
        <w:t xml:space="preserve"> of front and back edges and at intervals not exceeding </w:t>
      </w:r>
      <w:r>
        <w:rPr>
          <w:rStyle w:val="IP"/>
        </w:rPr>
        <w:t>24 inches</w:t>
      </w:r>
      <w:r>
        <w:rPr>
          <w:rStyle w:val="SI"/>
        </w:rPr>
        <w:t xml:space="preserve"> (600 mm)</w:t>
      </w:r>
      <w:r>
        <w:rPr/>
        <w:t>. Tighten in accordance with manufacturer's written instructions to exert a constant, heavy-clamping pressure at joints.</w:t>
      </w:r>
    </w:p>
    <w:p>
      <w:pPr>
        <w:pStyle w:val="PR1"/>
        <w:numPr>
          <w:ilvl w:val="4"/>
          <w:numId w:val="1"/>
        </w:numPr>
        <w:rPr/>
      </w:pPr>
      <w:r>
        <w:rPr/>
        <w:t>Scribe and cut wood countertops to fit adjoining work, refinish cut surfaces, and repair damaged finish at cuts.</w:t>
      </w:r>
    </w:p>
    <w:p>
      <w:pPr>
        <w:pStyle w:val="PR1"/>
        <w:numPr>
          <w:ilvl w:val="4"/>
          <w:numId w:val="1"/>
        </w:numPr>
        <w:rPr/>
      </w:pPr>
      <w:r>
        <w:rPr/>
        <w:t>Fire-Retardant-Treated Wood: Handle, store, and install fire-retardant-treated wood to comply with chemical-treatment manufacturer's written instructions, including those for adhesives used to install woodwork.</w:t>
      </w:r>
    </w:p>
    <w:p>
      <w:pPr>
        <w:pStyle w:val="PR1"/>
        <w:numPr>
          <w:ilvl w:val="4"/>
          <w:numId w:val="1"/>
        </w:numPr>
        <w:rPr/>
      </w:pPr>
      <w:r>
        <w:rPr/>
        <w:t>Countertop Installation: Anchor securely by screwing through corner blocks of base cabinets or other supports into underside of countertop.</w:t>
      </w:r>
    </w:p>
    <w:p>
      <w:pPr>
        <w:pStyle w:val="PR2"/>
        <w:numPr>
          <w:ilvl w:val="5"/>
          <w:numId w:val="1"/>
        </w:numPr>
        <w:spacing w:before="240" w:after="0"/>
        <w:rPr/>
      </w:pPr>
      <w:r>
        <w:rPr/>
        <w:t xml:space="preserve">Install countertops level and true in line. Use concealed shims as required to maintain not more than a </w:t>
      </w:r>
      <w:r>
        <w:rPr>
          <w:rStyle w:val="IP"/>
        </w:rPr>
        <w:t>1/8-inch-in-96-inches</w:t>
      </w:r>
      <w:r>
        <w:rPr>
          <w:rStyle w:val="SI"/>
        </w:rPr>
        <w:t xml:space="preserve"> (3-mm-in-2400-mm)</w:t>
      </w:r>
      <w:r>
        <w:rPr/>
        <w:t>variation from a straight, level plane.</w:t>
      </w:r>
    </w:p>
    <w:p>
      <w:pPr>
        <w:pStyle w:val="CMT"/>
        <w:rPr/>
      </w:pPr>
      <w:r>
        <w:rPr/>
        <w:t>Retain first subparagraph below if using applied backsplashes.</w:t>
      </w:r>
    </w:p>
    <w:p>
      <w:pPr>
        <w:pStyle w:val="PR2"/>
        <w:numPr>
          <w:ilvl w:val="5"/>
          <w:numId w:val="1"/>
        </w:numPr>
        <w:rPr/>
      </w:pPr>
      <w:r>
        <w:rPr/>
        <w:t>Secure backsplashes [</w:t>
      </w:r>
      <w:r>
        <w:rPr>
          <w:b/>
        </w:rPr>
        <w:t xml:space="preserve">to tops with concealed metal brackets at </w:t>
      </w:r>
      <w:r>
        <w:rPr>
          <w:rStyle w:val="IP"/>
          <w:b/>
        </w:rPr>
        <w:t>16 inches</w:t>
      </w:r>
      <w:r>
        <w:rPr>
          <w:rStyle w:val="SI"/>
          <w:b/>
        </w:rPr>
        <w:t xml:space="preserve"> (400 mm)</w:t>
      </w:r>
      <w:r>
        <w:rPr>
          <w:b/>
        </w:rPr>
        <w:t xml:space="preserve"> o.c.</w:t>
      </w:r>
      <w:r>
        <w:rPr/>
        <w:t>] [</w:t>
      </w:r>
      <w:r>
        <w:rPr>
          <w:b/>
        </w:rPr>
        <w:t>and</w:t>
      </w:r>
      <w:r>
        <w:rPr/>
        <w:t>] [</w:t>
      </w:r>
      <w:r>
        <w:rPr>
          <w:b/>
        </w:rPr>
        <w:t>to walls with adhesive</w:t>
      </w:r>
      <w:r>
        <w:rPr/>
        <w:t>].</w:t>
      </w:r>
    </w:p>
    <w:p>
      <w:pPr>
        <w:pStyle w:val="PR2"/>
        <w:numPr>
          <w:ilvl w:val="5"/>
          <w:numId w:val="1"/>
        </w:numPr>
        <w:rPr/>
      </w:pPr>
      <w:r>
        <w:rPr/>
        <w:t>Seal joints between countertop and backsplash, and joints where countertop and backsplash abut walls with sealant specified in Section 079200 "Joint Sealants."</w:t>
      </w:r>
    </w:p>
    <w:p>
      <w:pPr>
        <w:pStyle w:val="CMT"/>
        <w:rPr/>
      </w:pPr>
      <w:r>
        <w:rPr/>
        <w:t>Retain "Shop Finishes" or "Field Finishing" Paragraph below, or both; coordinate with selections made in "Shop Finishing" Article.</w:t>
      </w:r>
    </w:p>
    <w:p>
      <w:pPr>
        <w:pStyle w:val="PR1"/>
        <w:numPr>
          <w:ilvl w:val="4"/>
          <w:numId w:val="1"/>
        </w:numPr>
        <w:rPr/>
      </w:pPr>
      <w:r>
        <w:rPr/>
        <w:t>Shop Finishes: Touch up finishing after installation of wood countertops.</w:t>
      </w:r>
    </w:p>
    <w:p>
      <w:pPr>
        <w:pStyle w:val="PR2"/>
        <w:numPr>
          <w:ilvl w:val="5"/>
          <w:numId w:val="1"/>
        </w:numPr>
        <w:spacing w:before="240" w:after="0"/>
        <w:rPr/>
      </w:pPr>
      <w:r>
        <w:rPr/>
        <w:t>Apply specified finish coats, including stains and paste fillers if any, to exposed surfaces where only sealer/prime coats are shop applied.</w:t>
      </w:r>
    </w:p>
    <w:p>
      <w:pPr>
        <w:pStyle w:val="PR1"/>
        <w:numPr>
          <w:ilvl w:val="4"/>
          <w:numId w:val="1"/>
        </w:numPr>
        <w:rPr/>
      </w:pPr>
      <w:r>
        <w:rPr/>
        <w:t>Field Finishing: See [</w:t>
      </w:r>
      <w:r>
        <w:rPr>
          <w:b/>
        </w:rPr>
        <w:t>Section 099123 "Interior Painting"</w:t>
      </w:r>
      <w:r>
        <w:rPr/>
        <w:t>] [</w:t>
      </w:r>
      <w:r>
        <w:rPr>
          <w:b/>
        </w:rPr>
        <w:t>and</w:t>
      </w:r>
      <w:r>
        <w:rPr/>
        <w:t>] [</w:t>
      </w:r>
      <w:r>
        <w:rPr>
          <w:b/>
        </w:rPr>
        <w:t>Section 099300 "Staining and Transparent Finishing"</w:t>
      </w:r>
      <w:r>
        <w:rPr/>
        <w:t>] for finishing installed wood countertops.</w:t>
      </w:r>
    </w:p>
    <w:p>
      <w:pPr>
        <w:pStyle w:val="ART"/>
        <w:numPr>
          <w:ilvl w:val="3"/>
          <w:numId w:val="1"/>
        </w:numPr>
        <w:ind w:hanging="0" w:left="0"/>
        <w:rPr/>
      </w:pPr>
      <w:r>
        <w:rPr/>
        <w:t>ADJUSTING AND CLEANING</w:t>
      </w:r>
    </w:p>
    <w:p>
      <w:pPr>
        <w:pStyle w:val="PR1"/>
        <w:numPr>
          <w:ilvl w:val="4"/>
          <w:numId w:val="1"/>
        </w:numPr>
        <w:rPr/>
      </w:pPr>
      <w:r>
        <w:rPr/>
        <w:t>Repair damaged and defective wood countertops, where possible, to eliminate functional and visual defects. Where not possible to repair, replace countertops. Adjust joinery for uniform appearance.</w:t>
      </w:r>
    </w:p>
    <w:p>
      <w:pPr>
        <w:pStyle w:val="PR1"/>
        <w:numPr>
          <w:ilvl w:val="4"/>
          <w:numId w:val="1"/>
        </w:numPr>
        <w:rPr/>
      </w:pPr>
      <w:r>
        <w:rPr/>
        <w:t>Clean wood countertops on exposed and semiexposed surfaces. Touch up shop-applied finishes to restore damaged or soiled areas.</w:t>
      </w:r>
    </w:p>
    <w:p>
      <w:pPr>
        <w:pStyle w:val="PR1"/>
        <w:numPr>
          <w:ilvl w:val="4"/>
          <w:numId w:val="1"/>
        </w:numPr>
        <w:rPr/>
      </w:pPr>
      <w:r>
        <w:rPr/>
        <w:t xml:space="preserve">Protection: Provide Kraft paper or other suitable covering over countertop surfaces, taped to underside of countertop at a minimum of </w:t>
      </w:r>
      <w:r>
        <w:rPr>
          <w:rStyle w:val="IP"/>
        </w:rPr>
        <w:t>48 inches</w:t>
      </w:r>
      <w:r>
        <w:rPr>
          <w:rStyle w:val="SI"/>
        </w:rPr>
        <w:t xml:space="preserve"> (1220 mm)</w:t>
      </w:r>
      <w:r>
        <w:rPr/>
        <w:t xml:space="preserve"> o.c. Remove protection at Substantial Completion.</w:t>
      </w:r>
    </w:p>
    <w:p>
      <w:pPr>
        <w:pStyle w:val="EOS"/>
        <w:rPr/>
      </w:pPr>
      <w:r>
        <w:rPr/>
        <w:t>END OF SECTION 123619</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COUNTERTOPS</w:t>
          </w:r>
        </w:p>
      </w:tc>
      <w:tc>
        <w:tcPr>
          <w:tcW w:w="1872" w:type="dxa"/>
          <w:tcBorders/>
        </w:tcPr>
        <w:p>
          <w:pPr>
            <w:pStyle w:val="RJUST"/>
            <w:rPr/>
          </w:pPr>
          <w:r>
            <w:rPr>
              <w:rStyle w:val="NUM"/>
            </w:rPr>
            <w:t>123619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123619"/>
    <w:docVar w:name="MF95" w:val="06416"/>
    <w:docVar w:name="MFOrigin" w:val="MF04"/>
    <w:docVar w:name="SectionID" w:val="1545"/>
    <w:docVar w:name="SpecType" w:val="MasterSpec"/>
    <w:docVar w:name="Version" w:val="154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19&amp;ver=06-01-20&amp;format=FL&amp;sid=1542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34"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34" TargetMode="External"/><Relationship Id="rId10" Type="http://schemas.openxmlformats.org/officeDocument/2006/relationships/hyperlink" Target="http://www.arcomnet.com/sustainable_design.aspx?topic=133" TargetMode="External"/><Relationship Id="rId11" Type="http://schemas.openxmlformats.org/officeDocument/2006/relationships/hyperlink" Target="http://www.arcomnet.com/sustainable_design.aspx?topic=106" TargetMode="External"/><Relationship Id="rId12" Type="http://schemas.openxmlformats.org/officeDocument/2006/relationships/hyperlink" Target="http://www.arcomnet.com/sustainable_design.aspx?topic=149" TargetMode="External"/><Relationship Id="rId13" Type="http://schemas.openxmlformats.org/officeDocument/2006/relationships/hyperlink" Target="http://www.specagent.com/LookUp/?ulid=5854&amp;mf=&amp;src=wd" TargetMode="External"/><Relationship Id="rId14" Type="http://schemas.openxmlformats.org/officeDocument/2006/relationships/hyperlink" Target="http://www.specagent.com/LookUp/?ulid=5714&amp;mf=&amp;src=wd" TargetMode="External"/><Relationship Id="rId15" Type="http://schemas.openxmlformats.org/officeDocument/2006/relationships/hyperlink" Target="http://www.specagent.com/LookUp/?ulid=11160&amp;mf=&amp;src=wd" TargetMode="External"/><Relationship Id="rId16" Type="http://schemas.openxmlformats.org/officeDocument/2006/relationships/hyperlink" Target="http://www.arcomnet.com/sustainable_design.aspx?topic=64" TargetMode="External"/><Relationship Id="rId17" Type="http://schemas.openxmlformats.org/officeDocument/2006/relationships/hyperlink" Target="http://www.arcomnet.com/sustainable_design.aspx?topic=143" TargetMode="External"/><Relationship Id="rId18" Type="http://schemas.openxmlformats.org/officeDocument/2006/relationships/hyperlink" Target="http://www.arcomnet.com/sustainable_design.aspx?topic=140"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WOOD COUNTERTOPS</dc:subject>
  <dc:title>SECTION 123619 - WOOD COUNTERTOPS</dc:title>
</cp:coreProperties>
</file>