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123623.13</w:t>
      </w:r>
      <w:r>
        <w:rPr/>
        <w:t xml:space="preserve"> - </w:t>
      </w:r>
      <w:r>
        <w:rPr>
          <w:rStyle w:val="NAM"/>
        </w:rPr>
        <w:t>PLASTIC-LAMINATE-CLAD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(hereafter, AWS)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Plastic-laminate-clad countertops.</w:t>
      </w:r>
    </w:p>
    <w:p>
      <w:pPr>
        <w:pStyle w:val="PR2"/>
        <w:numPr>
          <w:ilvl w:val="5"/>
          <w:numId w:val="1"/>
        </w:numPr>
        <w:rPr/>
      </w:pPr>
      <w:r>
        <w:rPr/>
        <w:t>Fire-retardant-treated materials.</w:t>
      </w:r>
    </w:p>
    <w:p>
      <w:pPr>
        <w:pStyle w:val="PR2"/>
        <w:numPr>
          <w:ilvl w:val="5"/>
          <w:numId w:val="1"/>
        </w:numPr>
        <w:rPr/>
      </w:pPr>
      <w:r>
        <w:rPr/>
        <w:t>Accessories.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Plastic-laminate-clad countertops.</w:t>
      </w:r>
    </w:p>
    <w:p>
      <w:pPr>
        <w:pStyle w:val="PR2"/>
        <w:numPr>
          <w:ilvl w:val="5"/>
          <w:numId w:val="1"/>
        </w:numPr>
        <w:rPr/>
      </w:pPr>
      <w:r>
        <w:rPr/>
        <w:t>Fire-retardant-treated materials.</w:t>
      </w:r>
    </w:p>
    <w:p>
      <w:pPr>
        <w:pStyle w:val="PR2"/>
        <w:numPr>
          <w:ilvl w:val="5"/>
          <w:numId w:val="1"/>
        </w:numPr>
        <w:rPr/>
      </w:pPr>
      <w:r>
        <w:rPr/>
        <w:t>Accessories.</w:t>
      </w:r>
    </w:p>
    <w:p>
      <w:pPr>
        <w:pStyle w:val="PR1"/>
        <w:numPr>
          <w:ilvl w:val="4"/>
          <w:numId w:val="1"/>
        </w:numPr>
        <w:rPr/>
      </w:pPr>
      <w:r>
        <w:rPr/>
        <w:t>Product Data Submittals: For each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installation adhesives.&gt;</w:t>
        </w:r>
      </w:hyperlink>
    </w:p>
    <w:p>
      <w:pPr>
        <w:pStyle w:val="PR2"/>
        <w:numPr>
          <w:ilvl w:val="5"/>
          <w:numId w:val="1"/>
        </w:numPr>
        <w:rPr/>
      </w:pPr>
      <w:hyperlink r:id="rId9">
        <w:r>
          <w:rPr>
            <w:rStyle w:val="Hyperlink"/>
          </w:rPr>
          <w:t>&lt;Double click to insert sustainable design text for composite wood.&gt;</w:t>
        </w:r>
      </w:hyperlink>
    </w:p>
    <w:p>
      <w:pPr>
        <w:pStyle w:val="PR1"/>
        <w:numPr>
          <w:ilvl w:val="4"/>
          <w:numId w:val="1"/>
        </w:numPr>
        <w:rPr/>
      </w:pPr>
      <w:r>
        <w:rPr/>
        <w:t>Shop Drawings: For plastic-laminate-clad countertops.</w:t>
      </w:r>
    </w:p>
    <w:p>
      <w:pPr>
        <w:pStyle w:val="PR2"/>
        <w:numPr>
          <w:ilvl w:val="5"/>
          <w:numId w:val="1"/>
        </w:numPr>
        <w:spacing w:before="240" w:after="0"/>
        <w:rPr/>
      </w:pPr>
      <w:r>
        <w:rPr/>
        <w:t>Include plans, sections, details, and attachments to other work. Detail fabrication and installation, including field joints.</w:t>
      </w:r>
    </w:p>
    <w:p>
      <w:pPr>
        <w:pStyle w:val="PR2"/>
        <w:numPr>
          <w:ilvl w:val="5"/>
          <w:numId w:val="1"/>
        </w:numPr>
        <w:rPr/>
      </w:pPr>
      <w:r>
        <w:rPr/>
        <w:t>Show locations and sizes of cutouts and holes for items installed in plastic-laminate-clad countertops.</w:t>
      </w:r>
    </w:p>
    <w:p>
      <w:pPr>
        <w:pStyle w:val="CMT"/>
        <w:rPr/>
      </w:pPr>
      <w:r>
        <w:rPr/>
        <w:t>Retain subparagraph below and applicable options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Plastic laminates in each type, color, pattern, and surface finish required in manufacturer's standard size.</w:t>
      </w:r>
    </w:p>
    <w:p>
      <w:pPr>
        <w:pStyle w:val="PR1"/>
        <w:numPr>
          <w:ilvl w:val="4"/>
          <w:numId w:val="1"/>
        </w:numPr>
        <w:rPr/>
      </w:pPr>
      <w:r>
        <w:rPr/>
        <w:t>Samples for Initial Selection: For plastic laminates.</w:t>
      </w:r>
    </w:p>
    <w:p>
      <w:pPr>
        <w:pStyle w:val="PR1"/>
        <w:numPr>
          <w:ilvl w:val="4"/>
          <w:numId w:val="1"/>
        </w:numPr>
        <w:rPr/>
      </w:pPr>
      <w:r>
        <w:rPr/>
        <w:t>Samples for Verification: As follows:</w:t>
      </w:r>
    </w:p>
    <w:p>
      <w:pPr>
        <w:pStyle w:val="PR2"/>
        <w:numPr>
          <w:ilvl w:val="5"/>
          <w:numId w:val="1"/>
        </w:numPr>
        <w:spacing w:before="240" w:after="0"/>
        <w:rPr/>
      </w:pPr>
      <w:r>
        <w:rPr/>
        <w:t>Plastic Laminates: For each type, color, pattern, and surface finish required,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in size.</w:t>
      </w:r>
    </w:p>
    <w:p>
      <w:pPr>
        <w:pStyle w:val="PR2"/>
        <w:numPr>
          <w:ilvl w:val="5"/>
          <w:numId w:val="1"/>
        </w:numPr>
        <w:rPr/>
      </w:pPr>
      <w:r>
        <w:rPr/>
        <w:t>Wood-Grain Plastic Laminates: For each type, color, pattern, and surface finish required, [</w:t>
      </w:r>
      <w:r>
        <w:rPr>
          <w:rStyle w:val="IP"/>
          <w:b/>
        </w:rPr>
        <w:t>12 by 24 inches</w:t>
      </w:r>
      <w:r>
        <w:rPr>
          <w:rStyle w:val="SI"/>
          <w:b/>
        </w:rPr>
        <w:t xml:space="preserve"> (300 by 600 mm)</w:t>
      </w:r>
      <w:r>
        <w:rPr/>
        <w:t>] [</w:t>
      </w:r>
      <w:r>
        <w:rPr>
          <w:rStyle w:val="IP"/>
          <w:b/>
        </w:rPr>
        <w:t>24 by 24 inches</w:t>
      </w:r>
      <w:r>
        <w:rPr>
          <w:rStyle w:val="SI"/>
          <w:b/>
        </w:rPr>
        <w:t xml:space="preserve"> (600 by 600 mm)</w:t>
      </w:r>
      <w:r>
        <w:rPr/>
        <w:t>] in size.</w:t>
      </w:r>
    </w:p>
    <w:p>
      <w:pPr>
        <w:pStyle w:val="PR2"/>
        <w:numPr>
          <w:ilvl w:val="5"/>
          <w:numId w:val="1"/>
        </w:numPr>
        <w:rPr/>
      </w:pPr>
      <w:r>
        <w:rPr/>
        <w:t>Fabrication Sample: For each type and profile of countertop required, provide one sample applied to core material with specified edge material applied to one edge.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PR1"/>
        <w:numPr>
          <w:ilvl w:val="4"/>
          <w:numId w:val="1"/>
        </w:numPr>
        <w:rPr/>
      </w:pPr>
      <w:r>
        <w:rPr/>
        <w:t>Product Certificates: For the following:</w:t>
      </w:r>
    </w:p>
    <w:p>
      <w:pPr>
        <w:pStyle w:val="PR2"/>
        <w:numPr>
          <w:ilvl w:val="5"/>
          <w:numId w:val="1"/>
        </w:numPr>
        <w:spacing w:before="240" w:after="0"/>
        <w:rPr/>
      </w:pPr>
      <w:r>
        <w:rPr/>
        <w:t>Composite wood products.</w:t>
      </w:r>
    </w:p>
    <w:p>
      <w:pPr>
        <w:pStyle w:val="PR2"/>
        <w:numPr>
          <w:ilvl w:val="5"/>
          <w:numId w:val="1"/>
        </w:numPr>
        <w:rPr/>
      </w:pPr>
      <w:r>
        <w:rPr/>
        <w:t>High-pressure decorative laminate.</w:t>
      </w:r>
    </w:p>
    <w:p>
      <w:pPr>
        <w:pStyle w:val="PR2"/>
        <w:numPr>
          <w:ilvl w:val="5"/>
          <w:numId w:val="1"/>
        </w:numPr>
        <w:rPr/>
      </w:pPr>
      <w:r>
        <w:rPr/>
        <w:t>Chemical-resistant, high-pressure decorative laminate.</w:t>
      </w:r>
    </w:p>
    <w:p>
      <w:pPr>
        <w:pStyle w:val="PR2"/>
        <w:numPr>
          <w:ilvl w:val="5"/>
          <w:numId w:val="1"/>
        </w:numPr>
        <w:rPr/>
      </w:pPr>
      <w:r>
        <w:rPr/>
        <w:t>Adhesives.</w:t>
      </w:r>
    </w:p>
    <w:p>
      <w:pPr>
        <w:pStyle w:val="PR1"/>
        <w:numPr>
          <w:ilvl w:val="4"/>
          <w:numId w:val="1"/>
        </w:numPr>
        <w:rPr/>
      </w:pPr>
      <w:r>
        <w:rPr/>
        <w:t>Quality Standard Compliance Certificates: [</w:t>
      </w:r>
      <w:r>
        <w:rPr>
          <w:b/>
        </w:rPr>
        <w:t>AWI Quality Certification Program</w:t>
      </w:r>
      <w:r>
        <w:rPr/>
        <w:t>] [</w:t>
      </w:r>
      <w:r>
        <w:rPr>
          <w:b/>
        </w:rPr>
        <w:t>WI Certified Compliance Program</w:t>
      </w:r>
      <w:r>
        <w:rPr/>
        <w:t>].</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 fabricate products similar to those required for this Project and whose products have a record of successful in-service performance.</w:t>
      </w:r>
    </w:p>
    <w:p>
      <w:pPr>
        <w:pStyle w:val="CMT"/>
        <w:rPr/>
      </w:pPr>
      <w:r>
        <w:rPr/>
        <w:t>Retain "Shop Certification" Subparagraph below if AWI quality certification or WI compliance certification is required. Both AWI and WI will inspect work and provide certification for work that passes inspection if fabricator is not certified/licensed.</w:t>
      </w:r>
    </w:p>
    <w:p>
      <w:pPr>
        <w:pStyle w:val="PR2"/>
        <w:numPr>
          <w:ilvl w:val="5"/>
          <w:numId w:val="1"/>
        </w:numPr>
        <w:spacing w:before="240" w:after="0"/>
        <w:rPr/>
      </w:pPr>
      <w:r>
        <w:rPr/>
        <w:t>Shop Certification: [</w:t>
      </w:r>
      <w:r>
        <w:rPr>
          <w:b/>
        </w:rPr>
        <w:t>AWI's Quality Certification Program accredited participant</w:t>
      </w:r>
      <w:r>
        <w:rPr/>
        <w:t>] [</w:t>
      </w:r>
      <w:r>
        <w:rPr>
          <w:b/>
        </w:rPr>
        <w:t>WI's Certified Compliance Program licensee</w:t>
      </w:r>
      <w:r>
        <w:rPr/>
        <w:t>].</w:t>
      </w:r>
    </w:p>
    <w:p>
      <w:pPr>
        <w:pStyle w:val="CMT"/>
        <w:rPr/>
      </w:pPr>
      <w:r>
        <w:rPr/>
        <w:t>Retain "Installer Qualifications" Paragraph below if required. If AWI Quality Certification Program labels or certificates are required for installation, Installer must be a certified participant. If countertops must be FSC certified, fabricator must either install countertops or be FSC certified for chain of custody.</w:t>
      </w:r>
    </w:p>
    <w:p>
      <w:pPr>
        <w:pStyle w:val="PR1"/>
        <w:numPr>
          <w:ilvl w:val="4"/>
          <w:numId w:val="1"/>
        </w:numPr>
        <w:rPr/>
      </w:pPr>
      <w:r>
        <w:rPr/>
        <w:t>Installer Qualifications: [</w:t>
      </w:r>
      <w:r>
        <w:rPr>
          <w:b/>
        </w:rPr>
        <w:t>Fabricator of products</w:t>
      </w:r>
      <w:r>
        <w:rPr/>
        <w:t>] [</w:t>
      </w:r>
      <w:r>
        <w:rPr>
          <w:b/>
        </w:rPr>
        <w:t>AWI's Quality Certification Program accredited participant</w:t>
      </w:r>
      <w:r>
        <w:rPr/>
        <w:t>] [</w:t>
      </w:r>
      <w:r>
        <w:rPr>
          <w:b/>
        </w:rPr>
        <w:t>WI's Certified Compliance Program licensee</w:t>
      </w:r>
      <w:r>
        <w:rPr/>
        <w:t>].</w:t>
      </w:r>
    </w:p>
    <w:p>
      <w:pPr>
        <w:pStyle w:val="ART"/>
        <w:numPr>
          <w:ilvl w:val="3"/>
          <w:numId w:val="1"/>
        </w:numPr>
        <w:ind w:hanging="0" w:left="0"/>
        <w:rPr/>
      </w:pPr>
      <w:r>
        <w:rPr/>
        <w:t>DELIVERY, STORAGE, AND HANDLING</w:t>
      </w:r>
    </w:p>
    <w:p>
      <w:pPr>
        <w:pStyle w:val="PR1"/>
        <w:numPr>
          <w:ilvl w:val="4"/>
          <w:numId w:val="1"/>
        </w:numPr>
        <w:rPr/>
      </w:pPr>
      <w:r>
        <w:rPr/>
        <w:t>Deliver countertops only after casework and supports on which they will be installed have been completed in installation areas.</w:t>
      </w:r>
    </w:p>
    <w:p>
      <w:pPr>
        <w:pStyle w:val="PR1"/>
        <w:numPr>
          <w:ilvl w:val="4"/>
          <w:numId w:val="1"/>
        </w:numPr>
        <w:rPr/>
      </w:pPr>
      <w:r>
        <w:rPr/>
        <w:t>Store countertops in areas where environmental conditions comply with requirements specified in "Field Conditions" Article.</w:t>
      </w:r>
    </w:p>
    <w:p>
      <w:pPr>
        <w:pStyle w:val="PR1"/>
        <w:numPr>
          <w:ilvl w:val="4"/>
          <w:numId w:val="1"/>
        </w:numPr>
        <w:rPr/>
      </w:pPr>
      <w:r>
        <w:rPr/>
        <w:t>Keep surfaces of countertops covered with protective covering during handling and installation.</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countertops until building is enclosed, wet-work is complete, and HVAC system is operating and maintaining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See relative-humidity and moisture-content map in AWS.</w:t>
      </w:r>
    </w:p>
    <w:p>
      <w:pPr>
        <w:pStyle w:val="PR1"/>
        <w:numPr>
          <w:ilvl w:val="4"/>
          <w:numId w:val="1"/>
        </w:numPr>
        <w:rPr/>
      </w:pPr>
      <w:r>
        <w:rPr/>
        <w:t xml:space="preserve">Environmental Limitations with Humidity Control: Do not deliver or install countertops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product fabrication to begin before installation areas are complete.</w:t>
      </w:r>
    </w:p>
    <w:p>
      <w:pPr>
        <w:pStyle w:val="PR1"/>
        <w:numPr>
          <w:ilvl w:val="4"/>
          <w:numId w:val="1"/>
        </w:numPr>
        <w:rPr/>
      </w:pPr>
      <w:r>
        <w:rPr/>
        <w:t>Field Measurements: Where countertops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1"/>
        <w:numPr>
          <w:ilvl w:val="4"/>
          <w:numId w:val="1"/>
        </w:numPr>
        <w:rPr/>
      </w:pPr>
      <w:r>
        <w:rPr/>
        <w:t>Established Dimensions: Where countertops are indicated to fit to other construction, establish dimensions for areas where countertops are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FABRICATORS</w:t>
      </w:r>
    </w:p>
    <w:p>
      <w:pPr>
        <w:pStyle w:val="CMT"/>
        <w:rPr/>
      </w:pPr>
      <w:r>
        <w:rPr/>
        <w:t>Retain "Fabricators" Paragraph below if a list of preapproved woodworkers is used as a quality-control procedure. See AWI's or WI's member list for names of woodworking firms.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contact information for preapproved woodworking firms</w:t>
      </w:r>
      <w:r>
        <w:rPr/>
        <w:t>&gt;.</w:t>
      </w:r>
    </w:p>
    <w:p>
      <w:pPr>
        <w:pStyle w:val="ART"/>
        <w:numPr>
          <w:ilvl w:val="3"/>
          <w:numId w:val="1"/>
        </w:numPr>
        <w:ind w:hanging="0" w:left="0"/>
        <w:rPr/>
      </w:pPr>
      <w:r>
        <w:rPr/>
        <w:t>PLASTIC-LAMINATE-CLAD COUNTERTOPS</w:t>
      </w:r>
    </w:p>
    <w:p>
      <w:pPr>
        <w:pStyle w:val="PR1"/>
        <w:numPr>
          <w:ilvl w:val="4"/>
          <w:numId w:val="1"/>
        </w:numPr>
        <w:rPr/>
      </w:pPr>
      <w:r>
        <w:rPr/>
        <w:t>Quality Standard: Unless otherwise indicated, comply with the "Architectural Woodwork Standards" for grades of plastic-laminate-clad countertops indicated for construction, finishes, installation, and other requirements.</w:t>
      </w:r>
    </w:p>
    <w:p>
      <w:pPr>
        <w:pStyle w:val="CMT"/>
        <w:rPr/>
      </w:pPr>
      <w:r>
        <w:rPr/>
        <w:t>If retaining first subparagraph below, verify applicability of certification for Project's geographic location. Certification programs of AWI and WI organizations are available to member and nonmember firms. Both organizations will inspect work and provide certification for work that passes inspection if fabricator is not certified/licensed. Contact either organization for a list of certified woodworkers in Project's location.</w:t>
      </w:r>
    </w:p>
    <w:p>
      <w:pPr>
        <w:pStyle w:val="PR2"/>
        <w:numPr>
          <w:ilvl w:val="5"/>
          <w:numId w:val="1"/>
        </w:numPr>
        <w:spacing w:before="240" w:after="0"/>
        <w:rPr/>
      </w:pPr>
      <w:r>
        <w:rPr/>
        <w:t>Provide inspections of fabrication and installation together with labels and certificates from [</w:t>
      </w:r>
      <w:r>
        <w:rPr>
          <w:b/>
        </w:rPr>
        <w:t>AWI</w:t>
      </w:r>
      <w:r>
        <w:rPr/>
        <w:t>] [</w:t>
      </w:r>
      <w:r>
        <w:rPr>
          <w:b/>
        </w:rPr>
        <w:t>WI</w:t>
      </w:r>
      <w:r>
        <w:rPr/>
        <w:t>] certification program indicating that countertops comply with requirements of grades specified.</w:t>
      </w:r>
    </w:p>
    <w:p>
      <w:pPr>
        <w:pStyle w:val="CMT"/>
        <w:rPr/>
      </w:pPr>
      <w:r>
        <w:rPr/>
        <w:t>Retain subparagraph below if Drawings and the Specifications are more restrictive than AWS.</w:t>
      </w:r>
    </w:p>
    <w:p>
      <w:pPr>
        <w:pStyle w:val="PR2"/>
        <w:numPr>
          <w:ilvl w:val="5"/>
          <w:numId w:val="1"/>
        </w:numPr>
        <w:rPr/>
      </w:pPr>
      <w:r>
        <w:rPr/>
        <w:t>The Contract Documents contain requirements that are more stringent than the referenced quality standard. Comply with requirements of Contract Documents in addition to those of the referenced quality standard.</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CMT"/>
        <w:rPr/>
      </w:pPr>
      <w:r>
        <w:rPr/>
        <w:t>Retain first or second option in "High-Pressure Decorative Laminate" Paragraph below for flat countertops; retain third for postformed countertops. First option is standard general-purpose horizontal grade typically used for flat countertops; second is flame retardant.</w:t>
      </w:r>
    </w:p>
    <w:p>
      <w:pPr>
        <w:pStyle w:val="PR1"/>
        <w:numPr>
          <w:ilvl w:val="4"/>
          <w:numId w:val="1"/>
        </w:numPr>
        <w:rPr/>
      </w:pPr>
      <w:r>
        <w:rPr/>
        <w:t>High-Pressure Decorative Laminate: ISO 4586-3, [</w:t>
      </w:r>
      <w:r>
        <w:rPr>
          <w:b/>
        </w:rPr>
        <w:t>Grade HGS</w:t>
      </w:r>
      <w:r>
        <w:rPr/>
        <w:t>] [</w:t>
      </w:r>
      <w:r>
        <w:rPr>
          <w:b/>
        </w:rPr>
        <w:t>Grade HGF</w:t>
      </w:r>
      <w:r>
        <w:rPr/>
        <w:t>] [</w:t>
      </w:r>
      <w:r>
        <w:rPr>
          <w:b/>
        </w:rPr>
        <w:t>Grade HGP</w:t>
      </w:r>
      <w:r>
        <w:rPr/>
        <w: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"Chemical-Resistant, High-Pressure Decorative Laminate" Paragraph below for either flat or postformed laboratory tops where high degree of chemical resistance is required.</w:t>
      </w:r>
    </w:p>
    <w:p>
      <w:pPr>
        <w:pStyle w:val="PR1"/>
        <w:numPr>
          <w:ilvl w:val="4"/>
          <w:numId w:val="1"/>
        </w:numPr>
        <w:rPr/>
      </w:pPr>
      <w:r>
        <w:rPr/>
        <w:t>Chemical-Resistant, High-Pressure Decorative Laminate: ISO 4586-3, Grade HGP, and as follows: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Designer should consider the chemical and staining agents that might be used on or near the laboratory work surface and validate that laminate complies with SEFA finish testing.</w:t>
      </w:r>
    </w:p>
    <w:p>
      <w:pPr>
        <w:pStyle w:val="PR2"/>
        <w:numPr>
          <w:ilvl w:val="5"/>
          <w:numId w:val="1"/>
        </w:numPr>
        <w:rPr/>
      </w:pPr>
      <w:r>
        <w:rPr/>
        <w:t>Physical Properties: Minimum acceptable chemical-resistance performance to result in no more than four (4) Level 3 conditions when tested with indicated reagents in accordance with SEFA 3.</w:t>
      </w:r>
    </w:p>
    <w:p>
      <w:pPr>
        <w:pStyle w:val="PR3"/>
        <w:numPr>
          <w:ilvl w:val="6"/>
          <w:numId w:val="1"/>
        </w:numPr>
        <w:spacing w:before="240" w:after="0"/>
        <w:rPr/>
      </w:pPr>
      <w:r>
        <w:rPr/>
        <w:t>&lt;</w:t>
      </w:r>
      <w:r>
        <w:rPr>
          <w:b/>
        </w:rPr>
        <w:t>Insert chemical reagent</w:t>
      </w:r>
      <w:r>
        <w:rPr/>
        <w:t>&gt;.</w:t>
      </w:r>
    </w:p>
    <w:p>
      <w:pPr>
        <w:pStyle w:val="PR1"/>
        <w:numPr>
          <w:ilvl w:val="4"/>
          <w:numId w:val="1"/>
        </w:numPr>
        <w:rPr/>
      </w:pPr>
      <w:r>
        <w:rPr/>
        <w:t>Colors, Patterns, and Finishes: Provide materials and products that result in colors and textures of exposed laminate surfaces complying with the following requirements:</w:t>
      </w:r>
    </w:p>
    <w:p>
      <w:pPr>
        <w:pStyle w:val="CMT"/>
        <w:rPr/>
      </w:pPr>
      <w:r>
        <w:rPr/>
        <w:t>Retain one of three subparagraphs below. If retaining first, indicate colors, patterns, and finishes in a separate schedule.</w:t>
      </w:r>
    </w:p>
    <w:p>
      <w:pPr>
        <w:pStyle w:val="PR2"/>
        <w:numPr>
          <w:ilvl w:val="5"/>
          <w:numId w:val="1"/>
        </w:numPr>
        <w:spacing w:before="240" w:after="0"/>
        <w:rPr/>
      </w:pPr>
      <w:r>
        <w:rPr/>
        <w:t>As indicated by manufacturer's designations.</w:t>
      </w:r>
    </w:p>
    <w:p>
      <w:pPr>
        <w:pStyle w:val="PR2"/>
        <w:numPr>
          <w:ilvl w:val="5"/>
          <w:numId w:val="1"/>
        </w:numPr>
        <w:rPr/>
      </w:pPr>
      <w:r>
        <w:rPr/>
        <w:t>Match Architect's sample.</w:t>
      </w:r>
    </w:p>
    <w:p>
      <w:pPr>
        <w:pStyle w:val="PR2"/>
        <w:numPr>
          <w:ilvl w:val="5"/>
          <w:numId w:val="1"/>
        </w:numPr>
        <w:rPr/>
      </w:pPr>
      <w:r>
        <w:rPr/>
        <w:t>As selected by Architect from manufacturer's full range in the following categories:</w:t>
      </w:r>
    </w:p>
    <w:p>
      <w:pPr>
        <w:pStyle w:val="PR3"/>
        <w:numPr>
          <w:ilvl w:val="6"/>
          <w:numId w:val="1"/>
        </w:numPr>
        <w:spacing w:before="240" w:after="0"/>
        <w:rPr/>
      </w:pPr>
      <w:r>
        <w:rPr/>
        <w:t>Solid colors, [</w:t>
      </w:r>
      <w:r>
        <w:rPr>
          <w:b/>
        </w:rPr>
        <w:t>gloss</w:t>
      </w:r>
      <w:r>
        <w:rPr/>
        <w:t>] [</w:t>
      </w:r>
      <w:r>
        <w:rPr>
          <w:b/>
        </w:rPr>
        <w:t>matte</w:t>
      </w:r>
      <w:r>
        <w:rPr/>
        <w:t>] finish.</w:t>
      </w:r>
    </w:p>
    <w:p>
      <w:pPr>
        <w:pStyle w:val="PR3"/>
        <w:numPr>
          <w:ilvl w:val="6"/>
          <w:numId w:val="1"/>
        </w:numPr>
        <w:rPr/>
      </w:pPr>
      <w:r>
        <w:rPr/>
        <w:t>Solid colors with core same color as surface, [</w:t>
      </w:r>
      <w:r>
        <w:rPr>
          <w:b/>
        </w:rPr>
        <w:t>gloss</w:t>
      </w:r>
      <w:r>
        <w:rPr/>
        <w:t>] [</w:t>
      </w:r>
      <w:r>
        <w:rPr>
          <w:b/>
        </w:rPr>
        <w:t>matte</w:t>
      </w:r>
      <w:r>
        <w:rPr/>
        <w:t>] finish.</w:t>
      </w:r>
    </w:p>
    <w:p>
      <w:pPr>
        <w:pStyle w:val="PR3"/>
        <w:numPr>
          <w:ilvl w:val="6"/>
          <w:numId w:val="1"/>
        </w:numPr>
        <w:rPr/>
      </w:pPr>
      <w:r>
        <w:rPr/>
        <w:t>Wood grains, [</w:t>
      </w:r>
      <w:r>
        <w:rPr>
          <w:b/>
        </w:rPr>
        <w:t>gloss</w:t>
      </w:r>
      <w:r>
        <w:rPr/>
        <w:t>] [</w:t>
      </w:r>
      <w:r>
        <w:rPr>
          <w:b/>
        </w:rPr>
        <w:t>matte</w:t>
      </w:r>
      <w:r>
        <w:rPr/>
        <w:t>] finish with grain running parallel to length of countertop.</w:t>
      </w:r>
    </w:p>
    <w:p>
      <w:pPr>
        <w:pStyle w:val="PR3"/>
        <w:numPr>
          <w:ilvl w:val="6"/>
          <w:numId w:val="1"/>
        </w:numPr>
        <w:rPr/>
      </w:pPr>
      <w:r>
        <w:rPr/>
        <w:t>Patterns, [</w:t>
      </w:r>
      <w:r>
        <w:rPr>
          <w:b/>
        </w:rPr>
        <w:t>gloss</w:t>
      </w:r>
      <w:r>
        <w:rPr/>
        <w:t>] [</w:t>
      </w:r>
      <w:r>
        <w:rPr>
          <w:b/>
        </w:rPr>
        <w:t>matte</w:t>
      </w:r>
      <w:r>
        <w:rPr/>
        <w:t>] finish.</w:t>
      </w:r>
    </w:p>
    <w:p>
      <w:pPr>
        <w:pStyle w:val="CMT"/>
        <w:rPr/>
      </w:pPr>
      <w:r>
        <w:rPr/>
        <w:t>Retain one of five edge treatments in "Edge Treatment" Paragraph below or revise to suit Project. If retaining lumber edge, indicate profile on Drawings.</w:t>
      </w:r>
    </w:p>
    <w:p>
      <w:pPr>
        <w:pStyle w:val="PR1"/>
        <w:numPr>
          <w:ilvl w:val="4"/>
          <w:numId w:val="1"/>
        </w:numPr>
        <w:rPr/>
      </w:pPr>
      <w:r>
        <w:rPr/>
        <w:t>Edge Treatment: [</w:t>
      </w:r>
      <w:r>
        <w:rPr>
          <w:b/>
        </w:rPr>
        <w:t>Same as laminate cladding on horizontal surfaces</w:t>
      </w:r>
      <w:r>
        <w:rPr/>
        <w:t>] [</w:t>
      </w:r>
      <w:r>
        <w:rPr>
          <w:b/>
        </w:rPr>
        <w:t>2.0-mm PVC edging</w:t>
      </w:r>
      <w:r>
        <w:rPr/>
        <w:t>] [</w:t>
      </w:r>
      <w:r>
        <w:rPr>
          <w:b/>
        </w:rPr>
        <w:t>3.0-mm PVC edging</w:t>
      </w:r>
      <w:r>
        <w:rPr/>
        <w:t>] [</w:t>
      </w:r>
      <w:r>
        <w:rPr>
          <w:b/>
        </w:rPr>
        <w:t>Lumber edge for transparent finish matching wood species and cut on cabinet surfaces</w:t>
      </w:r>
      <w:r>
        <w:rPr/>
        <w:t>] [</w:t>
      </w:r>
      <w:r>
        <w:rPr>
          <w:b/>
        </w:rPr>
        <w:t>As indicated on Drawings</w:t>
      </w:r>
      <w:r>
        <w:rPr/>
        <w:t>].</w:t>
      </w:r>
    </w:p>
    <w:p>
      <w:pPr>
        <w:pStyle w:val="PR1"/>
        <w:numPr>
          <w:ilvl w:val="4"/>
          <w:numId w:val="1"/>
        </w:numPr>
        <w:rPr/>
      </w:pPr>
      <w:r>
        <w:rPr/>
        <w:t>Core Material: [</w:t>
      </w:r>
      <w:r>
        <w:rPr>
          <w:b/>
        </w:rPr>
        <w:t>Particleboard or MDF</w:t>
      </w:r>
      <w:r>
        <w:rPr/>
        <w:t>] [</w:t>
      </w:r>
      <w:r>
        <w:rPr>
          <w:b/>
        </w:rPr>
        <w:t>Particleboard</w:t>
      </w:r>
      <w:r>
        <w:rPr/>
        <w:t>] [</w:t>
      </w:r>
      <w:r>
        <w:rPr>
          <w:b/>
        </w:rPr>
        <w:t>MDF</w:t>
      </w:r>
      <w:r>
        <w:rPr/>
        <w:t>] [</w:t>
      </w:r>
      <w:r>
        <w:rPr>
          <w:b/>
        </w:rPr>
        <w:t>Particleboard made with exterior glue</w:t>
      </w:r>
      <w:r>
        <w:rPr/>
        <w:t>] [</w:t>
      </w:r>
      <w:r>
        <w:rPr>
          <w:b/>
        </w:rPr>
        <w:t>MDF made with exterior glue</w:t>
      </w:r>
      <w:r>
        <w:rPr/>
        <w:t>] [</w:t>
      </w:r>
      <w:r>
        <w:rPr>
          <w:b/>
        </w:rPr>
        <w:t>Exterior-grade plywood</w:t>
      </w:r>
      <w:r>
        <w:rPr/>
        <w:t>] [</w:t>
      </w:r>
      <w:r>
        <w:rPr>
          <w:b/>
        </w:rPr>
        <w:t>Fire-retardant-treated plywood</w:t>
      </w:r>
      <w:r>
        <w:rPr/>
        <w:t>] [</w:t>
      </w:r>
      <w:r>
        <w:rPr>
          <w:b/>
        </w:rPr>
        <w:t>Fire-retardant particleboard</w:t>
      </w:r>
      <w:r>
        <w:rPr/>
        <w:t>] [</w:t>
      </w:r>
      <w:r>
        <w:rPr>
          <w:b/>
        </w:rPr>
        <w:t>Fire-retardant MDF</w:t>
      </w:r>
      <w:r>
        <w:rPr/>
        <w:t>] [</w:t>
      </w:r>
      <w:r>
        <w:rPr>
          <w:b/>
        </w:rPr>
        <w:t>As selected by fabricator to comply with quality standard</w:t>
      </w:r>
      <w:r>
        <w:rPr/>
        <w:t>].</w:t>
      </w:r>
    </w:p>
    <w:p>
      <w:pPr>
        <w:pStyle w:val="PR1"/>
        <w:numPr>
          <w:ilvl w:val="4"/>
          <w:numId w:val="1"/>
        </w:numPr>
        <w:rPr/>
      </w:pPr>
      <w:r>
        <w:rPr/>
        <w:t>Core Material at Sinks: [</w:t>
      </w:r>
      <w:r>
        <w:rPr>
          <w:b/>
        </w:rPr>
        <w:t>Particleboard made with exterior glue</w:t>
      </w:r>
      <w:r>
        <w:rPr/>
        <w:t>] [</w:t>
      </w:r>
      <w:r>
        <w:rPr>
          <w:b/>
        </w:rPr>
        <w:t>MDF made with exterior glue</w:t>
      </w:r>
      <w:r>
        <w:rPr/>
        <w:t>] [</w:t>
      </w:r>
      <w:r>
        <w:rPr>
          <w:b/>
        </w:rPr>
        <w:t>or</w:t>
      </w:r>
      <w:r>
        <w:rPr/>
        <w:t>] [</w:t>
      </w:r>
      <w:r>
        <w:rPr>
          <w:b/>
        </w:rPr>
        <w:t>exterior-grade plywood</w:t>
      </w:r>
      <w:r>
        <w:rPr/>
        <w:t>] &lt;</w:t>
      </w:r>
      <w:r>
        <w:rPr>
          <w:b/>
        </w:rPr>
        <w:t>Insert requirements</w:t>
      </w:r>
      <w:r>
        <w:rPr/>
        <w:t>&gt;.</w:t>
      </w:r>
    </w:p>
    <w:p>
      <w:pPr>
        <w:pStyle w:val="CMT"/>
        <w:rPr/>
      </w:pPr>
      <w:r>
        <w:rPr/>
        <w:t>Second option in "Core Thickness" Paragraph below is for heavy-duty applications and costs approximately 20 percent more than first option.</w:t>
      </w:r>
    </w:p>
    <w:p>
      <w:pPr>
        <w:pStyle w:val="PR1"/>
        <w:numPr>
          <w:ilvl w:val="4"/>
          <w:numId w:val="1"/>
        </w:numPr>
        <w:rPr/>
      </w:pPr>
      <w:r>
        <w:rPr/>
        <w:t>Core Thickness: [</w:t>
      </w:r>
      <w:r>
        <w:rPr>
          <w:rStyle w:val="IP"/>
          <w:b/>
        </w:rPr>
        <w:t>3/4 inch</w:t>
      </w:r>
      <w:r>
        <w:rPr>
          <w:rStyle w:val="SI"/>
          <w:b/>
        </w:rPr>
        <w:t xml:space="preserve"> (19 mm)</w:t>
      </w:r>
      <w:r>
        <w:rPr/>
        <w:t>] [</w:t>
      </w:r>
      <w:r>
        <w:rPr>
          <w:rStyle w:val="IP"/>
          <w:b/>
        </w:rPr>
        <w:t>1-1/8 inch</w:t>
      </w:r>
      <w:r>
        <w:rPr>
          <w:rStyle w:val="SI"/>
          <w:b/>
        </w:rPr>
        <w:t xml:space="preserve"> (29 mm)</w:t>
      </w:r>
      <w:r>
        <w:rPr/>
        <w:t>].</w:t>
      </w:r>
    </w:p>
    <w:p>
      <w:pPr>
        <w:pStyle w:val="CMT"/>
        <w:rPr/>
      </w:pPr>
      <w:r>
        <w:rPr/>
        <w:t>Retain subparagraph below if built-up edges are required. Revise thickness to suit Project.</w:t>
      </w:r>
    </w:p>
    <w:p>
      <w:pPr>
        <w:pStyle w:val="PR2"/>
        <w:numPr>
          <w:ilvl w:val="5"/>
          <w:numId w:val="1"/>
        </w:numPr>
        <w:spacing w:before="240" w:after="0"/>
        <w:rPr/>
      </w:pPr>
      <w:r>
        <w:rPr/>
        <w:t xml:space="preserve">Build up countertop thickness to </w:t>
      </w:r>
      <w:r>
        <w:rPr>
          <w:rStyle w:val="IP"/>
        </w:rPr>
        <w:t>1-1/2 inches</w:t>
      </w:r>
      <w:r>
        <w:rPr>
          <w:rStyle w:val="SI"/>
        </w:rPr>
        <w:t xml:space="preserve"> (38 mm)</w:t>
      </w:r>
      <w:r>
        <w:rPr/>
        <w:t xml:space="preserve"> at front, back, and ends with additional layers of core material laminated to top.</w:t>
      </w:r>
    </w:p>
    <w:p>
      <w:pPr>
        <w:pStyle w:val="CMT"/>
        <w:rPr/>
      </w:pPr>
      <w:r>
        <w:rPr/>
        <w:t>Retain "Backer Sheet" Paragraph below for highest-quality work; retain "Paper Backing" Paragraph below for high-quality work. Prefabricated countertops usually do not have backing.</w:t>
      </w:r>
    </w:p>
    <w:p>
      <w:pPr>
        <w:pStyle w:val="PR1"/>
        <w:numPr>
          <w:ilvl w:val="4"/>
          <w:numId w:val="1"/>
        </w:numPr>
        <w:rPr/>
      </w:pPr>
      <w:r>
        <w:rPr/>
        <w:t>Backer Sheet: Provide plastic-laminate backer sheet, ISO 4586-3, grade to match exposed surface, on underside of countertop substrate.</w:t>
      </w:r>
    </w:p>
    <w:p>
      <w:pPr>
        <w:pStyle w:val="PR1"/>
        <w:numPr>
          <w:ilvl w:val="4"/>
          <w:numId w:val="1"/>
        </w:numPr>
        <w:rPr/>
      </w:pPr>
      <w:r>
        <w:rPr/>
        <w:t>Paper Backing: Provide paper backing on underside of countertop substrate.</w:t>
      </w:r>
    </w:p>
    <w:p>
      <w:pPr>
        <w:pStyle w:val="ART"/>
        <w:numPr>
          <w:ilvl w:val="3"/>
          <w:numId w:val="1"/>
        </w:numPr>
        <w:ind w:hanging="0" w:left="0"/>
        <w:rPr/>
      </w:pPr>
      <w:r>
        <w:rPr/>
        <w:t>WOOD MATERIALS</w:t>
      </w:r>
    </w:p>
    <w:p>
      <w:pPr>
        <w:pStyle w:val="PR1"/>
        <w:numPr>
          <w:ilvl w:val="4"/>
          <w:numId w:val="1"/>
        </w:numPr>
        <w:rPr/>
      </w:pPr>
      <w:r>
        <w:rPr/>
        <w:t>Wood Products: Provide materials that comply with requirements of referenced quality standard unless otherwise indicated.</w:t>
      </w:r>
    </w:p>
    <w:p>
      <w:pPr>
        <w:pStyle w:val="CMT"/>
        <w:rPr/>
      </w:pPr>
      <w:r>
        <w:rPr/>
        <w:t>If countertops have wood edges, 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AWS. Some locations have microclimates that differ from the surrounding region.</w:t>
      </w:r>
    </w:p>
    <w:p>
      <w:pPr>
        <w:pStyle w:val="PR2"/>
        <w:numPr>
          <w:ilvl w:val="5"/>
          <w:numId w:val="1"/>
        </w:numPr>
        <w:spacing w:before="240" w:after="0"/>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type of countertop and quality grade specified unless otherwise indicated.</w:t>
      </w:r>
    </w:p>
    <w:p>
      <w:pPr>
        <w:pStyle w:val="PR2"/>
        <w:numPr>
          <w:ilvl w:val="5"/>
          <w:numId w:val="1"/>
        </w:numPr>
        <w:spacing w:before="240" w:after="0"/>
        <w:rPr/>
      </w:pPr>
      <w:hyperlink r:id="rId14">
        <w:r>
          <w:rPr>
            <w:rStyle w:val="Hyperlink"/>
          </w:rPr>
          <w:t>&lt;Double click to insert sustainable design text for composite wood products.&gt;</w:t>
        </w:r>
      </w:hyperlink>
    </w:p>
    <w:p>
      <w:pPr>
        <w:pStyle w:val="PR2"/>
        <w:numPr>
          <w:ilvl w:val="5"/>
          <w:numId w:val="1"/>
        </w:numPr>
        <w:rPr/>
      </w:pPr>
      <w:hyperlink r:id="rId15">
        <w:r>
          <w:rPr>
            <w:rStyle w:val="Hyperlink"/>
          </w:rPr>
          <w:t>&lt;Double click to insert sustainable design text for recycled content.&gt;</w:t>
        </w:r>
      </w:hyperlink>
    </w:p>
    <w:p>
      <w:pPr>
        <w:pStyle w:val="PR2"/>
        <w:numPr>
          <w:ilvl w:val="5"/>
          <w:numId w:val="1"/>
        </w:numPr>
        <w:rPr/>
      </w:pPr>
      <w:r>
        <w:rPr/>
        <w:t>MDF: Medium-density fiberboard,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in accordance with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 dry lumber and plywood after treatment to a maximum moisture content of 19 and 15 percent, respectively.</w:t>
      </w:r>
    </w:p>
    <w:p>
      <w:pPr>
        <w:pStyle w:val="CMT"/>
        <w:rPr/>
      </w:pPr>
      <w:r>
        <w:rPr/>
        <w:t>Retain first subparagraph below for wood edges that are to receive a stained or natural finish. Organic resin treatment is more expensive than salt treatments but helps ensure a better stained or natural transparent finish.</w:t>
      </w:r>
    </w:p>
    <w:p>
      <w:pPr>
        <w:pStyle w:val="PR2"/>
        <w:numPr>
          <w:ilvl w:val="5"/>
          <w:numId w:val="1"/>
        </w:numPr>
        <w:rPr/>
      </w:pPr>
      <w:r>
        <w:rPr/>
        <w:t>For items indicated to receive a stained or natural transparent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exposed treated woodwork.</w:t>
      </w:r>
    </w:p>
    <w:p>
      <w:pPr>
        <w:pStyle w:val="CMT"/>
        <w:rPr/>
      </w:pPr>
      <w:r>
        <w:rPr/>
        <w:t>Fire-retardant particleboard contains urea formaldehyde. It complies with requirements for Class I (Class A) finish but not requirements of model codes for use where noncombustible materials are required.</w:t>
      </w:r>
    </w:p>
    <w:p>
      <w:pPr>
        <w:pStyle w:val="PR1"/>
        <w:numPr>
          <w:ilvl w:val="4"/>
          <w:numId w:val="1"/>
        </w:numPr>
        <w:rPr/>
      </w:pPr>
      <w:r>
        <w:rPr/>
        <w:t>Fire-Retardant Particleboard: Made from softwood particles and fire-retardant chemicals mixed at time of panel manufacture to achieve flame-spread index of 25 or less and smoke-developed index of 25 or less when tested in accordance with ASTM E84.</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"Fire-Retardant MDF" Paragraph below complies with requirements for Class I (Class A) finish but not with requirements of model codes for use where noncombustible materials are required.</w:t>
      </w:r>
    </w:p>
    <w:p>
      <w:pPr>
        <w:pStyle w:val="PR1"/>
        <w:numPr>
          <w:ilvl w:val="4"/>
          <w:numId w:val="1"/>
        </w:numPr>
        <w:rPr/>
      </w:pPr>
      <w:r>
        <w:rPr/>
        <w:t>Fire-Retardant MDF: Medium-density fiberboard panels complying with ANSI A208.2, made from softwood fibers, synthetic resins, and fire-retardant chemicals mixed together at time of panel manufacture to achieve flame-spread index of 25 or less and smoke-developed index of 200 or less in accordance with ASTM E84.</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CMT"/>
        <w:rPr/>
      </w:pPr>
      <w:r>
        <w:rPr/>
        <w:t>Revise "Wire-Management Grommets" Paragraph below to suit Project. Other styles and shapes are available.</w:t>
      </w:r>
    </w:p>
    <w:p>
      <w:pPr>
        <w:pStyle w:val="PR1"/>
        <w:numPr>
          <w:ilvl w:val="4"/>
          <w:numId w:val="1"/>
        </w:numPr>
        <w:rPr/>
      </w:pPr>
      <w:r>
        <w:rPr/>
        <w:t>Wire-Management Grommets: Circular, molded-plastic grommets and matching plastic caps with slot for wire passage.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Outside Diameter: [</w:t>
      </w:r>
      <w:r>
        <w:rPr>
          <w:rStyle w:val="IP"/>
          <w:b/>
        </w:rPr>
        <w:t>1-1/4 inch</w:t>
      </w:r>
      <w:r>
        <w:rPr>
          <w:rStyle w:val="SI"/>
          <w:b/>
        </w:rPr>
        <w:t xml:space="preserve"> (32 mm)</w:t>
      </w:r>
      <w:r>
        <w:rPr/>
        <w: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Color: [</w:t>
      </w:r>
      <w:r>
        <w:rPr>
          <w:b/>
        </w:rPr>
        <w:t>Brown</w:t>
      </w:r>
      <w:r>
        <w:rPr/>
        <w:t>] [</w:t>
      </w:r>
      <w:r>
        <w:rPr>
          <w:b/>
        </w:rPr>
        <w:t>Black</w:t>
      </w:r>
      <w:r>
        <w:rPr/>
        <w:t>] &lt;</w:t>
      </w:r>
      <w:r>
        <w:rPr>
          <w:b/>
        </w:rPr>
        <w:t>Insert color</w:t>
      </w:r>
      <w:r>
        <w:rPr/>
        <w:t>&gt;,</w:t>
      </w:r>
    </w:p>
    <w:p>
      <w:pPr>
        <w:pStyle w:val="PR1"/>
        <w:numPr>
          <w:ilvl w:val="4"/>
          <w:numId w:val="1"/>
        </w:numPr>
        <w:rPr/>
      </w:pPr>
      <w:r>
        <w:rPr/>
        <w:t>Paper Slots: [</w:t>
      </w:r>
      <w:r>
        <w:rPr>
          <w:rStyle w:val="IP"/>
          <w:b/>
        </w:rPr>
        <w:t>12 inches</w:t>
      </w:r>
      <w:r>
        <w:rPr>
          <w:rStyle w:val="SI"/>
          <w:b/>
        </w:rPr>
        <w:t xml:space="preserve"> (305 mm)</w:t>
      </w:r>
      <w:r>
        <w:rPr/>
        <w:t>] [</w:t>
      </w:r>
      <w:r>
        <w:rPr>
          <w:rStyle w:val="IP"/>
          <w:b/>
        </w:rPr>
        <w:t>17 inches</w:t>
      </w:r>
      <w:r>
        <w:rPr>
          <w:rStyle w:val="SI"/>
          <w:b/>
        </w:rPr>
        <w:t xml:space="preserve"> (432 mm)</w:t>
      </w:r>
      <w:r>
        <w:rPr/>
        <w:t xml:space="preserve">] long by </w:t>
      </w:r>
      <w:r>
        <w:rPr>
          <w:rStyle w:val="IP"/>
        </w:rPr>
        <w:t>1-3/4 inches</w:t>
      </w:r>
      <w:r>
        <w:rPr>
          <w:rStyle w:val="SI"/>
        </w:rPr>
        <w:t xml:space="preserve"> (45 mm)</w:t>
      </w:r>
      <w:r>
        <w:rPr/>
        <w:t xml:space="preserve"> wide by </w:t>
      </w:r>
      <w:r>
        <w:rPr>
          <w:rStyle w:val="IP"/>
        </w:rPr>
        <w:t>1 inch</w:t>
      </w:r>
      <w:r>
        <w:rPr>
          <w:rStyle w:val="SI"/>
        </w:rPr>
        <w:t xml:space="preserve"> (25 mm)</w:t>
      </w:r>
      <w:r>
        <w:rPr/>
        <w:t xml:space="preserve"> deep; molded-plastic, paper-slot liner with </w:t>
      </w:r>
      <w:r>
        <w:rPr>
          <w:rStyle w:val="IP"/>
        </w:rPr>
        <w:t>1/4-inch</w:t>
      </w:r>
      <w:r>
        <w:rPr>
          <w:rStyle w:val="SI"/>
        </w:rPr>
        <w:t xml:space="preserve"> (6.4-mm)</w:t>
      </w:r>
      <w:r>
        <w:rPr/>
        <w:t xml:space="preserve"> lip.</w:t>
      </w:r>
    </w:p>
    <w:p>
      <w:pPr>
        <w:pStyle w:val="PR2"/>
        <w:numPr>
          <w:ilvl w:val="5"/>
          <w:numId w:val="1"/>
        </w:numPr>
        <w:spacing w:before="240" w:after="0"/>
        <w:rPr/>
      </w:pPr>
      <w:r>
        <w:rPr/>
        <w:t>Color: [</w:t>
      </w:r>
      <w:r>
        <w:rPr>
          <w:b/>
        </w:rPr>
        <w:t>Brown</w:t>
      </w:r>
      <w:r>
        <w:rPr/>
        <w:t>] [</w:t>
      </w:r>
      <w:r>
        <w:rPr>
          <w:b/>
        </w:rPr>
        <w:t>Black</w:t>
      </w:r>
      <w:r>
        <w:rPr/>
        <w:t>] &lt;</w:t>
      </w:r>
      <w:r>
        <w:rPr>
          <w:b/>
        </w:rPr>
        <w:t>Insert color</w:t>
      </w:r>
      <w:r>
        <w:rPr/>
        <w:t>&gt;.</w:t>
      </w:r>
    </w:p>
    <w:p>
      <w:pPr>
        <w:pStyle w:val="ART"/>
        <w:numPr>
          <w:ilvl w:val="3"/>
          <w:numId w:val="1"/>
        </w:numPr>
        <w:ind w:hanging="0" w:left="0"/>
        <w:rPr/>
      </w:pPr>
      <w:r>
        <w:rPr/>
        <w:t>MISCELLANEOUS MATERIALS</w:t>
      </w:r>
    </w:p>
    <w:p>
      <w:pPr>
        <w:pStyle w:val="PR1"/>
        <w:numPr>
          <w:ilvl w:val="4"/>
          <w:numId w:val="1"/>
        </w:numPr>
        <w:rPr/>
      </w:pPr>
      <w:hyperlink r:id="rId19">
        <w:r>
          <w:rPr>
            <w:rStyle w:val="Hyperlink"/>
          </w:rPr>
          <w:t>&lt;Double click to insert sustainable design text for adhesives.&gt;</w:t>
        </w:r>
      </w:hyperlink>
    </w:p>
    <w:p>
      <w:pPr>
        <w:pStyle w:val="CMT"/>
        <w:rPr/>
      </w:pPr>
      <w:r>
        <w:rPr/>
        <w:t>Retain first option in "Adhesive for Bonding Plastic Laminate" Paragraph below for countertops with sinks.</w:t>
      </w:r>
    </w:p>
    <w:p>
      <w:pPr>
        <w:pStyle w:val="PR1"/>
        <w:numPr>
          <w:ilvl w:val="4"/>
          <w:numId w:val="1"/>
        </w:numPr>
        <w:rPr/>
      </w:pPr>
      <w:r>
        <w:rPr/>
        <w:t>Adhesive for Bonding Plastic Laminate: [</w:t>
      </w:r>
      <w:r>
        <w:rPr>
          <w:b/>
        </w:rPr>
        <w:t>Type I, waterproof type</w:t>
      </w:r>
      <w:r>
        <w:rPr/>
        <w:t>] [</w:t>
      </w:r>
      <w:r>
        <w:rPr>
          <w:b/>
        </w:rPr>
        <w:t>Type II water-resistant type</w:t>
      </w:r>
      <w:r>
        <w:rPr/>
        <w:t>] as selected by fabricator to comply with requirements.</w:t>
      </w:r>
    </w:p>
    <w:p>
      <w:pPr>
        <w:pStyle w:val="CMT"/>
        <w:rPr/>
      </w:pPr>
      <w:r>
        <w:rPr/>
        <w:t>Retain "Adhesive for Bonding Edges" Subparagraph below unless good chemical, fire, or temperature resistance is required.</w:t>
      </w:r>
    </w:p>
    <w:p>
      <w:pPr>
        <w:pStyle w:val="PR2"/>
        <w:numPr>
          <w:ilvl w:val="5"/>
          <w:numId w:val="1"/>
        </w:numPr>
        <w:spacing w:before="240" w:after="0"/>
        <w:rPr/>
      </w:pPr>
      <w:r>
        <w:rPr/>
        <w:t>Adhesive for Bonding Edges: Hot-melt adhesive[</w:t>
      </w:r>
      <w:r>
        <w:rPr>
          <w:b/>
        </w:rPr>
        <w:t> or adhesive specified above for faces</w:t>
      </w:r>
      <w:r>
        <w:rPr/>
        <w:t>].</w:t>
      </w:r>
    </w:p>
    <w:p>
      <w:pPr>
        <w:pStyle w:val="PR1"/>
        <w:numPr>
          <w:ilvl w:val="4"/>
          <w:numId w:val="1"/>
        </w:numPr>
        <w:rPr/>
      </w:pPr>
      <w:r>
        <w:rPr/>
        <w:t>Installation Adhesive:</w:t>
      </w:r>
    </w:p>
    <w:p>
      <w:pPr>
        <w:pStyle w:val="PR2"/>
        <w:numPr>
          <w:ilvl w:val="5"/>
          <w:numId w:val="1"/>
        </w:numPr>
        <w:spacing w:before="240" w:after="0"/>
        <w:rPr/>
      </w:pPr>
      <w:hyperlink r:id="rId20">
        <w:r>
          <w:rPr>
            <w:rStyle w:val="Hyperlink"/>
          </w:rPr>
          <w:t>&lt;Double click to insert sustainable design text for VOC content of adhesive.&gt;</w:t>
        </w:r>
      </w:hyperlink>
    </w:p>
    <w:p>
      <w:pPr>
        <w:pStyle w:val="PR2"/>
        <w:numPr>
          <w:ilvl w:val="5"/>
          <w:numId w:val="1"/>
        </w:numPr>
        <w:rPr/>
      </w:pPr>
      <w:hyperlink r:id="rId21">
        <w:r>
          <w:rPr>
            <w:rStyle w:val="Hyperlink"/>
          </w:rPr>
          <w:t>&lt;Double click to insert sustainable design text for low emitting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 xml:space="preserve">Fabricate countertops to dimensions, profiles, and details indicated. Provide front and end overhang of </w:t>
      </w:r>
      <w:r>
        <w:rPr>
          <w:rStyle w:val="IP"/>
        </w:rPr>
        <w:t>1 inch</w:t>
      </w:r>
      <w:r>
        <w:rPr>
          <w:rStyle w:val="SI"/>
        </w:rPr>
        <w:t xml:space="preserve"> (25 mm)</w:t>
      </w:r>
      <w:r>
        <w:rPr/>
        <w:t xml:space="preserve"> over base cabinets. Ease edges to radius indicated for the following:</w:t>
      </w:r>
    </w:p>
    <w:p>
      <w:pPr>
        <w:pStyle w:val="PR2"/>
        <w:numPr>
          <w:ilvl w:val="5"/>
          <w:numId w:val="1"/>
        </w:numPr>
        <w:spacing w:before="240" w:after="0"/>
        <w:rPr/>
      </w:pPr>
      <w:r>
        <w:rPr/>
        <w:t xml:space="preserve">Solid-Wood (Lumber) Members: </w:t>
      </w:r>
      <w:r>
        <w:rPr>
          <w:rStyle w:val="IP"/>
        </w:rPr>
        <w:t>1/16 inch</w:t>
      </w:r>
      <w:r>
        <w:rPr>
          <w:rStyle w:val="SI"/>
        </w:rPr>
        <w:t xml:space="preserve"> (1.5 mm)</w:t>
      </w:r>
      <w:r>
        <w:rPr/>
        <w:t xml:space="preserve"> unless otherwise indicated.</w:t>
      </w:r>
    </w:p>
    <w:p>
      <w:pPr>
        <w:pStyle w:val="CMT"/>
        <w:rPr/>
      </w:pPr>
      <w:r>
        <w:rPr/>
        <w:t>If applicable, insert subparagraph here to describe conditions where eased edges are not required.</w:t>
      </w:r>
    </w:p>
    <w:p>
      <w:pPr>
        <w:pStyle w:val="PR1"/>
        <w:numPr>
          <w:ilvl w:val="4"/>
          <w:numId w:val="1"/>
        </w:numPr>
        <w:rPr/>
      </w:pPr>
      <w:r>
        <w:rPr/>
        <w:t>Complete fabrication, including assembly,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spacing w:before="240" w:after="0"/>
        <w:rPr/>
      </w:pPr>
      <w:r>
        <w:rPr/>
        <w:t>Notify Architect seven days in advance of the dates and times countertop fabrication will be complete.</w:t>
      </w:r>
    </w:p>
    <w:p>
      <w:pPr>
        <w:pStyle w:val="CMT"/>
        <w:rPr/>
      </w:pPr>
      <w:r>
        <w:rPr/>
        <w:t>Retain subparagraph below for high-quality and large or complex work.</w:t>
      </w:r>
    </w:p>
    <w:p>
      <w:pPr>
        <w:pStyle w:val="PR2"/>
        <w:numPr>
          <w:ilvl w:val="5"/>
          <w:numId w:val="1"/>
        </w:numPr>
        <w:rPr/>
      </w:pPr>
      <w:r>
        <w:rPr/>
        <w:t>Trial fit assemblies at fabrication shop that cannot be shipped completely assembled. Install dowels, screws, bolted connectors, and other fastening devices that can be removed after trial fitting. Verify that various parts fit as intended, and check measurements of assemblies against field measurements before disassembling for shipment.</w:t>
      </w:r>
    </w:p>
    <w:p>
      <w:pPr>
        <w:pStyle w:val="CMT"/>
        <w:rPr/>
      </w:pPr>
      <w:r>
        <w:rPr/>
        <w:t>Retain paragraph below if field cutting is unacceptable; openings in plastic-laminate-clad countertops are typically field cut.</w:t>
      </w:r>
    </w:p>
    <w:p>
      <w:pPr>
        <w:pStyle w:val="PR1"/>
        <w:numPr>
          <w:ilvl w:val="4"/>
          <w:numId w:val="1"/>
        </w:numPr>
        <w:rPr/>
      </w:pPr>
      <w:r>
        <w:rPr/>
        <w:t>Shop cut openings to maximum extent possible to receive appliances, plumbing fixtures, electrical work, and similar items. Locate openings accurately, and use templates or roughing-in diagrams to produce accurately sized and shaped openings. Sand edges of cutouts to remove splinters and burrs.</w:t>
      </w:r>
    </w:p>
    <w:p>
      <w:pPr>
        <w:pStyle w:val="CMT"/>
        <w:rPr/>
      </w:pPr>
      <w:r>
        <w:rPr/>
        <w:t>Usually retain subparagraph below if exterior-glue particleboard or exterior-grade plywood is not specified for countertops containing sinks.</w:t>
      </w:r>
    </w:p>
    <w:p>
      <w:pPr>
        <w:pStyle w:val="PR2"/>
        <w:numPr>
          <w:ilvl w:val="5"/>
          <w:numId w:val="1"/>
        </w:numPr>
        <w:spacing w:before="240" w:after="0"/>
        <w:rPr/>
      </w:pPr>
      <w:r>
        <w:rPr/>
        <w:t>Seal edges of cutouts by saturating with varnish.</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countertops to average prevailing humidity conditions in installation areas.</w:t>
      </w:r>
    </w:p>
    <w:p>
      <w:pPr>
        <w:pStyle w:val="PR1"/>
        <w:numPr>
          <w:ilvl w:val="4"/>
          <w:numId w:val="1"/>
        </w:numPr>
        <w:rPr/>
      </w:pPr>
      <w:r>
        <w:rPr/>
        <w:t>Before installing countertops, examine shop-fabricated work for completion and complete work as required, including removal of packing.</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countertops to comply with same grade as item to be installed.</w:t>
      </w:r>
    </w:p>
    <w:p>
      <w:pPr>
        <w:pStyle w:val="PR1"/>
        <w:numPr>
          <w:ilvl w:val="4"/>
          <w:numId w:val="1"/>
        </w:numPr>
        <w:rPr/>
      </w:pPr>
      <w:r>
        <w:rPr/>
        <w:t>Assemble countertops and complete fabrication at Project site to the extent that it was not completed in the shop.</w:t>
      </w:r>
    </w:p>
    <w:p>
      <w:pPr>
        <w:pStyle w:val="CMT"/>
        <w:rPr/>
      </w:pPr>
      <w:r>
        <w:rPr/>
        <w:t>Retain first subparagraph below if openings in countertops are field cut.</w:t>
      </w:r>
    </w:p>
    <w:p>
      <w:pPr>
        <w:pStyle w:val="PR2"/>
        <w:numPr>
          <w:ilvl w:val="5"/>
          <w:numId w:val="1"/>
        </w:numPr>
        <w:spacing w:before="240" w:after="0"/>
        <w:rPr/>
      </w:pPr>
      <w:r>
        <w:rPr/>
        <w:t>Provide cutouts for appliances, plumbing fixtures, electrical work, and similar items. Locate openings accurately, and use templates or roughing-in diagrams to produce accurately sized and shaped openings. Sand edges of cutouts to remove splinters and burrs.</w:t>
      </w:r>
    </w:p>
    <w:p>
      <w:pPr>
        <w:pStyle w:val="CMT"/>
        <w:rPr/>
      </w:pPr>
      <w:r>
        <w:rPr/>
        <w:t>Usually retain subparagraph below if exterior-glue particleboard or exterior-grade plywood is not specified for countertops containing sinks.</w:t>
      </w:r>
    </w:p>
    <w:p>
      <w:pPr>
        <w:pStyle w:val="PR2"/>
        <w:numPr>
          <w:ilvl w:val="5"/>
          <w:numId w:val="1"/>
        </w:numPr>
        <w:rPr/>
      </w:pPr>
      <w:r>
        <w:rPr/>
        <w:t>Seal edges of cutouts by saturating with varnish.</w:t>
      </w:r>
    </w:p>
    <w:p>
      <w:pPr>
        <w:pStyle w:val="PR1"/>
        <w:numPr>
          <w:ilvl w:val="4"/>
          <w:numId w:val="1"/>
        </w:numPr>
        <w:rPr/>
      </w:pPr>
      <w:r>
        <w:rPr/>
        <w:t>Field Jointing: Where possible, make in the same manner as shop jointing, using dowels, splines, adhesives, and fasteners recommended by manufacturer. Prepare edges to be joined in shop so Project-site processing of top and edge surfaces is not required. Locate field joints where shown on Shop Drawings.</w:t>
      </w:r>
    </w:p>
    <w:p>
      <w:pPr>
        <w:pStyle w:val="PR2"/>
        <w:numPr>
          <w:ilvl w:val="5"/>
          <w:numId w:val="1"/>
        </w:numPr>
        <w:spacing w:before="240" w:after="0"/>
        <w:rPr/>
      </w:pPr>
      <w:r>
        <w:rPr/>
        <w:t xml:space="preserve">Secure field joints in countertops with concealed clamping devices located within </w:t>
      </w:r>
      <w:r>
        <w:rPr>
          <w:rStyle w:val="IP"/>
        </w:rPr>
        <w:t>6 inches</w:t>
      </w:r>
      <w:r>
        <w:rPr>
          <w:rStyle w:val="SI"/>
        </w:rPr>
        <w:t xml:space="preserve"> (150 mm)</w:t>
      </w:r>
      <w:r>
        <w:rPr/>
        <w:t xml:space="preserve"> of front and back edges and at intervals not exceeding </w:t>
      </w:r>
      <w:r>
        <w:rPr>
          <w:rStyle w:val="IP"/>
        </w:rPr>
        <w:t>24 inches</w:t>
      </w:r>
      <w:r>
        <w:rPr>
          <w:rStyle w:val="SI"/>
        </w:rPr>
        <w:t xml:space="preserve"> (600 mm)</w:t>
      </w:r>
      <w:r>
        <w:rPr/>
        <w:t>. Tighten in accordance with manufacturer's written instructions to exert a constant, heavy-clamping pressure at joints.</w:t>
      </w:r>
    </w:p>
    <w:p>
      <w:pPr>
        <w:pStyle w:val="PR1"/>
        <w:numPr>
          <w:ilvl w:val="4"/>
          <w:numId w:val="1"/>
        </w:numPr>
        <w:rPr/>
      </w:pPr>
      <w:r>
        <w:rPr/>
        <w:t>Scribe and cut countertops to fit adjoining work, refinish cut surfaces, and repair damaged finish at cuts.</w:t>
      </w:r>
    </w:p>
    <w:p>
      <w:pPr>
        <w:pStyle w:val="PR1"/>
        <w:numPr>
          <w:ilvl w:val="4"/>
          <w:numId w:val="1"/>
        </w:numPr>
        <w:rPr/>
      </w:pPr>
      <w:r>
        <w:rPr/>
        <w:t>Fire-Retardant-Treated Wood: Handle, store, and install fire-retardant-treated wood to comply with chemical-treatment manufacturer's written instructions, including those for adhesives used to install woodwork.</w:t>
      </w:r>
    </w:p>
    <w:p>
      <w:pPr>
        <w:pStyle w:val="PR1"/>
        <w:numPr>
          <w:ilvl w:val="4"/>
          <w:numId w:val="1"/>
        </w:numPr>
        <w:rPr/>
      </w:pPr>
      <w:r>
        <w:rPr/>
        <w:t>Countertop Installation: Anchor securely by screwing through corner blocks of base cabinets or other supports into underside of countertop.</w:t>
      </w:r>
    </w:p>
    <w:p>
      <w:pPr>
        <w:pStyle w:val="PR2"/>
        <w:numPr>
          <w:ilvl w:val="5"/>
          <w:numId w:val="1"/>
        </w:numPr>
        <w:spacing w:before="240" w:after="0"/>
        <w:rPr/>
      </w:pPr>
      <w:r>
        <w:rPr/>
        <w:t xml:space="preserve">Install countertops level and true in line. Use concealed shims as required to maintain not more than a </w:t>
      </w:r>
      <w:r>
        <w:rPr>
          <w:rStyle w:val="IP"/>
        </w:rPr>
        <w:t>1/8-inch-in-96-inches</w:t>
      </w:r>
      <w:r>
        <w:rPr>
          <w:rStyle w:val="SI"/>
        </w:rPr>
        <w:t xml:space="preserve"> (3-mm-in-2400-mm)</w:t>
      </w:r>
      <w:r>
        <w:rPr/>
        <w:t xml:space="preserve"> variation from a straight, level plane.</w:t>
      </w:r>
    </w:p>
    <w:p>
      <w:pPr>
        <w:pStyle w:val="CMT"/>
        <w:rPr/>
      </w:pPr>
      <w:r>
        <w:rPr/>
        <w:t>Retain first subparagraph below if using applied backsplashes.</w:t>
      </w:r>
    </w:p>
    <w:p>
      <w:pPr>
        <w:pStyle w:val="PR2"/>
        <w:numPr>
          <w:ilvl w:val="5"/>
          <w:numId w:val="1"/>
        </w:numPr>
        <w:rPr/>
      </w:pPr>
      <w:r>
        <w:rPr/>
        <w:t>Secure backsplashes [</w:t>
      </w:r>
      <w:r>
        <w:rPr>
          <w:b/>
        </w:rPr>
        <w:t xml:space="preserve">to tops with concealed metal brackets at </w:t>
      </w:r>
      <w:r>
        <w:rPr>
          <w:rStyle w:val="IP"/>
          <w:b/>
        </w:rPr>
        <w:t>16 inches</w:t>
      </w:r>
      <w:r>
        <w:rPr>
          <w:rStyle w:val="SI"/>
          <w:b/>
        </w:rPr>
        <w:t xml:space="preserve"> (400 mm)</w:t>
      </w:r>
      <w:r>
        <w:rPr>
          <w:b/>
        </w:rPr>
        <w:t xml:space="preserve"> o.c.</w:t>
      </w:r>
      <w:r>
        <w:rPr/>
        <w:t>] [</w:t>
      </w:r>
      <w:r>
        <w:rPr>
          <w:b/>
        </w:rPr>
        <w:t>and</w:t>
      </w:r>
      <w:r>
        <w:rPr/>
        <w:t>] [</w:t>
      </w:r>
      <w:r>
        <w:rPr>
          <w:b/>
        </w:rPr>
        <w:t>to walls with adhesive</w:t>
      </w:r>
      <w:r>
        <w:rPr/>
        <w:t>].</w:t>
      </w:r>
    </w:p>
    <w:p>
      <w:pPr>
        <w:pStyle w:val="PR2"/>
        <w:numPr>
          <w:ilvl w:val="5"/>
          <w:numId w:val="1"/>
        </w:numPr>
        <w:rPr/>
      </w:pPr>
      <w:r>
        <w:rPr/>
        <w:t>Seal joints between countertop and backsplash, if any, and joints where countertop and backsplash abut walls with mildew-resistant silicone sealant or another permanently elastic sealing compound recommended by countertop material manufacturer.</w:t>
      </w:r>
    </w:p>
    <w:p>
      <w:pPr>
        <w:pStyle w:val="ART"/>
        <w:numPr>
          <w:ilvl w:val="3"/>
          <w:numId w:val="1"/>
        </w:numPr>
        <w:ind w:hanging="0" w:left="0"/>
        <w:rPr/>
      </w:pPr>
      <w:r>
        <w:rPr/>
        <w:t>ADJUSTING AND CLEANING</w:t>
      </w:r>
    </w:p>
    <w:p>
      <w:pPr>
        <w:pStyle w:val="PR1"/>
        <w:numPr>
          <w:ilvl w:val="4"/>
          <w:numId w:val="1"/>
        </w:numPr>
        <w:rPr/>
      </w:pPr>
      <w:r>
        <w:rPr/>
        <w:t>Repair damaged and defective countertops, where possible, to eliminate functional and visual defects. Where not possible to repair, replace countertops. Adjust joinery for uniform appearance.</w:t>
      </w:r>
    </w:p>
    <w:p>
      <w:pPr>
        <w:pStyle w:val="PR1"/>
        <w:numPr>
          <w:ilvl w:val="4"/>
          <w:numId w:val="1"/>
        </w:numPr>
        <w:rPr/>
      </w:pPr>
      <w:r>
        <w:rPr/>
        <w:t>Clean countertops on exposed and semiexposed surfaces.</w:t>
      </w:r>
    </w:p>
    <w:p>
      <w:pPr>
        <w:pStyle w:val="PR1"/>
        <w:numPr>
          <w:ilvl w:val="4"/>
          <w:numId w:val="1"/>
        </w:numPr>
        <w:rPr/>
      </w:pPr>
      <w:r>
        <w:rPr/>
        <w:t xml:space="preserve">Protection: Provide Kraft paper or other suitable covering over countertop surfaces, taped to underside of countertop at a minimum of </w:t>
      </w:r>
      <w:r>
        <w:rPr>
          <w:rStyle w:val="IP"/>
        </w:rPr>
        <w:t>48 inches</w:t>
      </w:r>
      <w:r>
        <w:rPr>
          <w:rStyle w:val="SI"/>
        </w:rPr>
        <w:t xml:space="preserve"> (1220 mm)</w:t>
      </w:r>
      <w:r>
        <w:rPr/>
        <w:t xml:space="preserve"> o.c. Remove protection at Substantial Completion.</w:t>
      </w:r>
    </w:p>
    <w:p>
      <w:pPr>
        <w:pStyle w:val="EOS"/>
        <w:rPr/>
      </w:pPr>
      <w:r>
        <w:rPr/>
        <w:t>END OF SECTION 123623.13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PLASTIC-LAMINATE-CLAD COUNTERTOPS</w:t>
          </w:r>
        </w:p>
      </w:tc>
      <w:tc>
        <w:tcPr>
          <w:tcW w:w="1872" w:type="dxa"/>
          <w:tcBorders/>
        </w:tcPr>
        <w:p>
          <w:pPr>
            <w:pStyle w:val="RJUST"/>
            <w:rPr/>
          </w:pPr>
          <w:r>
            <w:rPr>
              <w:rStyle w:val="NUM"/>
            </w:rPr>
            <w:t>123623.13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2362313"/>
    <w:docVar w:name="MF95" w:val="06417"/>
    <w:docVar w:name="MFOrigin" w:val="MF04"/>
    <w:docVar w:name="SectionID" w:val="1546"/>
    <w:docVar w:name="SpecType" w:val="MasterSpec"/>
    <w:docVar w:name="Version" w:val="164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2313&amp;ver=03-01-22&amp;format=FL&amp;sid=16489&amp;utm_source=MasterSpec&amp;utm_medium=Word" TargetMode="External"/><Relationship Id="rId3" Type="http://schemas.openxmlformats.org/officeDocument/2006/relationships/hyperlink" Target="http://www.productmasterspec.com/construction_specifications?mf04=12362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34"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specagent.com/LookUp/?ulid=5879&amp;mf=&amp;src=wd" TargetMode="External"/><Relationship Id="rId13" Type="http://schemas.openxmlformats.org/officeDocument/2006/relationships/hyperlink" Target="http://www.specagent.com/LookUp/?ulid=5880&amp;mf=&amp;src=wd" TargetMode="External"/><Relationship Id="rId14" Type="http://schemas.openxmlformats.org/officeDocument/2006/relationships/hyperlink" Target="http://www.arcomnet.com/sustainable_design.aspx?topic=106" TargetMode="External"/><Relationship Id="rId15" Type="http://schemas.openxmlformats.org/officeDocument/2006/relationships/hyperlink" Target="http://www.arcomnet.com/sustainable_design.aspx?topic=149" TargetMode="External"/><Relationship Id="rId16" Type="http://schemas.openxmlformats.org/officeDocument/2006/relationships/hyperlink" Target="http://www.specagent.com/LookUp/?ulid=5882&amp;mf=&amp;src=wd" TargetMode="External"/><Relationship Id="rId17" Type="http://schemas.openxmlformats.org/officeDocument/2006/relationships/hyperlink" Target="http://www.specagent.com/LookUp/?ulid=5714&amp;mf=&amp;src=wd" TargetMode="External"/><Relationship Id="rId18" Type="http://schemas.openxmlformats.org/officeDocument/2006/relationships/hyperlink" Target="http://www.specagent.com/LookUp/?ulid=11160&amp;mf=&amp;src=wd" TargetMode="External"/><Relationship Id="rId19" Type="http://schemas.openxmlformats.org/officeDocument/2006/relationships/hyperlink" Target="http://www.arcomnet.com/sustainable_design.aspx?topic=64" TargetMode="External"/><Relationship Id="rId20" Type="http://schemas.openxmlformats.org/officeDocument/2006/relationships/hyperlink" Target="http://www.arcomnet.com/sustainable_design.aspx?topic=143" TargetMode="External"/><Relationship Id="rId21" Type="http://schemas.openxmlformats.org/officeDocument/2006/relationships/hyperlink" Target="http://www.arcomnet.com/sustainable_design.aspx?topic=140"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PLASTIC-LAMINATE-CLAD COUNTERTOPS</dc:subject>
  <dc:title>SECTION 123623.13 - PLASTIC-LAMINATE-CLAD COUNTERTOPS</dc:title>
</cp:coreProperties>
</file>